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tabs>
          <w:tab w:val="left" w:pos="6909"/>
        </w:tabs>
        <w:kinsoku/>
        <w:wordWrap/>
        <w:bidi w:val="0"/>
        <w:rPr>
          <w:rFonts w:hint="default" w:ascii="Times New Roman" w:hAnsi="Times New Roman" w:cs="Times New Roman"/>
          <w:sz w:val="20"/>
        </w:rPr>
      </w:pPr>
    </w:p>
    <w:p>
      <w:pPr>
        <w:pStyle w:val="35"/>
        <w:pageBreakBefore w:val="0"/>
        <w:kinsoku/>
        <w:wordWrap/>
        <w:bidi w:val="0"/>
        <w:rPr>
          <w:rFonts w:hint="default" w:ascii="Times New Roman" w:hAnsi="Times New Roman" w:cs="Times New Roman"/>
          <w:sz w:val="20"/>
        </w:rPr>
      </w:pPr>
    </w:p>
    <w:p>
      <w:pPr>
        <w:pStyle w:val="35"/>
        <w:pageBreakBefore w:val="0"/>
        <w:kinsoku/>
        <w:wordWrap/>
        <w:bidi w:val="0"/>
        <w:spacing w:before="1"/>
        <w:rPr>
          <w:rFonts w:hint="default" w:ascii="Times New Roman" w:hAnsi="Times New Roman" w:cs="Times New Roman"/>
          <w:sz w:val="25"/>
        </w:rPr>
      </w:pPr>
    </w:p>
    <w:p>
      <w:pPr>
        <w:pageBreakBefore w:val="0"/>
        <w:kinsoku/>
        <w:wordWrap/>
        <w:bidi w:val="0"/>
        <w:spacing w:before="38"/>
        <w:ind w:left="209" w:right="1"/>
        <w:jc w:val="center"/>
        <w:rPr>
          <w:rFonts w:hint="default" w:ascii="Times New Roman" w:hAnsi="Times New Roman" w:eastAsia="宋体" w:cs="Times New Roman"/>
          <w:b/>
          <w:sz w:val="36"/>
          <w:szCs w:val="36"/>
          <w:highlight w:val="none"/>
          <w:lang w:eastAsia="zh-CN"/>
        </w:rPr>
      </w:pPr>
      <w:r>
        <w:rPr>
          <w:rFonts w:hint="default" w:ascii="Times New Roman" w:hAnsi="Times New Roman" w:cs="Times New Roman"/>
          <w:b/>
          <w:sz w:val="36"/>
          <w:szCs w:val="36"/>
          <w:highlight w:val="none"/>
          <w:lang w:eastAsia="zh-CN"/>
        </w:rPr>
        <w:t>长春国际物流经济开发区新兴建材产业园区建设项目</w:t>
      </w:r>
    </w:p>
    <w:p>
      <w:pPr>
        <w:pStyle w:val="35"/>
        <w:pageBreakBefore w:val="0"/>
        <w:kinsoku/>
        <w:wordWrap/>
        <w:bidi w:val="0"/>
        <w:spacing w:before="7"/>
        <w:rPr>
          <w:rFonts w:hint="default" w:ascii="Times New Roman" w:hAnsi="Times New Roman" w:cs="Times New Roman"/>
          <w:b/>
          <w:sz w:val="38"/>
          <w:highlight w:val="none"/>
        </w:rPr>
      </w:pPr>
    </w:p>
    <w:p>
      <w:pPr>
        <w:pageBreakBefore w:val="0"/>
        <w:kinsoku/>
        <w:wordWrap/>
        <w:bidi w:val="0"/>
        <w:ind w:left="209" w:right="12"/>
        <w:jc w:val="center"/>
        <w:rPr>
          <w:rFonts w:hint="default" w:ascii="Times New Roman" w:hAnsi="Times New Roman" w:eastAsia="黑体" w:cs="Times New Roman"/>
          <w:bCs/>
          <w:sz w:val="72"/>
          <w:szCs w:val="72"/>
          <w:highlight w:val="none"/>
        </w:rPr>
      </w:pPr>
      <w:r>
        <w:rPr>
          <w:rFonts w:hint="default" w:ascii="Times New Roman" w:hAnsi="Times New Roman" w:eastAsia="黑体" w:cs="Times New Roman"/>
          <w:bCs/>
          <w:sz w:val="72"/>
          <w:szCs w:val="72"/>
          <w:highlight w:val="none"/>
        </w:rPr>
        <w:t>水土保持方案报告书</w:t>
      </w:r>
    </w:p>
    <w:p>
      <w:pPr>
        <w:pageBreakBefore w:val="0"/>
        <w:kinsoku/>
        <w:wordWrap/>
        <w:bidi w:val="0"/>
        <w:spacing w:before="38"/>
        <w:ind w:left="209" w:right="1"/>
        <w:jc w:val="center"/>
        <w:rPr>
          <w:rFonts w:hint="eastAsia" w:ascii="Times New Roman" w:hAnsi="Times New Roman" w:cs="Times New Roman"/>
          <w:b/>
          <w:sz w:val="36"/>
          <w:szCs w:val="36"/>
          <w:highlight w:val="none"/>
          <w:lang w:eastAsia="zh-CN"/>
        </w:rPr>
      </w:pPr>
    </w:p>
    <w:p>
      <w:pPr>
        <w:pageBreakBefore w:val="0"/>
        <w:kinsoku/>
        <w:wordWrap/>
        <w:bidi w:val="0"/>
        <w:spacing w:before="38"/>
        <w:ind w:left="209" w:right="1"/>
        <w:jc w:val="center"/>
        <w:rPr>
          <w:rFonts w:hint="eastAsia" w:ascii="Times New Roman" w:hAnsi="Times New Roman" w:cs="Times New Roman"/>
          <w:b/>
          <w:sz w:val="36"/>
          <w:szCs w:val="36"/>
          <w:highlight w:val="none"/>
          <w:lang w:eastAsia="zh-CN"/>
        </w:rPr>
      </w:pPr>
      <w:r>
        <w:rPr>
          <w:rFonts w:hint="eastAsia" w:ascii="Times New Roman" w:hAnsi="Times New Roman" w:cs="Times New Roman"/>
          <w:b/>
          <w:sz w:val="36"/>
          <w:szCs w:val="36"/>
          <w:highlight w:val="none"/>
          <w:lang w:eastAsia="zh-CN"/>
        </w:rPr>
        <w:t>（</w:t>
      </w:r>
      <w:r>
        <w:rPr>
          <w:rFonts w:hint="eastAsia" w:ascii="Times New Roman" w:hAnsi="Times New Roman" w:cs="Times New Roman"/>
          <w:b/>
          <w:sz w:val="36"/>
          <w:szCs w:val="36"/>
          <w:highlight w:val="none"/>
          <w:lang w:val="en-US" w:eastAsia="zh-CN"/>
        </w:rPr>
        <w:t>B地块补充</w:t>
      </w:r>
      <w:r>
        <w:rPr>
          <w:rFonts w:hint="eastAsia" w:ascii="Times New Roman" w:hAnsi="Times New Roman" w:cs="Times New Roman"/>
          <w:b/>
          <w:sz w:val="36"/>
          <w:szCs w:val="36"/>
          <w:highlight w:val="none"/>
          <w:lang w:eastAsia="zh-CN"/>
        </w:rPr>
        <w:t>）</w:t>
      </w: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ageBreakBefore w:val="0"/>
        <w:kinsoku/>
        <w:wordWrap/>
        <w:bidi w:val="0"/>
        <w:rPr>
          <w:rFonts w:hint="default" w:ascii="Times New Roman" w:hAnsi="Times New Roman" w:cs="Times New Roman"/>
          <w:b/>
          <w:sz w:val="44"/>
          <w:highlight w:val="none"/>
        </w:rPr>
      </w:pPr>
    </w:p>
    <w:p>
      <w:pPr>
        <w:pStyle w:val="87"/>
        <w:pageBreakBefore w:val="0"/>
        <w:kinsoku/>
        <w:wordWrap/>
        <w:bidi w:val="0"/>
        <w:ind w:left="0" w:leftChars="0" w:firstLine="0" w:firstLineChars="0"/>
        <w:rPr>
          <w:rFonts w:hint="default" w:ascii="Times New Roman" w:hAnsi="Times New Roman" w:cs="Times New Roman"/>
          <w:b/>
          <w:sz w:val="44"/>
          <w:highlight w:val="none"/>
        </w:rPr>
      </w:pPr>
    </w:p>
    <w:p>
      <w:pPr>
        <w:pStyle w:val="86"/>
        <w:pageBreakBefore w:val="0"/>
        <w:kinsoku/>
        <w:wordWrap/>
        <w:bidi w:val="0"/>
        <w:ind w:left="0" w:leftChars="0" w:firstLine="0" w:firstLineChars="0"/>
        <w:rPr>
          <w:rFonts w:hint="default" w:ascii="Times New Roman" w:hAnsi="Times New Roman" w:cs="Times New Roman"/>
          <w:highlight w:val="none"/>
        </w:rPr>
      </w:pPr>
    </w:p>
    <w:p>
      <w:pPr>
        <w:pStyle w:val="35"/>
        <w:pageBreakBefore w:val="0"/>
        <w:kinsoku/>
        <w:wordWrap/>
        <w:bidi w:val="0"/>
        <w:spacing w:before="2"/>
        <w:rPr>
          <w:rFonts w:hint="default" w:ascii="Times New Roman" w:hAnsi="Times New Roman" w:cs="Times New Roman"/>
          <w:b/>
          <w:sz w:val="36"/>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1920" w:firstLineChars="600"/>
        <w:jc w:val="left"/>
        <w:textAlignment w:val="auto"/>
        <w:rPr>
          <w:rFonts w:hint="default" w:ascii="Times New Roman" w:hAnsi="Times New Roman" w:eastAsia="宋体" w:cs="Times New Roman"/>
          <w:sz w:val="32"/>
          <w:highlight w:val="none"/>
          <w:lang w:eastAsia="zh-CN"/>
        </w:rPr>
      </w:pPr>
      <w:r>
        <w:rPr>
          <w:rFonts w:hint="default" w:ascii="Times New Roman" w:hAnsi="Times New Roman" w:cs="Times New Roman"/>
          <w:sz w:val="32"/>
          <w:highlight w:val="none"/>
        </w:rPr>
        <w:t>建设单位：</w:t>
      </w:r>
      <w:r>
        <w:rPr>
          <w:rFonts w:hint="default" w:ascii="Times New Roman" w:hAnsi="Times New Roman" w:cs="Times New Roman"/>
          <w:sz w:val="32"/>
          <w:highlight w:val="none"/>
          <w:lang w:eastAsia="zh-CN"/>
        </w:rPr>
        <w:t>长春市瑞通投资有限公司</w:t>
      </w:r>
    </w:p>
    <w:p>
      <w:pPr>
        <w:keepNext w:val="0"/>
        <w:keepLines w:val="0"/>
        <w:pageBreakBefore w:val="0"/>
        <w:widowControl w:val="0"/>
        <w:tabs>
          <w:tab w:val="left" w:pos="5288"/>
        </w:tabs>
        <w:kinsoku/>
        <w:wordWrap/>
        <w:overflowPunct/>
        <w:topLinePunct w:val="0"/>
        <w:autoSpaceDE/>
        <w:autoSpaceDN/>
        <w:bidi w:val="0"/>
        <w:adjustRightInd/>
        <w:snapToGrid/>
        <w:spacing w:line="360" w:lineRule="auto"/>
        <w:ind w:left="0" w:leftChars="0" w:right="0" w:firstLine="1920" w:firstLineChars="600"/>
        <w:jc w:val="left"/>
        <w:textAlignment w:val="auto"/>
        <w:rPr>
          <w:rFonts w:hint="default" w:ascii="Times New Roman" w:hAnsi="Times New Roman" w:eastAsia="宋体" w:cs="Times New Roman"/>
          <w:b/>
          <w:bCs/>
          <w:sz w:val="32"/>
          <w:highlight w:val="none"/>
          <w:lang w:eastAsia="zh-CN"/>
        </w:rPr>
      </w:pPr>
      <w:r>
        <w:rPr>
          <w:rFonts w:hint="default" w:ascii="Times New Roman" w:hAnsi="Times New Roman" w:cs="Times New Roman"/>
          <w:sz w:val="32"/>
          <w:highlight w:val="none"/>
        </w:rPr>
        <w:t>编制单位：</w:t>
      </w:r>
      <w:r>
        <w:rPr>
          <w:rFonts w:hint="eastAsia" w:cs="Times New Roman"/>
          <w:sz w:val="32"/>
          <w:highlight w:val="none"/>
          <w:lang w:eastAsia="zh-CN"/>
        </w:rPr>
        <w:t>吉林省晟元工程咨询有限公司</w:t>
      </w:r>
    </w:p>
    <w:p>
      <w:pPr>
        <w:keepNext w:val="0"/>
        <w:keepLines w:val="0"/>
        <w:pageBreakBefore w:val="0"/>
        <w:widowControl w:val="0"/>
        <w:tabs>
          <w:tab w:val="left" w:pos="5288"/>
        </w:tabs>
        <w:kinsoku/>
        <w:wordWrap/>
        <w:overflowPunct/>
        <w:topLinePunct w:val="0"/>
        <w:autoSpaceDE/>
        <w:autoSpaceDN/>
        <w:bidi w:val="0"/>
        <w:adjustRightInd/>
        <w:snapToGrid/>
        <w:spacing w:line="360" w:lineRule="auto"/>
        <w:ind w:left="0" w:leftChars="0" w:right="0" w:firstLine="0" w:firstLineChars="0"/>
        <w:jc w:val="center"/>
        <w:textAlignment w:val="auto"/>
        <w:rPr>
          <w:rFonts w:hint="default" w:ascii="Times New Roman" w:hAnsi="Times New Roman" w:cs="Times New Roman"/>
          <w:sz w:val="32"/>
          <w:highlight w:val="none"/>
          <w:lang w:eastAsia="zh-CN"/>
        </w:rPr>
      </w:pPr>
    </w:p>
    <w:p>
      <w:pPr>
        <w:keepNext w:val="0"/>
        <w:keepLines w:val="0"/>
        <w:pageBreakBefore w:val="0"/>
        <w:widowControl w:val="0"/>
        <w:tabs>
          <w:tab w:val="left" w:pos="5288"/>
        </w:tabs>
        <w:kinsoku/>
        <w:wordWrap/>
        <w:overflowPunct/>
        <w:topLinePunct w:val="0"/>
        <w:autoSpaceDE/>
        <w:autoSpaceDN/>
        <w:bidi w:val="0"/>
        <w:adjustRightInd/>
        <w:snapToGrid/>
        <w:spacing w:line="360" w:lineRule="auto"/>
        <w:ind w:left="0" w:leftChars="0" w:right="0" w:firstLine="0" w:firstLineChars="0"/>
        <w:jc w:val="center"/>
        <w:textAlignment w:val="auto"/>
        <w:rPr>
          <w:rFonts w:hint="default" w:ascii="Times New Roman" w:hAnsi="Times New Roman" w:cs="Times New Roman"/>
          <w:sz w:val="32"/>
          <w:highlight w:val="none"/>
          <w:lang w:eastAsia="zh-CN"/>
        </w:rPr>
      </w:pPr>
      <w:r>
        <w:rPr>
          <w:rFonts w:hint="eastAsia" w:cs="Times New Roman"/>
          <w:sz w:val="32"/>
          <w:highlight w:val="none"/>
          <w:lang w:eastAsia="zh-CN"/>
        </w:rPr>
        <w:t>二〇二三年五月</w:t>
      </w:r>
    </w:p>
    <w:p>
      <w:pPr>
        <w:pStyle w:val="87"/>
        <w:pageBreakBefore w:val="0"/>
        <w:kinsoku/>
        <w:wordWrap/>
        <w:bidi w:val="0"/>
        <w:ind w:left="0" w:leftChars="0" w:firstLine="0" w:firstLineChars="0"/>
        <w:rPr>
          <w:rFonts w:hint="default" w:ascii="Times New Roman" w:hAnsi="Times New Roman" w:cs="Times New Roman"/>
          <w:sz w:val="32"/>
          <w:highlight w:val="none"/>
          <w:lang w:eastAsia="zh-CN"/>
        </w:rPr>
      </w:pPr>
    </w:p>
    <w:p>
      <w:pPr>
        <w:pStyle w:val="37"/>
        <w:pageBreakBefore w:val="0"/>
        <w:kinsoku/>
        <w:wordWrap/>
        <w:bidi w:val="0"/>
        <w:rPr>
          <w:rFonts w:hint="default" w:ascii="Times New Roman" w:hAnsi="Times New Roman" w:cs="Times New Roman"/>
          <w:lang w:eastAsia="zh-CN"/>
        </w:rPr>
        <w:sectPr>
          <w:pgSz w:w="11910" w:h="16850"/>
          <w:pgMar w:top="1460" w:right="1240" w:bottom="280" w:left="1260" w:header="720" w:footer="720" w:gutter="0"/>
          <w:pgBorders>
            <w:top w:val="none" w:sz="0" w:space="0"/>
            <w:left w:val="none" w:sz="0" w:space="0"/>
            <w:bottom w:val="none" w:sz="0" w:space="0"/>
            <w:right w:val="none" w:sz="0" w:space="0"/>
          </w:pgBorders>
          <w:pgNumType w:fmt="decimal"/>
          <w:cols w:space="720" w:num="1"/>
        </w:sectPr>
      </w:pPr>
    </w:p>
    <w:p>
      <w:pPr>
        <w:pageBreakBefore w:val="0"/>
        <w:kinsoku/>
        <w:wordWrap/>
        <w:bidi w:val="0"/>
        <w:adjustRightInd w:val="0"/>
        <w:snapToGrid w:val="0"/>
        <w:spacing w:before="120" w:line="360" w:lineRule="auto"/>
        <w:jc w:val="center"/>
        <w:rPr>
          <w:rFonts w:hint="default" w:ascii="Times New Roman" w:hAnsi="Times New Roman" w:eastAsia="黑体" w:cs="Times New Roman"/>
          <w:bCs/>
          <w:sz w:val="32"/>
          <w:szCs w:val="32"/>
          <w:highlight w:val="none"/>
          <w:lang w:val="zh-CN"/>
        </w:rPr>
      </w:pPr>
      <w:r>
        <w:rPr>
          <w:rFonts w:hint="eastAsia" w:eastAsia="黑体" w:cs="Times New Roman"/>
          <w:bCs/>
          <w:sz w:val="32"/>
          <w:szCs w:val="32"/>
          <w:highlight w:val="none"/>
          <w:lang w:val="zh-CN" w:eastAsia="zh-CN"/>
        </w:rPr>
        <w:t>长春国际物流经济开发区新兴建材产业园区建设</w:t>
      </w:r>
      <w:r>
        <w:rPr>
          <w:rFonts w:hint="eastAsia" w:eastAsia="黑体" w:cs="Times New Roman"/>
          <w:bCs/>
          <w:sz w:val="32"/>
          <w:szCs w:val="32"/>
          <w:highlight w:val="none"/>
          <w:lang w:val="zh-CN"/>
        </w:rPr>
        <w:t>项目</w:t>
      </w:r>
    </w:p>
    <w:p>
      <w:pPr>
        <w:pageBreakBefore w:val="0"/>
        <w:kinsoku/>
        <w:wordWrap/>
        <w:bidi w:val="0"/>
        <w:adjustRightInd w:val="0"/>
        <w:snapToGrid w:val="0"/>
        <w:spacing w:before="120" w:line="360" w:lineRule="auto"/>
        <w:jc w:val="center"/>
        <w:rPr>
          <w:rFonts w:hint="default" w:ascii="Times New Roman" w:hAnsi="Times New Roman" w:eastAsia="黑体" w:cs="Times New Roman"/>
          <w:bCs/>
          <w:sz w:val="32"/>
          <w:szCs w:val="32"/>
          <w:highlight w:val="none"/>
          <w:lang w:val="zh-CN"/>
        </w:rPr>
      </w:pPr>
      <w:r>
        <w:rPr>
          <w:rFonts w:hint="default" w:ascii="Times New Roman" w:hAnsi="Times New Roman" w:eastAsia="黑体" w:cs="Times New Roman"/>
          <w:bCs/>
          <w:sz w:val="32"/>
          <w:szCs w:val="32"/>
          <w:highlight w:val="none"/>
          <w:lang w:val="zh-CN"/>
        </w:rPr>
        <w:t>水土保持方案报告书</w:t>
      </w:r>
      <w:r>
        <w:rPr>
          <w:rFonts w:hint="eastAsia" w:eastAsia="黑体" w:cs="Times New Roman"/>
          <w:bCs/>
          <w:sz w:val="32"/>
          <w:szCs w:val="32"/>
          <w:highlight w:val="none"/>
          <w:lang w:val="zh-CN"/>
        </w:rPr>
        <w:t>（</w:t>
      </w:r>
      <w:r>
        <w:rPr>
          <w:rFonts w:hint="eastAsia" w:eastAsia="黑体" w:cs="Times New Roman"/>
          <w:bCs/>
          <w:sz w:val="32"/>
          <w:szCs w:val="32"/>
          <w:highlight w:val="none"/>
          <w:lang w:val="en-US" w:eastAsia="zh-CN"/>
        </w:rPr>
        <w:t>B地块补充</w:t>
      </w:r>
      <w:r>
        <w:rPr>
          <w:rFonts w:hint="eastAsia" w:eastAsia="黑体" w:cs="Times New Roman"/>
          <w:bCs/>
          <w:sz w:val="32"/>
          <w:szCs w:val="32"/>
          <w:highlight w:val="none"/>
          <w:lang w:val="zh-CN"/>
        </w:rPr>
        <w:t>）</w:t>
      </w:r>
    </w:p>
    <w:p>
      <w:pPr>
        <w:pageBreakBefore w:val="0"/>
        <w:kinsoku/>
        <w:wordWrap/>
        <w:bidi w:val="0"/>
        <w:adjustRightInd w:val="0"/>
        <w:snapToGrid w:val="0"/>
        <w:spacing w:before="120" w:line="360" w:lineRule="auto"/>
        <w:jc w:val="center"/>
        <w:rPr>
          <w:rFonts w:hint="default" w:ascii="Times New Roman" w:hAnsi="Times New Roman" w:eastAsia="黑体" w:cs="Times New Roman"/>
          <w:bCs/>
          <w:sz w:val="32"/>
          <w:szCs w:val="32"/>
          <w:highlight w:val="none"/>
          <w:lang w:val="zh-CN"/>
        </w:rPr>
      </w:pPr>
      <w:r>
        <w:rPr>
          <w:rFonts w:hint="default" w:ascii="Times New Roman" w:hAnsi="Times New Roman" w:eastAsia="黑体" w:cs="Times New Roman"/>
          <w:bCs/>
          <w:sz w:val="32"/>
          <w:szCs w:val="32"/>
          <w:highlight w:val="none"/>
          <w:lang w:val="zh-CN"/>
        </w:rPr>
        <w:t>责任页</w:t>
      </w:r>
    </w:p>
    <w:p>
      <w:pPr>
        <w:pStyle w:val="35"/>
        <w:pageBreakBefore w:val="0"/>
        <w:kinsoku/>
        <w:wordWrap/>
        <w:bidi w:val="0"/>
        <w:jc w:val="center"/>
        <w:rPr>
          <w:rFonts w:hint="default" w:ascii="Times New Roman" w:hAnsi="Times New Roman" w:cs="Times New Roman"/>
          <w:sz w:val="28"/>
          <w:szCs w:val="28"/>
          <w:highlight w:val="none"/>
        </w:rPr>
      </w:pPr>
      <w:r>
        <w:rPr>
          <w:rFonts w:hint="eastAsia" w:cs="Times New Roman"/>
          <w:sz w:val="28"/>
          <w:szCs w:val="28"/>
          <w:highlight w:val="none"/>
          <w:lang w:eastAsia="zh-CN"/>
        </w:rPr>
        <w:t>吉林省晟元工程咨询有限公司</w:t>
      </w:r>
    </w:p>
    <w:tbl>
      <w:tblPr>
        <w:tblStyle w:val="88"/>
        <w:tblW w:w="0" w:type="auto"/>
        <w:jc w:val="center"/>
        <w:tblLayout w:type="autofit"/>
        <w:tblCellMar>
          <w:top w:w="0" w:type="dxa"/>
          <w:left w:w="108" w:type="dxa"/>
          <w:bottom w:w="0" w:type="dxa"/>
          <w:right w:w="108" w:type="dxa"/>
        </w:tblCellMar>
      </w:tblPr>
      <w:tblGrid>
        <w:gridCol w:w="1985"/>
        <w:gridCol w:w="2126"/>
        <w:gridCol w:w="3402"/>
      </w:tblGrid>
      <w:tr>
        <w:tblPrEx>
          <w:tblCellMar>
            <w:top w:w="0" w:type="dxa"/>
            <w:left w:w="108" w:type="dxa"/>
            <w:bottom w:w="0" w:type="dxa"/>
            <w:right w:w="108" w:type="dxa"/>
          </w:tblCellMar>
        </w:tblPrEx>
        <w:trPr>
          <w:trHeight w:val="907" w:hRule="exact"/>
          <w:jc w:val="center"/>
        </w:trPr>
        <w:tc>
          <w:tcPr>
            <w:tcW w:w="1985" w:type="dxa"/>
            <w:noWrap w:val="0"/>
            <w:vAlign w:val="center"/>
          </w:tcPr>
          <w:p>
            <w:pPr>
              <w:pageBreakBefore w:val="0"/>
              <w:kinsoku/>
              <w:wordWrap/>
              <w:bidi w:val="0"/>
              <w:adjustRightInd w:val="0"/>
              <w:snapToGrid w:val="0"/>
              <w:ind w:left="155" w:leftChars="74" w:right="158" w:rightChars="75"/>
              <w:jc w:val="distribute"/>
              <w:rPr>
                <w:rFonts w:hint="default" w:ascii="Times New Roman" w:hAnsi="Times New Roman" w:eastAsia="黑体" w:cs="Times New Roman"/>
                <w:bCs/>
                <w:sz w:val="28"/>
                <w:szCs w:val="28"/>
                <w:highlight w:val="none"/>
              </w:rPr>
            </w:pPr>
            <w:r>
              <w:rPr>
                <w:rFonts w:hint="default" w:ascii="Times New Roman" w:hAnsi="Times New Roman" w:eastAsia="黑体" w:cs="Times New Roman"/>
                <w:bCs/>
                <w:sz w:val="28"/>
                <w:szCs w:val="28"/>
                <w:highlight w:val="none"/>
              </w:rPr>
              <w:t>批准</w:t>
            </w:r>
          </w:p>
        </w:tc>
        <w:tc>
          <w:tcPr>
            <w:tcW w:w="5528" w:type="dxa"/>
            <w:gridSpan w:val="2"/>
            <w:noWrap w:val="0"/>
            <w:vAlign w:val="center"/>
          </w:tcPr>
          <w:p>
            <w:pPr>
              <w:pageBreakBefore w:val="0"/>
              <w:kinsoku/>
              <w:wordWrap/>
              <w:bidi w:val="0"/>
              <w:adjustRightInd w:val="0"/>
              <w:snapToGrid w:val="0"/>
              <w:jc w:val="center"/>
              <w:rPr>
                <w:rFonts w:hint="default" w:ascii="Times New Roman" w:hAnsi="Times New Roman" w:eastAsia="黑体" w:cs="Times New Roman"/>
                <w:b/>
                <w:sz w:val="32"/>
                <w:szCs w:val="32"/>
                <w:highlight w:val="none"/>
              </w:rPr>
            </w:pPr>
          </w:p>
        </w:tc>
      </w:tr>
      <w:tr>
        <w:tblPrEx>
          <w:tblCellMar>
            <w:top w:w="0" w:type="dxa"/>
            <w:left w:w="108" w:type="dxa"/>
            <w:bottom w:w="0" w:type="dxa"/>
            <w:right w:w="108" w:type="dxa"/>
          </w:tblCellMar>
        </w:tblPrEx>
        <w:trPr>
          <w:trHeight w:val="907" w:hRule="exact"/>
          <w:jc w:val="center"/>
        </w:trPr>
        <w:tc>
          <w:tcPr>
            <w:tcW w:w="1985" w:type="dxa"/>
            <w:noWrap w:val="0"/>
            <w:vAlign w:val="center"/>
          </w:tcPr>
          <w:p>
            <w:pPr>
              <w:pageBreakBefore w:val="0"/>
              <w:kinsoku/>
              <w:wordWrap/>
              <w:bidi w:val="0"/>
              <w:adjustRightInd w:val="0"/>
              <w:snapToGrid w:val="0"/>
              <w:ind w:left="155" w:leftChars="74" w:right="158" w:rightChars="75"/>
              <w:jc w:val="distribute"/>
              <w:rPr>
                <w:rFonts w:hint="default" w:ascii="Times New Roman" w:hAnsi="Times New Roman" w:eastAsia="黑体" w:cs="Times New Roman"/>
                <w:bCs/>
                <w:sz w:val="28"/>
                <w:szCs w:val="28"/>
                <w:highlight w:val="none"/>
              </w:rPr>
            </w:pPr>
            <w:r>
              <w:rPr>
                <w:rFonts w:hint="default" w:ascii="Times New Roman" w:hAnsi="Times New Roman" w:eastAsia="黑体" w:cs="Times New Roman"/>
                <w:bCs/>
                <w:sz w:val="28"/>
                <w:szCs w:val="28"/>
                <w:highlight w:val="none"/>
              </w:rPr>
              <w:t>核定</w:t>
            </w:r>
          </w:p>
        </w:tc>
        <w:tc>
          <w:tcPr>
            <w:tcW w:w="5528" w:type="dxa"/>
            <w:gridSpan w:val="2"/>
            <w:noWrap w:val="0"/>
            <w:vAlign w:val="center"/>
          </w:tcPr>
          <w:p>
            <w:pPr>
              <w:pageBreakBefore w:val="0"/>
              <w:kinsoku/>
              <w:wordWrap/>
              <w:bidi w:val="0"/>
              <w:adjustRightInd w:val="0"/>
              <w:snapToGrid w:val="0"/>
              <w:jc w:val="center"/>
              <w:rPr>
                <w:rFonts w:hint="default" w:ascii="Times New Roman" w:hAnsi="Times New Roman" w:eastAsia="黑体" w:cs="Times New Roman"/>
                <w:b/>
                <w:sz w:val="32"/>
                <w:szCs w:val="32"/>
                <w:highlight w:val="none"/>
              </w:rPr>
            </w:pPr>
          </w:p>
        </w:tc>
      </w:tr>
      <w:tr>
        <w:tblPrEx>
          <w:tblCellMar>
            <w:top w:w="0" w:type="dxa"/>
            <w:left w:w="108" w:type="dxa"/>
            <w:bottom w:w="0" w:type="dxa"/>
            <w:right w:w="108" w:type="dxa"/>
          </w:tblCellMar>
        </w:tblPrEx>
        <w:trPr>
          <w:trHeight w:val="907" w:hRule="exact"/>
          <w:jc w:val="center"/>
        </w:trPr>
        <w:tc>
          <w:tcPr>
            <w:tcW w:w="1985" w:type="dxa"/>
            <w:noWrap w:val="0"/>
            <w:vAlign w:val="center"/>
          </w:tcPr>
          <w:p>
            <w:pPr>
              <w:pageBreakBefore w:val="0"/>
              <w:kinsoku/>
              <w:wordWrap/>
              <w:bidi w:val="0"/>
              <w:adjustRightInd w:val="0"/>
              <w:snapToGrid w:val="0"/>
              <w:ind w:left="155" w:leftChars="74" w:right="158" w:rightChars="75"/>
              <w:jc w:val="distribute"/>
              <w:rPr>
                <w:rFonts w:hint="default" w:ascii="Times New Roman" w:hAnsi="Times New Roman" w:eastAsia="黑体" w:cs="Times New Roman"/>
                <w:bCs/>
                <w:sz w:val="28"/>
                <w:szCs w:val="28"/>
                <w:highlight w:val="none"/>
              </w:rPr>
            </w:pPr>
            <w:r>
              <w:rPr>
                <w:rFonts w:hint="default" w:ascii="Times New Roman" w:hAnsi="Times New Roman" w:eastAsia="黑体" w:cs="Times New Roman"/>
                <w:bCs/>
                <w:sz w:val="28"/>
                <w:szCs w:val="28"/>
                <w:highlight w:val="none"/>
              </w:rPr>
              <w:t>审查</w:t>
            </w:r>
          </w:p>
        </w:tc>
        <w:tc>
          <w:tcPr>
            <w:tcW w:w="5528" w:type="dxa"/>
            <w:gridSpan w:val="2"/>
            <w:noWrap w:val="0"/>
            <w:vAlign w:val="center"/>
          </w:tcPr>
          <w:p>
            <w:pPr>
              <w:pageBreakBefore w:val="0"/>
              <w:kinsoku/>
              <w:wordWrap/>
              <w:bidi w:val="0"/>
              <w:adjustRightInd w:val="0"/>
              <w:snapToGrid w:val="0"/>
              <w:jc w:val="distribute"/>
              <w:rPr>
                <w:rFonts w:hint="default" w:ascii="Times New Roman" w:hAnsi="Times New Roman" w:eastAsia="黑体" w:cs="Times New Roman"/>
                <w:b/>
                <w:sz w:val="32"/>
                <w:szCs w:val="32"/>
                <w:highlight w:val="none"/>
              </w:rPr>
            </w:pPr>
          </w:p>
        </w:tc>
      </w:tr>
      <w:tr>
        <w:tblPrEx>
          <w:tblCellMar>
            <w:top w:w="0" w:type="dxa"/>
            <w:left w:w="108" w:type="dxa"/>
            <w:bottom w:w="0" w:type="dxa"/>
            <w:right w:w="108" w:type="dxa"/>
          </w:tblCellMar>
        </w:tblPrEx>
        <w:trPr>
          <w:trHeight w:val="907" w:hRule="exact"/>
          <w:jc w:val="center"/>
        </w:trPr>
        <w:tc>
          <w:tcPr>
            <w:tcW w:w="1985" w:type="dxa"/>
            <w:noWrap w:val="0"/>
            <w:vAlign w:val="center"/>
          </w:tcPr>
          <w:p>
            <w:pPr>
              <w:pageBreakBefore w:val="0"/>
              <w:kinsoku/>
              <w:wordWrap/>
              <w:bidi w:val="0"/>
              <w:adjustRightInd w:val="0"/>
              <w:snapToGrid w:val="0"/>
              <w:ind w:left="155" w:leftChars="74" w:right="158" w:rightChars="75"/>
              <w:jc w:val="distribute"/>
              <w:rPr>
                <w:rFonts w:hint="default" w:ascii="Times New Roman" w:hAnsi="Times New Roman" w:eastAsia="黑体" w:cs="Times New Roman"/>
                <w:bCs/>
                <w:sz w:val="28"/>
                <w:szCs w:val="28"/>
                <w:highlight w:val="none"/>
              </w:rPr>
            </w:pPr>
            <w:r>
              <w:rPr>
                <w:rFonts w:hint="default" w:ascii="Times New Roman" w:hAnsi="Times New Roman" w:eastAsia="黑体" w:cs="Times New Roman"/>
                <w:bCs/>
                <w:sz w:val="28"/>
                <w:szCs w:val="28"/>
                <w:highlight w:val="none"/>
              </w:rPr>
              <w:t>校核</w:t>
            </w:r>
          </w:p>
        </w:tc>
        <w:tc>
          <w:tcPr>
            <w:tcW w:w="5528" w:type="dxa"/>
            <w:gridSpan w:val="2"/>
            <w:noWrap w:val="0"/>
            <w:vAlign w:val="center"/>
          </w:tcPr>
          <w:p>
            <w:pPr>
              <w:pageBreakBefore w:val="0"/>
              <w:kinsoku/>
              <w:wordWrap/>
              <w:bidi w:val="0"/>
              <w:adjustRightInd w:val="0"/>
              <w:snapToGrid w:val="0"/>
              <w:jc w:val="distribute"/>
              <w:rPr>
                <w:rFonts w:hint="default" w:ascii="Times New Roman" w:hAnsi="Times New Roman" w:eastAsia="黑体" w:cs="Times New Roman"/>
                <w:b/>
                <w:sz w:val="32"/>
                <w:szCs w:val="32"/>
                <w:highlight w:val="none"/>
              </w:rPr>
            </w:pPr>
          </w:p>
        </w:tc>
      </w:tr>
      <w:tr>
        <w:tblPrEx>
          <w:tblCellMar>
            <w:top w:w="0" w:type="dxa"/>
            <w:left w:w="108" w:type="dxa"/>
            <w:bottom w:w="0" w:type="dxa"/>
            <w:right w:w="108" w:type="dxa"/>
          </w:tblCellMar>
        </w:tblPrEx>
        <w:trPr>
          <w:trHeight w:val="907" w:hRule="exact"/>
          <w:jc w:val="center"/>
        </w:trPr>
        <w:tc>
          <w:tcPr>
            <w:tcW w:w="1985" w:type="dxa"/>
            <w:noWrap w:val="0"/>
            <w:vAlign w:val="center"/>
          </w:tcPr>
          <w:p>
            <w:pPr>
              <w:pageBreakBefore w:val="0"/>
              <w:kinsoku/>
              <w:wordWrap/>
              <w:bidi w:val="0"/>
              <w:adjustRightInd w:val="0"/>
              <w:snapToGrid w:val="0"/>
              <w:ind w:left="155" w:leftChars="74" w:right="158" w:rightChars="75"/>
              <w:jc w:val="distribute"/>
              <w:rPr>
                <w:rFonts w:hint="default" w:ascii="Times New Roman" w:hAnsi="Times New Roman" w:eastAsia="黑体" w:cs="Times New Roman"/>
                <w:bCs/>
                <w:sz w:val="28"/>
                <w:szCs w:val="28"/>
                <w:highlight w:val="none"/>
              </w:rPr>
            </w:pPr>
            <w:r>
              <w:rPr>
                <w:rFonts w:hint="default" w:ascii="Times New Roman" w:hAnsi="Times New Roman" w:eastAsia="黑体" w:cs="Times New Roman"/>
                <w:bCs/>
                <w:sz w:val="28"/>
                <w:szCs w:val="28"/>
                <w:highlight w:val="none"/>
              </w:rPr>
              <w:t>项目负责人</w:t>
            </w:r>
          </w:p>
        </w:tc>
        <w:tc>
          <w:tcPr>
            <w:tcW w:w="5528" w:type="dxa"/>
            <w:gridSpan w:val="2"/>
            <w:noWrap w:val="0"/>
            <w:vAlign w:val="center"/>
          </w:tcPr>
          <w:p>
            <w:pPr>
              <w:pageBreakBefore w:val="0"/>
              <w:kinsoku/>
              <w:wordWrap/>
              <w:bidi w:val="0"/>
              <w:adjustRightInd w:val="0"/>
              <w:snapToGrid w:val="0"/>
              <w:jc w:val="distribute"/>
              <w:rPr>
                <w:rFonts w:hint="default" w:ascii="Times New Roman" w:hAnsi="Times New Roman" w:eastAsia="黑体" w:cs="Times New Roman"/>
                <w:b/>
                <w:sz w:val="32"/>
                <w:szCs w:val="32"/>
                <w:highlight w:val="none"/>
              </w:rPr>
            </w:pPr>
          </w:p>
        </w:tc>
      </w:tr>
      <w:tr>
        <w:tblPrEx>
          <w:tblCellMar>
            <w:top w:w="0" w:type="dxa"/>
            <w:left w:w="108" w:type="dxa"/>
            <w:bottom w:w="0" w:type="dxa"/>
            <w:right w:w="108" w:type="dxa"/>
          </w:tblCellMar>
        </w:tblPrEx>
        <w:trPr>
          <w:trHeight w:val="1021" w:hRule="exact"/>
          <w:jc w:val="center"/>
        </w:trPr>
        <w:tc>
          <w:tcPr>
            <w:tcW w:w="1985" w:type="dxa"/>
            <w:noWrap w:val="0"/>
            <w:vAlign w:val="center"/>
          </w:tcPr>
          <w:p>
            <w:pPr>
              <w:pageBreakBefore w:val="0"/>
              <w:kinsoku/>
              <w:wordWrap/>
              <w:bidi w:val="0"/>
              <w:adjustRightInd w:val="0"/>
              <w:snapToGrid w:val="0"/>
              <w:ind w:left="155" w:leftChars="74" w:right="158" w:rightChars="75"/>
              <w:jc w:val="distribute"/>
              <w:rPr>
                <w:rFonts w:hint="default" w:ascii="Times New Roman" w:hAnsi="Times New Roman" w:eastAsia="黑体" w:cs="Times New Roman"/>
                <w:bCs/>
                <w:sz w:val="28"/>
                <w:szCs w:val="28"/>
                <w:highlight w:val="none"/>
              </w:rPr>
            </w:pPr>
            <w:r>
              <w:rPr>
                <w:rFonts w:hint="default" w:ascii="Times New Roman" w:hAnsi="Times New Roman" w:eastAsia="黑体" w:cs="Times New Roman"/>
                <w:bCs/>
                <w:sz w:val="28"/>
                <w:szCs w:val="28"/>
                <w:highlight w:val="none"/>
              </w:rPr>
              <w:t>编写</w:t>
            </w:r>
          </w:p>
        </w:tc>
        <w:tc>
          <w:tcPr>
            <w:tcW w:w="2126" w:type="dxa"/>
            <w:noWrap w:val="0"/>
            <w:vAlign w:val="center"/>
          </w:tcPr>
          <w:p>
            <w:pPr>
              <w:pageBreakBefore w:val="0"/>
              <w:kinsoku/>
              <w:wordWrap/>
              <w:bidi w:val="0"/>
              <w:adjustRightInd w:val="0"/>
              <w:snapToGrid w:val="0"/>
              <w:jc w:val="center"/>
              <w:rPr>
                <w:rFonts w:hint="default" w:ascii="Times New Roman" w:hAnsi="Times New Roman" w:eastAsia="黑体" w:cs="Times New Roman"/>
                <w:b/>
                <w:sz w:val="32"/>
                <w:szCs w:val="32"/>
                <w:highlight w:val="none"/>
              </w:rPr>
            </w:pPr>
          </w:p>
        </w:tc>
        <w:tc>
          <w:tcPr>
            <w:tcW w:w="3402" w:type="dxa"/>
            <w:noWrap w:val="0"/>
            <w:vAlign w:val="center"/>
          </w:tcPr>
          <w:p>
            <w:pPr>
              <w:pageBreakBefore w:val="0"/>
              <w:kinsoku/>
              <w:wordWrap/>
              <w:bidi w:val="0"/>
              <w:adjustRightInd w:val="0"/>
              <w:snapToGrid w:val="0"/>
              <w:jc w:val="center"/>
              <w:rPr>
                <w:rFonts w:hint="default" w:ascii="Times New Roman" w:hAnsi="Times New Roman" w:cs="Times New Roman"/>
                <w:smallCaps/>
                <w:highlight w:val="none"/>
              </w:rPr>
            </w:pPr>
            <w:r>
              <w:rPr>
                <w:rFonts w:hint="default" w:ascii="Times New Roman" w:hAnsi="Times New Roman" w:cs="Times New Roman"/>
                <w:sz w:val="28"/>
                <w:highlight w:val="none"/>
              </w:rPr>
              <w:t>（负责2、3、5章编写）</w:t>
            </w:r>
          </w:p>
        </w:tc>
      </w:tr>
      <w:tr>
        <w:tblPrEx>
          <w:tblCellMar>
            <w:top w:w="0" w:type="dxa"/>
            <w:left w:w="108" w:type="dxa"/>
            <w:bottom w:w="0" w:type="dxa"/>
            <w:right w:w="108" w:type="dxa"/>
          </w:tblCellMar>
        </w:tblPrEx>
        <w:trPr>
          <w:trHeight w:val="1021" w:hRule="exact"/>
          <w:jc w:val="center"/>
        </w:trPr>
        <w:tc>
          <w:tcPr>
            <w:tcW w:w="1985" w:type="dxa"/>
            <w:noWrap w:val="0"/>
            <w:vAlign w:val="center"/>
          </w:tcPr>
          <w:p>
            <w:pPr>
              <w:pageBreakBefore w:val="0"/>
              <w:kinsoku/>
              <w:wordWrap/>
              <w:bidi w:val="0"/>
              <w:adjustRightInd w:val="0"/>
              <w:snapToGrid w:val="0"/>
              <w:jc w:val="center"/>
              <w:rPr>
                <w:rFonts w:hint="default" w:ascii="Times New Roman" w:hAnsi="Times New Roman" w:eastAsia="黑体" w:cs="Times New Roman"/>
                <w:bCs/>
                <w:sz w:val="28"/>
                <w:szCs w:val="28"/>
                <w:highlight w:val="none"/>
              </w:rPr>
            </w:pPr>
          </w:p>
        </w:tc>
        <w:tc>
          <w:tcPr>
            <w:tcW w:w="2126" w:type="dxa"/>
            <w:noWrap w:val="0"/>
            <w:vAlign w:val="center"/>
          </w:tcPr>
          <w:p>
            <w:pPr>
              <w:pageBreakBefore w:val="0"/>
              <w:kinsoku/>
              <w:wordWrap/>
              <w:bidi w:val="0"/>
              <w:adjustRightInd w:val="0"/>
              <w:snapToGrid w:val="0"/>
              <w:jc w:val="center"/>
              <w:rPr>
                <w:rFonts w:hint="default" w:ascii="Times New Roman" w:hAnsi="Times New Roman" w:eastAsia="黑体" w:cs="Times New Roman"/>
                <w:b/>
                <w:sz w:val="32"/>
                <w:szCs w:val="32"/>
                <w:highlight w:val="none"/>
              </w:rPr>
            </w:pPr>
          </w:p>
        </w:tc>
        <w:tc>
          <w:tcPr>
            <w:tcW w:w="3402" w:type="dxa"/>
            <w:noWrap w:val="0"/>
            <w:vAlign w:val="center"/>
          </w:tcPr>
          <w:p>
            <w:pPr>
              <w:pageBreakBefore w:val="0"/>
              <w:kinsoku/>
              <w:wordWrap/>
              <w:bidi w:val="0"/>
              <w:adjustRightInd w:val="0"/>
              <w:snapToGrid w:val="0"/>
              <w:jc w:val="center"/>
              <w:rPr>
                <w:rFonts w:hint="default" w:ascii="Times New Roman" w:hAnsi="Times New Roman" w:cs="Times New Roman"/>
                <w:smallCaps/>
                <w:highlight w:val="none"/>
              </w:rPr>
            </w:pPr>
            <w:r>
              <w:rPr>
                <w:rFonts w:hint="default" w:ascii="Times New Roman" w:hAnsi="Times New Roman" w:cs="Times New Roman"/>
                <w:sz w:val="28"/>
                <w:highlight w:val="none"/>
              </w:rPr>
              <w:t>（负责1、4、6章编写）</w:t>
            </w:r>
          </w:p>
        </w:tc>
      </w:tr>
      <w:tr>
        <w:tblPrEx>
          <w:tblCellMar>
            <w:top w:w="0" w:type="dxa"/>
            <w:left w:w="108" w:type="dxa"/>
            <w:bottom w:w="0" w:type="dxa"/>
            <w:right w:w="108" w:type="dxa"/>
          </w:tblCellMar>
        </w:tblPrEx>
        <w:trPr>
          <w:trHeight w:val="1021" w:hRule="exact"/>
          <w:jc w:val="center"/>
        </w:trPr>
        <w:tc>
          <w:tcPr>
            <w:tcW w:w="1985" w:type="dxa"/>
            <w:noWrap w:val="0"/>
            <w:vAlign w:val="center"/>
          </w:tcPr>
          <w:p>
            <w:pPr>
              <w:pageBreakBefore w:val="0"/>
              <w:kinsoku/>
              <w:wordWrap/>
              <w:bidi w:val="0"/>
              <w:adjustRightInd w:val="0"/>
              <w:snapToGrid w:val="0"/>
              <w:jc w:val="center"/>
              <w:rPr>
                <w:rFonts w:hint="default" w:ascii="Times New Roman" w:hAnsi="Times New Roman" w:eastAsia="黑体" w:cs="Times New Roman"/>
                <w:bCs/>
                <w:sz w:val="28"/>
                <w:szCs w:val="28"/>
                <w:highlight w:val="none"/>
              </w:rPr>
            </w:pPr>
          </w:p>
        </w:tc>
        <w:tc>
          <w:tcPr>
            <w:tcW w:w="2126" w:type="dxa"/>
            <w:noWrap w:val="0"/>
            <w:vAlign w:val="center"/>
          </w:tcPr>
          <w:p>
            <w:pPr>
              <w:pageBreakBefore w:val="0"/>
              <w:kinsoku/>
              <w:wordWrap/>
              <w:bidi w:val="0"/>
              <w:adjustRightInd w:val="0"/>
              <w:snapToGrid w:val="0"/>
              <w:jc w:val="center"/>
              <w:rPr>
                <w:rFonts w:hint="default" w:ascii="Times New Roman" w:hAnsi="Times New Roman" w:eastAsia="黑体" w:cs="Times New Roman"/>
                <w:b/>
                <w:sz w:val="32"/>
                <w:szCs w:val="32"/>
                <w:highlight w:val="none"/>
              </w:rPr>
            </w:pPr>
          </w:p>
        </w:tc>
        <w:tc>
          <w:tcPr>
            <w:tcW w:w="3402" w:type="dxa"/>
            <w:noWrap w:val="0"/>
            <w:vAlign w:val="center"/>
          </w:tcPr>
          <w:p>
            <w:pPr>
              <w:pageBreakBefore w:val="0"/>
              <w:kinsoku/>
              <w:wordWrap/>
              <w:bidi w:val="0"/>
              <w:adjustRightInd w:val="0"/>
              <w:snapToGrid w:val="0"/>
              <w:jc w:val="center"/>
              <w:rPr>
                <w:rFonts w:hint="default" w:ascii="Times New Roman" w:hAnsi="Times New Roman" w:cs="Times New Roman"/>
                <w:smallCaps/>
                <w:highlight w:val="none"/>
              </w:rPr>
            </w:pPr>
            <w:r>
              <w:rPr>
                <w:rFonts w:hint="default" w:ascii="Times New Roman" w:hAnsi="Times New Roman" w:cs="Times New Roman"/>
                <w:sz w:val="28"/>
                <w:highlight w:val="none"/>
              </w:rPr>
              <w:t>（负责7、8章编写及附图）</w:t>
            </w:r>
          </w:p>
        </w:tc>
      </w:tr>
    </w:tbl>
    <w:p>
      <w:pPr>
        <w:keepNext w:val="0"/>
        <w:keepLines w:val="0"/>
        <w:pageBreakBefore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黑体" w:cs="Times New Roman"/>
          <w:sz w:val="30"/>
          <w:szCs w:val="30"/>
        </w:rPr>
      </w:pPr>
    </w:p>
    <w:p>
      <w:pPr>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黑体" w:cs="Times New Roman"/>
          <w:b/>
          <w:sz w:val="32"/>
          <w:szCs w:val="32"/>
          <w:highlight w:val="none"/>
        </w:rPr>
      </w:pPr>
      <w:r>
        <w:rPr>
          <w:rFonts w:hint="default" w:ascii="Times New Roman" w:hAnsi="Times New Roman" w:eastAsia="黑体" w:cs="Times New Roman"/>
          <w:b/>
          <w:sz w:val="30"/>
          <w:szCs w:val="30"/>
          <w:highlight w:val="none"/>
        </w:rPr>
        <w:br w:type="page"/>
      </w:r>
      <w:r>
        <w:rPr>
          <w:rFonts w:hint="default" w:ascii="Times New Roman" w:hAnsi="Times New Roman" w:eastAsia="黑体" w:cs="Times New Roman"/>
          <w:b w:val="0"/>
          <w:bCs/>
          <w:sz w:val="44"/>
          <w:szCs w:val="44"/>
          <w:highlight w:val="none"/>
        </w:rPr>
        <w:t>目</w:t>
      </w:r>
      <w:r>
        <w:rPr>
          <w:rFonts w:hint="default" w:ascii="Times New Roman" w:hAnsi="Times New Roman" w:eastAsia="黑体" w:cs="Times New Roman"/>
          <w:b w:val="0"/>
          <w:bCs/>
          <w:sz w:val="44"/>
          <w:szCs w:val="44"/>
          <w:highlight w:val="none"/>
          <w:lang w:val="en-US" w:eastAsia="zh-CN"/>
        </w:rPr>
        <w:t xml:space="preserve">  </w:t>
      </w:r>
      <w:r>
        <w:rPr>
          <w:rFonts w:hint="default" w:ascii="Times New Roman" w:hAnsi="Times New Roman" w:eastAsia="黑体" w:cs="Times New Roman"/>
          <w:b w:val="0"/>
          <w:bCs/>
          <w:sz w:val="44"/>
          <w:szCs w:val="44"/>
          <w:highlight w:val="none"/>
        </w:rPr>
        <w:t>录</w:t>
      </w:r>
    </w:p>
    <w:p>
      <w:pPr>
        <w:pStyle w:val="61"/>
        <w:keepNext w:val="0"/>
        <w:keepLines w:val="0"/>
        <w:pageBreakBefore w:val="0"/>
        <w:widowControl w:val="0"/>
        <w:tabs>
          <w:tab w:val="right" w:leader="dot" w:pos="8408"/>
          <w:tab w:val="clear" w:pos="8400"/>
        </w:tabs>
        <w:kinsoku/>
        <w:wordWrap/>
        <w:overflowPunct/>
        <w:topLinePunct w:val="0"/>
        <w:autoSpaceDE/>
        <w:autoSpaceDN/>
        <w:bidi w:val="0"/>
        <w:adjustRightInd/>
        <w:snapToGrid/>
        <w:spacing w:before="0" w:beforeLines="0" w:line="480"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szCs w:val="24"/>
          <w:highlight w:val="none"/>
        </w:rPr>
        <w:fldChar w:fldCharType="begin"/>
      </w:r>
      <w:r>
        <w:rPr>
          <w:rFonts w:hint="default" w:ascii="Times New Roman" w:hAnsi="Times New Roman" w:eastAsia="仿宋_GB2312" w:cs="Times New Roman"/>
          <w:color w:val="auto"/>
          <w:sz w:val="24"/>
          <w:szCs w:val="24"/>
          <w:highlight w:val="none"/>
        </w:rPr>
        <w:instrText xml:space="preserve"> TOC \o "1-2" \h \z \u </w:instrText>
      </w:r>
      <w:r>
        <w:rPr>
          <w:rFonts w:hint="default" w:ascii="Times New Roman" w:hAnsi="Times New Roman" w:eastAsia="仿宋_GB2312" w:cs="Times New Roman"/>
          <w:color w:val="auto"/>
          <w:sz w:val="24"/>
          <w:szCs w:val="24"/>
          <w:highlight w:val="none"/>
        </w:rPr>
        <w:fldChar w:fldCharType="separate"/>
      </w:r>
      <w:r>
        <w:rPr>
          <w:rFonts w:hint="default" w:ascii="Times New Roman" w:hAnsi="Times New Roman" w:eastAsia="仿宋_GB2312" w:cs="Times New Roman"/>
          <w:color w:val="auto"/>
          <w:sz w:val="24"/>
          <w:szCs w:val="24"/>
          <w:highlight w:val="none"/>
        </w:rPr>
        <w:fldChar w:fldCharType="begin"/>
      </w:r>
      <w:r>
        <w:rPr>
          <w:rFonts w:hint="default" w:ascii="Times New Roman" w:hAnsi="Times New Roman" w:eastAsia="仿宋_GB2312" w:cs="Times New Roman"/>
          <w:sz w:val="24"/>
          <w:szCs w:val="24"/>
          <w:highlight w:val="none"/>
        </w:rPr>
        <w:instrText xml:space="preserve"> HYPERLINK \l _Toc13134 </w:instrText>
      </w:r>
      <w:r>
        <w:rPr>
          <w:rFonts w:hint="default" w:ascii="Times New Roman" w:hAnsi="Times New Roman" w:eastAsia="仿宋_GB2312" w:cs="Times New Roman"/>
          <w:sz w:val="24"/>
          <w:szCs w:val="24"/>
          <w:highlight w:val="none"/>
        </w:rPr>
        <w:fldChar w:fldCharType="separate"/>
      </w:r>
      <w:r>
        <w:rPr>
          <w:rFonts w:hint="default" w:ascii="Times New Roman" w:hAnsi="Times New Roman" w:eastAsia="仿宋_GB2312" w:cs="Times New Roman"/>
          <w:bCs w:val="0"/>
          <w:sz w:val="24"/>
          <w:szCs w:val="24"/>
        </w:rPr>
        <w:t>1综合说明</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_Toc13134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1</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color w:val="auto"/>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_Toc24397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1.1项目简况</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_Toc24397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1</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_Toc29989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1.2编制依据</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_Toc29989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3</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_Toc4498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1.3设计水平年</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_Toc4498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4</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_Toc24609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1.4水土流失防治责任范围</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_Toc24609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5</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_Toc4068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1.5水土流失防治目标</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_Toc4068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5</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_Toc22903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1.6项目水土保持评价结论</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_Toc22903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6</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_Toc12441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1.7水土流失预测结果</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_Toc12441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7</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_Toc5206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1.8水土保持措施布设成果</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_Toc5206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7</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_Toc24483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1.9水土保持监测方案</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_Toc24483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8</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_Toc17503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1.10水土保持投资及效益分析成果</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_Toc17503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8</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_Toc951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1.11结论</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_Toc951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8</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61"/>
        <w:keepNext w:val="0"/>
        <w:keepLines w:val="0"/>
        <w:pageBreakBefore w:val="0"/>
        <w:widowControl w:val="0"/>
        <w:tabs>
          <w:tab w:val="right" w:leader="dot" w:pos="8408"/>
          <w:tab w:val="clear" w:pos="8400"/>
        </w:tabs>
        <w:kinsoku/>
        <w:wordWrap/>
        <w:overflowPunct/>
        <w:topLinePunct w:val="0"/>
        <w:autoSpaceDE/>
        <w:autoSpaceDN/>
        <w:bidi w:val="0"/>
        <w:adjustRightInd/>
        <w:snapToGrid/>
        <w:spacing w:before="0" w:beforeLines="0" w:line="480"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_Toc30909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val="0"/>
          <w:sz w:val="24"/>
          <w:szCs w:val="24"/>
        </w:rPr>
        <w:t>2项目概况</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_Toc30909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12</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_Toc19823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2.1项目组成及工程布置</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_Toc19823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12</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_Toc3387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2.2施工组织</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_Toc3387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19</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_Toc18591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2.3工程占地</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_Toc18591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24</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_Toc18633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2.4土石方平衡</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_Toc18633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24</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_Toc2363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2.5拆迁安置与专项设施改（迁）建</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_Toc2363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25</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_Toc15684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2.6施工进度</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_Toc15684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25</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_Toc22653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2.7自然概况</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_Toc22653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27</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61"/>
        <w:keepNext w:val="0"/>
        <w:keepLines w:val="0"/>
        <w:pageBreakBefore w:val="0"/>
        <w:widowControl w:val="0"/>
        <w:tabs>
          <w:tab w:val="right" w:leader="dot" w:pos="8408"/>
          <w:tab w:val="clear" w:pos="8400"/>
        </w:tabs>
        <w:kinsoku/>
        <w:wordWrap/>
        <w:overflowPunct/>
        <w:topLinePunct w:val="0"/>
        <w:autoSpaceDE/>
        <w:autoSpaceDN/>
        <w:bidi w:val="0"/>
        <w:adjustRightInd/>
        <w:snapToGrid/>
        <w:spacing w:before="0" w:beforeLines="0" w:line="480"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_Toc23177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val="0"/>
          <w:sz w:val="24"/>
          <w:szCs w:val="24"/>
        </w:rPr>
        <w:t>3项目水土保持评价</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_Toc23177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30</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_Toc11308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3.1主体工程选址（线）水土保持评价</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_Toc11308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30</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_Toc30491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3.2建设方案与布局水土保持评价</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_Toc30491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31</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_Toc16695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3.3主体工程设计中水土保持措施界定</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_Toc16695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34</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61"/>
        <w:keepNext w:val="0"/>
        <w:keepLines w:val="0"/>
        <w:pageBreakBefore w:val="0"/>
        <w:widowControl w:val="0"/>
        <w:tabs>
          <w:tab w:val="right" w:leader="dot" w:pos="8408"/>
          <w:tab w:val="clear" w:pos="8400"/>
        </w:tabs>
        <w:kinsoku/>
        <w:wordWrap/>
        <w:overflowPunct/>
        <w:topLinePunct w:val="0"/>
        <w:autoSpaceDE/>
        <w:autoSpaceDN/>
        <w:bidi w:val="0"/>
        <w:adjustRightInd/>
        <w:snapToGrid/>
        <w:spacing w:before="0" w:beforeLines="0" w:line="480"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_Toc25306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val="0"/>
          <w:sz w:val="24"/>
          <w:szCs w:val="24"/>
        </w:rPr>
        <w:t>4水土流失分析与预测</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_Toc25306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36</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_Toc15355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4.1水土流失现状</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_Toc15355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36</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_Toc31909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4.2水土流失影响因素分析</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_Toc31909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36</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_Toc1010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4.3土壤流失量预测</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_Toc1010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37</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_Toc18908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4.4水土流失危害分析</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_Toc18908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40</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_Toc32156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4.5指导意见</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_Toc32156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41</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61"/>
        <w:keepNext w:val="0"/>
        <w:keepLines w:val="0"/>
        <w:pageBreakBefore w:val="0"/>
        <w:widowControl w:val="0"/>
        <w:tabs>
          <w:tab w:val="right" w:leader="dot" w:pos="8408"/>
          <w:tab w:val="clear" w:pos="8400"/>
        </w:tabs>
        <w:kinsoku/>
        <w:wordWrap/>
        <w:overflowPunct/>
        <w:topLinePunct w:val="0"/>
        <w:autoSpaceDE/>
        <w:autoSpaceDN/>
        <w:bidi w:val="0"/>
        <w:adjustRightInd/>
        <w:snapToGrid/>
        <w:spacing w:before="0" w:beforeLines="0" w:line="480"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_Toc18201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val="0"/>
          <w:sz w:val="24"/>
          <w:szCs w:val="24"/>
        </w:rPr>
        <w:t>5水土保持措施</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_Toc18201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43</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_Toc7385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5.1防治区划分</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_Toc7385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43</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_Toc9122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5.2措施总体布局</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_Toc9122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43</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_Toc23325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5.3分区措施布设</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_Toc23325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44</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_Toc25943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5.</w:t>
      </w:r>
      <w:r>
        <w:rPr>
          <w:rFonts w:hint="default" w:ascii="Times New Roman" w:hAnsi="Times New Roman" w:eastAsia="仿宋_GB2312" w:cs="Times New Roman"/>
          <w:bCs/>
          <w:sz w:val="24"/>
          <w:szCs w:val="24"/>
          <w:lang w:val="en-US" w:eastAsia="zh-CN"/>
        </w:rPr>
        <w:t>4</w:t>
      </w:r>
      <w:r>
        <w:rPr>
          <w:rFonts w:hint="default" w:ascii="Times New Roman" w:hAnsi="Times New Roman" w:eastAsia="仿宋_GB2312" w:cs="Times New Roman"/>
          <w:bCs/>
          <w:sz w:val="24"/>
          <w:szCs w:val="24"/>
        </w:rPr>
        <w:t>施工要求</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_Toc25943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45</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61"/>
        <w:keepNext w:val="0"/>
        <w:keepLines w:val="0"/>
        <w:pageBreakBefore w:val="0"/>
        <w:widowControl w:val="0"/>
        <w:tabs>
          <w:tab w:val="right" w:leader="dot" w:pos="8408"/>
          <w:tab w:val="clear" w:pos="8400"/>
        </w:tabs>
        <w:kinsoku/>
        <w:wordWrap/>
        <w:overflowPunct/>
        <w:topLinePunct w:val="0"/>
        <w:autoSpaceDE/>
        <w:autoSpaceDN/>
        <w:bidi w:val="0"/>
        <w:adjustRightInd/>
        <w:snapToGrid/>
        <w:spacing w:before="0" w:beforeLines="0" w:line="480"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_Toc14361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val="0"/>
          <w:sz w:val="24"/>
          <w:szCs w:val="24"/>
        </w:rPr>
        <w:t>6水土保持监测</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_Toc14361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49</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_Toc8494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6.1范围和时段</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_Toc8494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49</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_Toc24784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6.2内容和方法</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_Toc24784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49</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_Toc5244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6.3点位布设</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_Toc5244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52</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_Toc14384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6.4实施条件和成果</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_Toc14384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52</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61"/>
        <w:keepNext w:val="0"/>
        <w:keepLines w:val="0"/>
        <w:pageBreakBefore w:val="0"/>
        <w:widowControl w:val="0"/>
        <w:tabs>
          <w:tab w:val="right" w:leader="dot" w:pos="8408"/>
          <w:tab w:val="clear" w:pos="8400"/>
        </w:tabs>
        <w:kinsoku/>
        <w:wordWrap/>
        <w:overflowPunct/>
        <w:topLinePunct w:val="0"/>
        <w:autoSpaceDE/>
        <w:autoSpaceDN/>
        <w:bidi w:val="0"/>
        <w:adjustRightInd/>
        <w:snapToGrid/>
        <w:spacing w:before="0" w:beforeLines="0" w:line="480"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_Toc3484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val="0"/>
          <w:sz w:val="24"/>
          <w:szCs w:val="24"/>
        </w:rPr>
        <w:t>7水土保持投资估算及效益分析</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_Toc3484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57</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_Toc5548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7.1投资估算</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_Toc5548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57</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_Toc18099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7.2效益分析</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_Toc18099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65</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61"/>
        <w:keepNext w:val="0"/>
        <w:keepLines w:val="0"/>
        <w:pageBreakBefore w:val="0"/>
        <w:widowControl w:val="0"/>
        <w:tabs>
          <w:tab w:val="right" w:leader="dot" w:pos="8408"/>
          <w:tab w:val="clear" w:pos="8400"/>
        </w:tabs>
        <w:kinsoku/>
        <w:wordWrap/>
        <w:overflowPunct/>
        <w:topLinePunct w:val="0"/>
        <w:autoSpaceDE/>
        <w:autoSpaceDN/>
        <w:bidi w:val="0"/>
        <w:adjustRightInd/>
        <w:snapToGrid/>
        <w:spacing w:before="0" w:beforeLines="0" w:line="480"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_Toc29032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val="0"/>
          <w:sz w:val="24"/>
          <w:szCs w:val="24"/>
        </w:rPr>
        <w:t>8.水土保持管理</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_Toc29032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67</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_Toc11165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8.1组织管理</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_Toc11165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67</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_Toc13041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8.2后续设计</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_Toc13041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68</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_Toc3150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8.3水土保持监测</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_Toc3150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69</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_Toc16030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8.4水土保持监理</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_Toc16030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70</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_Toc1831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8.5水土保持施工</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_Toc1831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70</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_Toc32523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8.6水土保持设施验收</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PAGEREF _Toc32523 \h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71</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default" w:ascii="Times New Roman" w:hAnsi="Times New Roman" w:eastAsia="仿宋_GB2312" w:cs="Times New Roman"/>
          <w:b/>
          <w:sz w:val="24"/>
          <w:szCs w:val="24"/>
          <w:highlight w:val="none"/>
        </w:rPr>
      </w:pPr>
      <w:r>
        <w:rPr>
          <w:rFonts w:hint="default" w:ascii="Times New Roman" w:hAnsi="Times New Roman" w:eastAsia="仿宋_GB2312" w:cs="Times New Roman"/>
          <w:kern w:val="44"/>
          <w:sz w:val="24"/>
          <w:szCs w:val="24"/>
          <w:highlight w:val="none"/>
        </w:rPr>
        <w:fldChar w:fldCharType="end"/>
      </w:r>
      <w:r>
        <w:rPr>
          <w:rFonts w:hint="default" w:ascii="Times New Roman" w:hAnsi="Times New Roman" w:eastAsia="仿宋_GB2312" w:cs="Times New Roman"/>
          <w:kern w:val="44"/>
          <w:szCs w:val="32"/>
          <w:highlight w:val="none"/>
        </w:rPr>
        <w:br w:type="page"/>
      </w:r>
      <w:r>
        <w:rPr>
          <w:rFonts w:hint="default" w:ascii="Times New Roman" w:hAnsi="Times New Roman" w:eastAsia="仿宋_GB2312" w:cs="Times New Roman"/>
          <w:b/>
          <w:sz w:val="24"/>
          <w:szCs w:val="24"/>
          <w:highlight w:val="none"/>
        </w:rPr>
        <w:t>附表：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附表1：防治责任范围表；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附表2：防治标准指标计算表；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附表3：单价分析表。</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仿宋_GB2312" w:cs="Times New Roman"/>
          <w:b/>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仿宋_GB2312" w:cs="Times New Roman"/>
          <w:b/>
          <w:sz w:val="24"/>
          <w:szCs w:val="24"/>
          <w:highlight w:val="none"/>
        </w:rPr>
      </w:pPr>
      <w:r>
        <w:rPr>
          <w:rFonts w:hint="default" w:ascii="Times New Roman" w:hAnsi="Times New Roman" w:eastAsia="仿宋_GB2312" w:cs="Times New Roman"/>
          <w:b/>
          <w:sz w:val="24"/>
          <w:szCs w:val="24"/>
          <w:highlight w:val="none"/>
        </w:rPr>
        <w:t>附件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rPr>
        <w:t>附件1：水土保持方案编制任务委托书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highlight w:val="none"/>
        </w:rPr>
        <w:t>附件2：</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eastAsia="zh-CN"/>
        </w:rPr>
        <w:t>关于长春</w:t>
      </w:r>
      <w:r>
        <w:rPr>
          <w:rFonts w:hint="default" w:ascii="Times New Roman" w:hAnsi="Times New Roman" w:eastAsia="仿宋_GB2312" w:cs="Times New Roman"/>
          <w:sz w:val="24"/>
          <w:szCs w:val="24"/>
          <w:lang w:val="en-US" w:eastAsia="zh-CN"/>
        </w:rPr>
        <w:t>国家物流</w:t>
      </w:r>
      <w:r>
        <w:rPr>
          <w:rFonts w:hint="default" w:ascii="Times New Roman" w:hAnsi="Times New Roman" w:eastAsia="仿宋_GB2312" w:cs="Times New Roman"/>
          <w:sz w:val="24"/>
          <w:szCs w:val="24"/>
          <w:lang w:eastAsia="zh-CN"/>
        </w:rPr>
        <w:t>经济开发区新兴建材产业园区建设项目可行性研究报告的批复</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长二发改</w:t>
      </w:r>
      <w:r>
        <w:rPr>
          <w:rFonts w:hint="default" w:ascii="Times New Roman" w:hAnsi="Times New Roman" w:eastAsia="仿宋_GB2312" w:cs="Times New Roman"/>
          <w:sz w:val="24"/>
          <w:szCs w:val="24"/>
          <w:lang w:eastAsia="zh-CN"/>
        </w:rPr>
        <w:t>〔2021〕93</w:t>
      </w:r>
      <w:r>
        <w:rPr>
          <w:rFonts w:hint="default" w:ascii="Times New Roman" w:hAnsi="Times New Roman" w:eastAsia="仿宋_GB2312" w:cs="Times New Roman"/>
          <w:sz w:val="24"/>
          <w:szCs w:val="24"/>
        </w:rPr>
        <w:t>号</w:t>
      </w:r>
      <w:r>
        <w:rPr>
          <w:rFonts w:hint="default" w:ascii="Times New Roman" w:hAnsi="Times New Roman" w:eastAsia="仿宋_GB2312" w:cs="Times New Roman"/>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附件3：《</w:t>
      </w:r>
      <w:r>
        <w:rPr>
          <w:rFonts w:hint="default" w:ascii="Times New Roman" w:hAnsi="Times New Roman" w:eastAsia="仿宋_GB2312" w:cs="Times New Roman"/>
          <w:sz w:val="24"/>
          <w:szCs w:val="24"/>
          <w:highlight w:val="none"/>
          <w:lang w:val="en-US" w:eastAsia="zh-CN"/>
        </w:rPr>
        <w:t>吉林省水利厅关于对长春国际物流经济开发区新兴建材产业园区建设项目水土保持方案编制报批有关情况的意见</w:t>
      </w:r>
      <w:r>
        <w:rPr>
          <w:rFonts w:hint="eastAsia" w:ascii="Times New Roman" w:hAnsi="Times New Roman" w:eastAsia="仿宋_GB2312" w:cs="Times New Roman"/>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附件4：《长春国际物流经济开发区新兴建材产业园区建设项目水士保持行政许可承诺书》（长水许可</w:t>
      </w:r>
      <w:r>
        <w:rPr>
          <w:rFonts w:hint="default" w:ascii="Times New Roman" w:hAnsi="Times New Roman" w:eastAsia="仿宋_GB2312" w:cs="Times New Roman"/>
          <w:sz w:val="24"/>
          <w:szCs w:val="24"/>
          <w:highlight w:val="none"/>
          <w:lang w:val="en-US" w:eastAsia="zh-CN"/>
        </w:rPr>
        <w:t>〔202</w:t>
      </w:r>
      <w:r>
        <w:rPr>
          <w:rFonts w:hint="eastAsia" w:ascii="Times New Roman" w:hAnsi="Times New Roman" w:eastAsia="仿宋_GB2312" w:cs="Times New Roman"/>
          <w:sz w:val="24"/>
          <w:szCs w:val="24"/>
          <w:highlight w:val="none"/>
          <w:lang w:val="en-US" w:eastAsia="zh-CN"/>
        </w:rPr>
        <w:t>3</w:t>
      </w:r>
      <w:r>
        <w:rPr>
          <w:rFonts w:hint="default" w:ascii="Times New Roman" w:hAnsi="Times New Roman" w:eastAsia="仿宋_GB2312" w:cs="Times New Roman"/>
          <w:sz w:val="24"/>
          <w:szCs w:val="24"/>
          <w:highlight w:val="none"/>
          <w:lang w:val="en-US" w:eastAsia="zh-CN"/>
        </w:rPr>
        <w:t>〕</w:t>
      </w:r>
      <w:r>
        <w:rPr>
          <w:rFonts w:hint="eastAsia" w:ascii="Times New Roman" w:hAnsi="Times New Roman" w:eastAsia="仿宋_GB2312" w:cs="Times New Roman"/>
          <w:sz w:val="24"/>
          <w:szCs w:val="24"/>
          <w:highlight w:val="none"/>
          <w:lang w:val="en-US" w:eastAsia="zh-CN"/>
        </w:rPr>
        <w:t>18号）</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仿宋_GB2312" w:cs="Times New Roman"/>
          <w:b/>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仿宋_GB2312" w:cs="Times New Roman"/>
          <w:b/>
          <w:sz w:val="24"/>
          <w:szCs w:val="24"/>
          <w:highlight w:val="none"/>
        </w:rPr>
      </w:pPr>
      <w:r>
        <w:rPr>
          <w:rFonts w:hint="default" w:ascii="Times New Roman" w:hAnsi="Times New Roman" w:eastAsia="仿宋_GB2312" w:cs="Times New Roman"/>
          <w:b/>
          <w:sz w:val="24"/>
          <w:szCs w:val="24"/>
          <w:highlight w:val="none"/>
        </w:rPr>
        <w:t>附图：</w:t>
      </w:r>
    </w:p>
    <w:tbl>
      <w:tblPr>
        <w:tblStyle w:val="88"/>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356"/>
        <w:gridCol w:w="5039"/>
        <w:gridCol w:w="148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3" w:type="pct"/>
            <w:noWrap w:val="0"/>
            <w:vAlign w:val="center"/>
          </w:tcPr>
          <w:p>
            <w:pPr>
              <w:pageBreakBefore w:val="0"/>
              <w:kinsoku/>
              <w:wordWrap/>
              <w:bidi w:val="0"/>
              <w:jc w:val="center"/>
              <w:rPr>
                <w:rFonts w:hint="default" w:ascii="Times New Roman" w:hAnsi="Times New Roman" w:eastAsia="仿宋_GB2312" w:cs="Times New Roman"/>
                <w:b/>
                <w:sz w:val="24"/>
                <w:szCs w:val="24"/>
                <w:highlight w:val="none"/>
              </w:rPr>
            </w:pPr>
            <w:r>
              <w:rPr>
                <w:rFonts w:hint="default" w:ascii="Times New Roman" w:hAnsi="Times New Roman" w:eastAsia="仿宋_GB2312" w:cs="Times New Roman"/>
                <w:b/>
                <w:sz w:val="24"/>
                <w:szCs w:val="24"/>
                <w:highlight w:val="none"/>
              </w:rPr>
              <w:t>序号</w:t>
            </w:r>
          </w:p>
        </w:tc>
        <w:tc>
          <w:tcPr>
            <w:tcW w:w="786" w:type="pct"/>
            <w:noWrap w:val="0"/>
            <w:vAlign w:val="center"/>
          </w:tcPr>
          <w:p>
            <w:pPr>
              <w:pageBreakBefore w:val="0"/>
              <w:kinsoku/>
              <w:wordWrap/>
              <w:bidi w:val="0"/>
              <w:jc w:val="center"/>
              <w:rPr>
                <w:rFonts w:hint="default" w:ascii="Times New Roman" w:hAnsi="Times New Roman" w:eastAsia="仿宋_GB2312" w:cs="Times New Roman"/>
                <w:b/>
                <w:sz w:val="24"/>
                <w:szCs w:val="24"/>
                <w:highlight w:val="none"/>
              </w:rPr>
            </w:pPr>
            <w:r>
              <w:rPr>
                <w:rFonts w:hint="default" w:ascii="Times New Roman" w:hAnsi="Times New Roman" w:eastAsia="仿宋_GB2312" w:cs="Times New Roman"/>
                <w:b/>
                <w:sz w:val="24"/>
                <w:szCs w:val="24"/>
                <w:highlight w:val="none"/>
              </w:rPr>
              <w:t>图号</w:t>
            </w:r>
          </w:p>
        </w:tc>
        <w:tc>
          <w:tcPr>
            <w:tcW w:w="2921" w:type="pct"/>
            <w:noWrap w:val="0"/>
            <w:vAlign w:val="center"/>
          </w:tcPr>
          <w:p>
            <w:pPr>
              <w:pageBreakBefore w:val="0"/>
              <w:kinsoku/>
              <w:wordWrap/>
              <w:bidi w:val="0"/>
              <w:jc w:val="center"/>
              <w:rPr>
                <w:rFonts w:hint="default" w:ascii="Times New Roman" w:hAnsi="Times New Roman" w:eastAsia="仿宋_GB2312" w:cs="Times New Roman"/>
                <w:b/>
                <w:sz w:val="24"/>
                <w:szCs w:val="24"/>
                <w:highlight w:val="none"/>
              </w:rPr>
            </w:pPr>
            <w:r>
              <w:rPr>
                <w:rFonts w:hint="default" w:ascii="Times New Roman" w:hAnsi="Times New Roman" w:eastAsia="仿宋_GB2312" w:cs="Times New Roman"/>
                <w:b/>
                <w:sz w:val="24"/>
                <w:szCs w:val="24"/>
                <w:highlight w:val="none"/>
              </w:rPr>
              <w:t>图名</w:t>
            </w:r>
          </w:p>
        </w:tc>
        <w:tc>
          <w:tcPr>
            <w:tcW w:w="859" w:type="pct"/>
            <w:noWrap w:val="0"/>
            <w:vAlign w:val="center"/>
          </w:tcPr>
          <w:p>
            <w:pPr>
              <w:pageBreakBefore w:val="0"/>
              <w:kinsoku/>
              <w:wordWrap/>
              <w:bidi w:val="0"/>
              <w:jc w:val="center"/>
              <w:rPr>
                <w:rFonts w:hint="default" w:ascii="Times New Roman" w:hAnsi="Times New Roman" w:eastAsia="仿宋_GB2312" w:cs="Times New Roman"/>
                <w:b/>
                <w:sz w:val="24"/>
                <w:szCs w:val="24"/>
                <w:highlight w:val="none"/>
              </w:rPr>
            </w:pPr>
            <w:r>
              <w:rPr>
                <w:rFonts w:hint="default" w:ascii="Times New Roman" w:hAnsi="Times New Roman" w:eastAsia="仿宋_GB2312" w:cs="Times New Roman"/>
                <w:b/>
                <w:sz w:val="24"/>
                <w:szCs w:val="24"/>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3" w:type="pct"/>
            <w:noWrap w:val="0"/>
            <w:vAlign w:val="center"/>
          </w:tcPr>
          <w:p>
            <w:pPr>
              <w:pageBreakBefore w:val="0"/>
              <w:kinsoku/>
              <w:wordWrap/>
              <w:bidi w:val="0"/>
              <w:jc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1</w:t>
            </w:r>
          </w:p>
        </w:tc>
        <w:tc>
          <w:tcPr>
            <w:tcW w:w="786" w:type="pct"/>
            <w:noWrap w:val="0"/>
            <w:vAlign w:val="center"/>
          </w:tcPr>
          <w:p>
            <w:pPr>
              <w:pageBreakBefore w:val="0"/>
              <w:kinsoku/>
              <w:wordWrap/>
              <w:bidi w:val="0"/>
              <w:jc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附图1</w:t>
            </w:r>
          </w:p>
        </w:tc>
        <w:tc>
          <w:tcPr>
            <w:tcW w:w="2921"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lang w:val="en-US" w:eastAsia="zh-CN"/>
              </w:rPr>
              <w:t>项目区</w:t>
            </w:r>
            <w:r>
              <w:rPr>
                <w:rFonts w:hint="default" w:ascii="Times New Roman" w:hAnsi="Times New Roman" w:eastAsia="仿宋_GB2312" w:cs="Times New Roman"/>
                <w:sz w:val="24"/>
                <w:szCs w:val="24"/>
                <w:highlight w:val="none"/>
              </w:rPr>
              <w:t>地理</w:t>
            </w:r>
            <w:r>
              <w:rPr>
                <w:rFonts w:hint="default" w:ascii="Times New Roman" w:hAnsi="Times New Roman" w:eastAsia="仿宋_GB2312" w:cs="Times New Roman"/>
                <w:sz w:val="24"/>
                <w:szCs w:val="24"/>
                <w:highlight w:val="none"/>
                <w:lang w:val="en-US" w:eastAsia="zh-CN"/>
              </w:rPr>
              <w:t>及行政位置关系图</w:t>
            </w:r>
          </w:p>
        </w:tc>
        <w:tc>
          <w:tcPr>
            <w:tcW w:w="859" w:type="pct"/>
            <w:noWrap w:val="0"/>
            <w:vAlign w:val="center"/>
          </w:tcPr>
          <w:p>
            <w:pPr>
              <w:pageBreakBefore w:val="0"/>
              <w:kinsoku/>
              <w:wordWrap/>
              <w:bidi w:val="0"/>
              <w:jc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A4彩色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3"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2</w:t>
            </w:r>
          </w:p>
        </w:tc>
        <w:tc>
          <w:tcPr>
            <w:tcW w:w="786"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附图2</w:t>
            </w:r>
          </w:p>
        </w:tc>
        <w:tc>
          <w:tcPr>
            <w:tcW w:w="2921"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项目区水系图</w:t>
            </w:r>
          </w:p>
        </w:tc>
        <w:tc>
          <w:tcPr>
            <w:tcW w:w="859" w:type="pct"/>
            <w:noWrap w:val="0"/>
            <w:vAlign w:val="center"/>
          </w:tcPr>
          <w:p>
            <w:pPr>
              <w:pageBreakBefore w:val="0"/>
              <w:kinsoku/>
              <w:wordWrap/>
              <w:bidi w:val="0"/>
              <w:jc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A4彩色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3"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3</w:t>
            </w:r>
          </w:p>
        </w:tc>
        <w:tc>
          <w:tcPr>
            <w:tcW w:w="786"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附图3</w:t>
            </w:r>
          </w:p>
        </w:tc>
        <w:tc>
          <w:tcPr>
            <w:tcW w:w="2921"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项目总体布置图（主体提供）</w:t>
            </w:r>
            <w:commentRangeStart w:id="0"/>
            <w:commentRangeStart w:id="1"/>
            <w:r>
              <w:commentReference w:id="0"/>
            </w:r>
            <w:commentRangeEnd w:id="0"/>
            <w:commentRangeEnd w:id="1"/>
            <w:r>
              <w:commentReference w:id="1"/>
            </w:r>
          </w:p>
        </w:tc>
        <w:tc>
          <w:tcPr>
            <w:tcW w:w="859" w:type="pct"/>
            <w:noWrap w:val="0"/>
            <w:vAlign w:val="center"/>
          </w:tcPr>
          <w:p>
            <w:pPr>
              <w:pageBreakBefore w:val="0"/>
              <w:kinsoku/>
              <w:wordWrap/>
              <w:bidi w:val="0"/>
              <w:jc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A3彩色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3"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4</w:t>
            </w:r>
          </w:p>
        </w:tc>
        <w:tc>
          <w:tcPr>
            <w:tcW w:w="786"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附图</w:t>
            </w:r>
            <w:r>
              <w:rPr>
                <w:rFonts w:hint="default" w:ascii="Times New Roman" w:hAnsi="Times New Roman" w:eastAsia="仿宋_GB2312" w:cs="Times New Roman"/>
                <w:sz w:val="24"/>
                <w:szCs w:val="24"/>
                <w:highlight w:val="none"/>
                <w:lang w:val="en-US" w:eastAsia="zh-CN"/>
              </w:rPr>
              <w:t>4</w:t>
            </w:r>
          </w:p>
        </w:tc>
        <w:tc>
          <w:tcPr>
            <w:tcW w:w="2921"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分区防治措施总体布局图</w:t>
            </w:r>
          </w:p>
        </w:tc>
        <w:tc>
          <w:tcPr>
            <w:tcW w:w="859" w:type="pct"/>
            <w:noWrap w:val="0"/>
            <w:vAlign w:val="center"/>
          </w:tcPr>
          <w:p>
            <w:pPr>
              <w:pageBreakBefore w:val="0"/>
              <w:kinsoku/>
              <w:wordWrap/>
              <w:bidi w:val="0"/>
              <w:jc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A3彩色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3"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5</w:t>
            </w:r>
          </w:p>
        </w:tc>
        <w:tc>
          <w:tcPr>
            <w:tcW w:w="786"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附图</w:t>
            </w:r>
            <w:r>
              <w:rPr>
                <w:rFonts w:hint="default" w:ascii="Times New Roman" w:hAnsi="Times New Roman" w:eastAsia="仿宋_GB2312" w:cs="Times New Roman"/>
                <w:sz w:val="24"/>
                <w:szCs w:val="24"/>
                <w:highlight w:val="none"/>
                <w:lang w:val="en-US" w:eastAsia="zh-CN"/>
              </w:rPr>
              <w:t>5</w:t>
            </w:r>
          </w:p>
        </w:tc>
        <w:tc>
          <w:tcPr>
            <w:tcW w:w="2921"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lang w:val="en-US" w:eastAsia="zh-CN"/>
              </w:rPr>
              <w:t>项目管网综合图</w:t>
            </w:r>
            <w:r>
              <w:rPr>
                <w:rFonts w:hint="default" w:ascii="Times New Roman" w:hAnsi="Times New Roman" w:eastAsia="仿宋_GB2312" w:cs="Times New Roman"/>
                <w:sz w:val="24"/>
                <w:szCs w:val="24"/>
                <w:highlight w:val="none"/>
              </w:rPr>
              <w:t>（主体提供）</w:t>
            </w:r>
          </w:p>
        </w:tc>
        <w:tc>
          <w:tcPr>
            <w:tcW w:w="859"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A3彩色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3"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6</w:t>
            </w:r>
          </w:p>
        </w:tc>
        <w:tc>
          <w:tcPr>
            <w:tcW w:w="786"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附图</w:t>
            </w:r>
            <w:r>
              <w:rPr>
                <w:rFonts w:hint="default" w:ascii="Times New Roman" w:hAnsi="Times New Roman" w:eastAsia="仿宋_GB2312" w:cs="Times New Roman"/>
                <w:sz w:val="24"/>
                <w:szCs w:val="24"/>
                <w:highlight w:val="none"/>
                <w:lang w:val="en-US" w:eastAsia="zh-CN"/>
              </w:rPr>
              <w:t>6</w:t>
            </w:r>
          </w:p>
        </w:tc>
        <w:tc>
          <w:tcPr>
            <w:tcW w:w="2921" w:type="pct"/>
            <w:noWrap w:val="0"/>
            <w:vAlign w:val="center"/>
          </w:tcPr>
          <w:p>
            <w:pPr>
              <w:pageBreakBefore w:val="0"/>
              <w:kinsoku/>
              <w:wordWrap/>
              <w:bidi w:val="0"/>
              <w:jc w:val="center"/>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密目网苫盖措施</w:t>
            </w:r>
            <w:r>
              <w:rPr>
                <w:rFonts w:hint="eastAsia" w:eastAsia="仿宋_GB2312" w:cs="Times New Roman"/>
                <w:sz w:val="24"/>
                <w:szCs w:val="24"/>
                <w:highlight w:val="none"/>
                <w:lang w:val="en-US" w:eastAsia="zh-CN"/>
              </w:rPr>
              <w:t>设计</w:t>
            </w:r>
            <w:r>
              <w:rPr>
                <w:rFonts w:hint="default" w:ascii="Times New Roman" w:hAnsi="Times New Roman" w:eastAsia="仿宋_GB2312" w:cs="Times New Roman"/>
                <w:sz w:val="24"/>
                <w:szCs w:val="24"/>
                <w:highlight w:val="none"/>
                <w:lang w:val="en-US" w:eastAsia="zh-CN"/>
              </w:rPr>
              <w:t>图</w:t>
            </w:r>
          </w:p>
        </w:tc>
        <w:tc>
          <w:tcPr>
            <w:tcW w:w="859" w:type="pct"/>
            <w:noWrap w:val="0"/>
            <w:vAlign w:val="center"/>
          </w:tcPr>
          <w:p>
            <w:pPr>
              <w:pageBreakBefore w:val="0"/>
              <w:kinsoku/>
              <w:wordWrap/>
              <w:bidi w:val="0"/>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A4黑白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3" w:type="pct"/>
            <w:noWrap w:val="0"/>
            <w:vAlign w:val="center"/>
          </w:tcPr>
          <w:p>
            <w:pPr>
              <w:pageBreakBefore w:val="0"/>
              <w:kinsoku/>
              <w:wordWrap/>
              <w:bidi w:val="0"/>
              <w:jc w:val="center"/>
              <w:rPr>
                <w:rFonts w:hint="eastAsia" w:ascii="Times New Roman" w:hAnsi="Times New Roman" w:eastAsia="仿宋_GB2312" w:cs="Times New Roman"/>
                <w:sz w:val="24"/>
                <w:szCs w:val="24"/>
                <w:highlight w:val="none"/>
                <w:lang w:val="en-US" w:eastAsia="zh-CN"/>
              </w:rPr>
            </w:pPr>
            <w:r>
              <w:rPr>
                <w:rFonts w:hint="eastAsia" w:eastAsia="仿宋_GB2312" w:cs="Times New Roman"/>
                <w:sz w:val="24"/>
                <w:szCs w:val="24"/>
                <w:highlight w:val="none"/>
                <w:lang w:val="en-US" w:eastAsia="zh-CN"/>
              </w:rPr>
              <w:t>7</w:t>
            </w:r>
          </w:p>
        </w:tc>
        <w:tc>
          <w:tcPr>
            <w:tcW w:w="786" w:type="pct"/>
            <w:noWrap w:val="0"/>
            <w:vAlign w:val="center"/>
          </w:tcPr>
          <w:p>
            <w:pPr>
              <w:pageBreakBefore w:val="0"/>
              <w:kinsoku/>
              <w:wordWrap/>
              <w:bidi w:val="0"/>
              <w:jc w:val="center"/>
              <w:rPr>
                <w:rFonts w:hint="default" w:ascii="Times New Roman" w:hAnsi="Times New Roman" w:eastAsia="仿宋_GB2312" w:cs="Times New Roman"/>
                <w:sz w:val="24"/>
                <w:szCs w:val="24"/>
                <w:highlight w:val="none"/>
                <w:lang w:val="en-US" w:eastAsia="zh-CN"/>
              </w:rPr>
            </w:pPr>
            <w:r>
              <w:rPr>
                <w:rFonts w:hint="eastAsia" w:eastAsia="仿宋_GB2312" w:cs="Times New Roman"/>
                <w:sz w:val="24"/>
                <w:szCs w:val="24"/>
                <w:highlight w:val="none"/>
                <w:lang w:val="en-US" w:eastAsia="zh-CN"/>
              </w:rPr>
              <w:t>附图7</w:t>
            </w:r>
          </w:p>
        </w:tc>
        <w:tc>
          <w:tcPr>
            <w:tcW w:w="2921" w:type="pct"/>
            <w:noWrap w:val="0"/>
            <w:vAlign w:val="center"/>
          </w:tcPr>
          <w:p>
            <w:pPr>
              <w:pageBreakBefore w:val="0"/>
              <w:kinsoku/>
              <w:wordWrap/>
              <w:bidi w:val="0"/>
              <w:jc w:val="center"/>
              <w:rPr>
                <w:rFonts w:hint="default" w:ascii="Times New Roman" w:hAnsi="Times New Roman" w:eastAsia="仿宋_GB2312" w:cs="Times New Roman"/>
                <w:sz w:val="24"/>
                <w:szCs w:val="24"/>
                <w:highlight w:val="none"/>
                <w:lang w:val="en-US" w:eastAsia="zh-CN"/>
              </w:rPr>
            </w:pPr>
            <w:r>
              <w:rPr>
                <w:rFonts w:hint="eastAsia" w:eastAsia="仿宋_GB2312" w:cs="Times New Roman"/>
                <w:sz w:val="24"/>
                <w:szCs w:val="24"/>
                <w:highlight w:val="none"/>
                <w:lang w:val="en-US" w:eastAsia="zh-CN"/>
              </w:rPr>
              <w:t>编织袋土拦挡设计图</w:t>
            </w:r>
          </w:p>
        </w:tc>
        <w:tc>
          <w:tcPr>
            <w:tcW w:w="859" w:type="pct"/>
            <w:noWrap w:val="0"/>
            <w:vAlign w:val="center"/>
          </w:tcPr>
          <w:p>
            <w:pPr>
              <w:pageBreakBefore w:val="0"/>
              <w:kinsoku/>
              <w:wordWrap/>
              <w:bidi w:val="0"/>
              <w:jc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A4黑白</w:t>
            </w:r>
          </w:p>
        </w:tc>
      </w:tr>
    </w:tbl>
    <w:p>
      <w:pPr>
        <w:pStyle w:val="37"/>
        <w:pageBreakBefore w:val="0"/>
        <w:kinsoku/>
        <w:wordWrap/>
        <w:bidi w:val="0"/>
        <w:ind w:left="0" w:leftChars="0" w:firstLine="0" w:firstLineChars="0"/>
        <w:rPr>
          <w:rFonts w:hint="default" w:ascii="Times New Roman" w:hAnsi="Times New Roman" w:cs="Times New Roman"/>
        </w:rPr>
      </w:pPr>
    </w:p>
    <w:p>
      <w:pPr>
        <w:pStyle w:val="4"/>
        <w:pageBreakBefore w:val="0"/>
        <w:kinsoku/>
        <w:wordWrap/>
        <w:bidi w:val="0"/>
        <w:rPr>
          <w:rFonts w:hint="default" w:ascii="Times New Roman" w:hAnsi="Times New Roman" w:eastAsia="黑体" w:cs="Times New Roman"/>
          <w:highlight w:val="none"/>
        </w:rPr>
        <w:sectPr>
          <w:footerReference r:id="rId5" w:type="default"/>
          <w:footerReference r:id="rId6" w:type="even"/>
          <w:pgSz w:w="11906" w:h="16838"/>
          <w:pgMar w:top="1440" w:right="1701" w:bottom="1440" w:left="1797" w:header="851" w:footer="992" w:gutter="0"/>
          <w:pgBorders>
            <w:top w:val="none" w:sz="0" w:space="0"/>
            <w:left w:val="none" w:sz="0" w:space="0"/>
            <w:bottom w:val="none" w:sz="0" w:space="0"/>
            <w:right w:val="none" w:sz="0" w:space="0"/>
          </w:pgBorders>
          <w:pgNumType w:fmt="upperRoman" w:start="1"/>
          <w:cols w:space="720" w:num="1"/>
          <w:docGrid w:type="lines" w:linePitch="312" w:charSpace="0"/>
        </w:sectPr>
      </w:pPr>
    </w:p>
    <w:p>
      <w:pPr>
        <w:pStyle w:val="4"/>
        <w:bidi w:val="0"/>
        <w:rPr>
          <w:rFonts w:hint="default" w:ascii="Times New Roman" w:hAnsi="Times New Roman" w:cs="Times New Roman"/>
        </w:rPr>
      </w:pPr>
      <w:bookmarkStart w:id="0" w:name="_Toc13513"/>
      <w:bookmarkStart w:id="1" w:name="_Toc13134"/>
      <w:bookmarkStart w:id="2" w:name="_Toc12387"/>
      <w:r>
        <w:rPr>
          <w:rFonts w:hint="default" w:ascii="Times New Roman" w:hAnsi="Times New Roman" w:cs="Times New Roman"/>
        </w:rPr>
        <w:t>1综合说明</w:t>
      </w:r>
      <w:bookmarkEnd w:id="0"/>
      <w:bookmarkEnd w:id="1"/>
      <w:bookmarkEnd w:id="2"/>
    </w:p>
    <w:p>
      <w:pPr>
        <w:pStyle w:val="5"/>
        <w:bidi w:val="0"/>
        <w:rPr>
          <w:rFonts w:hint="default" w:ascii="Times New Roman" w:hAnsi="Times New Roman" w:cs="Times New Roman"/>
        </w:rPr>
      </w:pPr>
      <w:bookmarkStart w:id="3" w:name="_Toc387325502"/>
      <w:bookmarkStart w:id="4" w:name="_Toc24397"/>
      <w:bookmarkStart w:id="5" w:name="_Toc2540"/>
      <w:bookmarkStart w:id="6" w:name="_Toc21717"/>
      <w:r>
        <w:rPr>
          <w:rFonts w:hint="default" w:ascii="Times New Roman" w:hAnsi="Times New Roman" w:cs="Times New Roman"/>
        </w:rPr>
        <w:t>1.1项目简况</w:t>
      </w:r>
      <w:bookmarkEnd w:id="3"/>
      <w:bookmarkEnd w:id="4"/>
      <w:bookmarkEnd w:id="5"/>
      <w:bookmarkEnd w:id="6"/>
    </w:p>
    <w:p>
      <w:pPr>
        <w:pStyle w:val="6"/>
        <w:bidi w:val="0"/>
        <w:rPr>
          <w:rFonts w:hint="default" w:ascii="Times New Roman" w:hAnsi="Times New Roman" w:cs="Times New Roman"/>
        </w:rPr>
      </w:pPr>
      <w:r>
        <w:rPr>
          <w:rFonts w:hint="default" w:ascii="Times New Roman" w:hAnsi="Times New Roman" w:cs="Times New Roman"/>
        </w:rPr>
        <w:t>1.1.1项目基本情况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eastAsia" w:eastAsia="仿宋_GB2312" w:cs="Times New Roman"/>
          <w:sz w:val="24"/>
          <w:szCs w:val="24"/>
          <w:lang w:val="zh-CN"/>
        </w:rPr>
        <w:t>长春市</w:t>
      </w:r>
      <w:r>
        <w:rPr>
          <w:rFonts w:hint="default" w:ascii="Times New Roman" w:hAnsi="Times New Roman" w:eastAsia="仿宋_GB2312" w:cs="Times New Roman"/>
          <w:sz w:val="24"/>
          <w:szCs w:val="24"/>
          <w:lang w:val="zh-CN"/>
        </w:rPr>
        <w:t>作为仍处于快速增长的中心城市，长春的城市空间仍将进一步扩展，《长春市城市总体规划》（2017-2035）规划确定了“一城、一区、十一组团、八城镇”四个层次的城镇发展空间，其中组团建设方面，</w:t>
      </w:r>
      <w:r>
        <w:rPr>
          <w:rFonts w:hint="default" w:ascii="Times New Roman" w:hAnsi="Times New Roman" w:eastAsia="仿宋_GB2312" w:cs="Times New Roman"/>
          <w:sz w:val="24"/>
          <w:szCs w:val="24"/>
        </w:rPr>
        <w:t>按照统筹规划、分类指导、突出重点、示范带动的原则，依托公路和重大基础设施，加快组团建设，提高聚集效益和区域竞争优势，通过合理确定和强化各组团的产业，与国家级、省级开发区共同形成分工合理的产业梯次结构。</w:t>
      </w:r>
      <w:r>
        <w:rPr>
          <w:rFonts w:hint="default" w:ascii="Times New Roman" w:hAnsi="Times New Roman" w:eastAsia="仿宋_GB2312" w:cs="Times New Roman"/>
          <w:sz w:val="24"/>
          <w:szCs w:val="24"/>
          <w:lang w:val="en-US" w:eastAsia="zh-CN"/>
        </w:rPr>
        <w:t>本期项目</w:t>
      </w:r>
      <w:r>
        <w:rPr>
          <w:rFonts w:hint="default" w:ascii="Times New Roman" w:hAnsi="Times New Roman" w:eastAsia="仿宋_GB2312" w:cs="Times New Roman"/>
          <w:sz w:val="24"/>
          <w:szCs w:val="24"/>
        </w:rPr>
        <w:t>的建设，符合国家和吉林省有关土地管理的政策，符合长春市城市总体规划，对发挥区域优势，发展特色经济，培育支柱产业，促进长春市经济发展具有十分重要意义，项目建设是必要的。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_GB2312" w:cs="Times New Roman"/>
          <w:sz w:val="24"/>
          <w:szCs w:val="24"/>
          <w:highlight w:val="yellow"/>
          <w:lang w:val="en-US" w:eastAsia="zh-CN"/>
        </w:rPr>
      </w:pPr>
      <w:r>
        <w:rPr>
          <w:rFonts w:hint="eastAsia" w:eastAsia="仿宋_GB2312" w:cs="Times New Roman"/>
          <w:color w:val="auto"/>
          <w:sz w:val="24"/>
          <w:szCs w:val="24"/>
          <w:lang w:val="en-US" w:eastAsia="zh-CN"/>
        </w:rPr>
        <w:t>长春国际物流经济开发区新兴建材产业园区建设</w:t>
      </w:r>
      <w:r>
        <w:rPr>
          <w:rFonts w:hint="eastAsia" w:eastAsia="仿宋_GB2312" w:cs="Times New Roman"/>
          <w:color w:val="auto"/>
          <w:sz w:val="24"/>
          <w:szCs w:val="24"/>
          <w:lang w:eastAsia="zh-CN"/>
        </w:rPr>
        <w:t>项目</w:t>
      </w:r>
      <w:r>
        <w:rPr>
          <w:rFonts w:hint="eastAsia" w:eastAsia="仿宋_GB2312" w:cs="Times New Roman"/>
          <w:color w:val="auto"/>
          <w:sz w:val="24"/>
          <w:szCs w:val="24"/>
          <w:highlight w:val="none"/>
          <w:lang w:val="en-US" w:eastAsia="zh-CN"/>
        </w:rPr>
        <w:t>B地块</w:t>
      </w:r>
      <w:r>
        <w:rPr>
          <w:rFonts w:hint="default" w:ascii="Times New Roman" w:hAnsi="Times New Roman" w:eastAsia="仿宋_GB2312" w:cs="Times New Roman"/>
          <w:color w:val="auto"/>
          <w:sz w:val="24"/>
          <w:szCs w:val="24"/>
          <w:lang w:eastAsia="zh-CN"/>
        </w:rPr>
        <w:t>位于二道物流园区</w:t>
      </w: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lang w:val="en-US" w:eastAsia="zh-CN"/>
        </w:rPr>
        <w:t>坐落于</w:t>
      </w:r>
      <w:r>
        <w:rPr>
          <w:rFonts w:hint="eastAsia" w:eastAsia="仿宋_GB2312" w:cs="Times New Roman"/>
          <w:color w:val="auto"/>
          <w:sz w:val="24"/>
          <w:szCs w:val="24"/>
          <w:highlight w:val="none"/>
          <w:lang w:val="en-US" w:eastAsia="zh-CN"/>
        </w:rPr>
        <w:t>常德路以北、英俊东街以东、英凯大街以西</w:t>
      </w:r>
      <w:r>
        <w:rPr>
          <w:rFonts w:hint="default" w:ascii="Times New Roman" w:hAnsi="Times New Roman" w:eastAsia="仿宋_GB2312" w:cs="Times New Roman"/>
          <w:color w:val="auto"/>
          <w:sz w:val="24"/>
          <w:szCs w:val="24"/>
          <w:highlight w:val="none"/>
          <w:lang w:val="en-US" w:eastAsia="zh-CN"/>
        </w:rPr>
        <w:t>。</w:t>
      </w:r>
      <w:r>
        <w:rPr>
          <w:rFonts w:hint="default" w:ascii="Times New Roman" w:hAnsi="Times New Roman" w:eastAsia="仿宋_GB2312" w:cs="Times New Roman"/>
          <w:color w:val="auto"/>
          <w:sz w:val="24"/>
          <w:szCs w:val="24"/>
          <w:highlight w:val="none"/>
        </w:rPr>
        <w:t>中心点坐标为东经125°30'7.426"，北纬43°54'44.914"。</w:t>
      </w:r>
      <w:r>
        <w:rPr>
          <w:rFonts w:hint="default" w:ascii="Times New Roman" w:hAnsi="Times New Roman" w:eastAsia="仿宋_GB2312" w:cs="Times New Roman"/>
          <w:color w:val="auto"/>
          <w:sz w:val="24"/>
          <w:szCs w:val="24"/>
          <w:highlight w:val="none"/>
          <w:lang w:eastAsia="zh-CN"/>
        </w:rPr>
        <w:t>项目为新建建设类项目。</w:t>
      </w:r>
      <w:r>
        <w:rPr>
          <w:rFonts w:hint="eastAsia" w:eastAsia="仿宋_GB2312" w:cs="Times New Roman"/>
          <w:color w:val="auto"/>
          <w:sz w:val="24"/>
          <w:szCs w:val="24"/>
          <w:lang w:val="en-US" w:eastAsia="zh-CN"/>
        </w:rPr>
        <w:t>B地块</w:t>
      </w:r>
      <w:r>
        <w:rPr>
          <w:rFonts w:hint="default" w:ascii="Times New Roman" w:hAnsi="Times New Roman" w:eastAsia="仿宋_GB2312" w:cs="Times New Roman"/>
          <w:color w:val="auto"/>
          <w:sz w:val="24"/>
          <w:szCs w:val="24"/>
        </w:rPr>
        <w:t>项目</w:t>
      </w:r>
      <w:r>
        <w:rPr>
          <w:rFonts w:hint="eastAsia" w:eastAsia="仿宋_GB2312" w:cs="Times New Roman"/>
          <w:color w:val="auto"/>
          <w:sz w:val="24"/>
          <w:szCs w:val="24"/>
          <w:lang w:val="en-US" w:eastAsia="zh-CN"/>
        </w:rPr>
        <w:t>总占地面积199833</w:t>
      </w:r>
      <w:r>
        <w:rPr>
          <w:rFonts w:hint="default" w:ascii="Times New Roman" w:hAnsi="Times New Roman" w:eastAsia="仿宋_GB2312" w:cs="Times New Roman"/>
          <w:sz w:val="24"/>
          <w:szCs w:val="24"/>
          <w:highlight w:val="none"/>
        </w:rPr>
        <w:t>hm²</w:t>
      </w:r>
      <w:r>
        <w:rPr>
          <w:rFonts w:hint="eastAsia" w:eastAsia="仿宋_GB2312" w:cs="Times New Roman"/>
          <w:color w:val="auto"/>
          <w:sz w:val="24"/>
          <w:szCs w:val="24"/>
          <w:lang w:val="en-US" w:eastAsia="zh-CN"/>
        </w:rPr>
        <w:t>，</w:t>
      </w:r>
      <w:r>
        <w:rPr>
          <w:rFonts w:hint="default" w:ascii="Times New Roman" w:hAnsi="Times New Roman" w:eastAsia="仿宋_GB2312" w:cs="Times New Roman"/>
          <w:color w:val="auto"/>
          <w:sz w:val="24"/>
          <w:szCs w:val="24"/>
        </w:rPr>
        <w:t>规划总建筑面积</w:t>
      </w:r>
      <w:r>
        <w:rPr>
          <w:rFonts w:hint="eastAsia" w:eastAsia="仿宋_GB2312" w:cs="Times New Roman"/>
          <w:color w:val="auto"/>
          <w:sz w:val="24"/>
          <w:szCs w:val="24"/>
          <w:lang w:eastAsia="zh-CN"/>
        </w:rPr>
        <w:t>133523.92</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rPr>
        <w:t>。其中地上建筑面积</w:t>
      </w:r>
      <w:r>
        <w:rPr>
          <w:rFonts w:hint="eastAsia" w:eastAsia="仿宋_GB2312" w:cs="Times New Roman"/>
          <w:color w:val="auto"/>
          <w:sz w:val="24"/>
          <w:szCs w:val="24"/>
          <w:lang w:eastAsia="zh-CN"/>
        </w:rPr>
        <w:t>132784.35</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rPr>
        <w:t>，地下建筑面积</w:t>
      </w:r>
      <w:r>
        <w:rPr>
          <w:rFonts w:hint="eastAsia" w:eastAsia="仿宋_GB2312" w:cs="Times New Roman"/>
          <w:color w:val="auto"/>
          <w:sz w:val="24"/>
          <w:szCs w:val="24"/>
          <w:lang w:eastAsia="zh-CN"/>
        </w:rPr>
        <w:t>739.57</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rPr>
        <w:t>厂房</w:t>
      </w:r>
      <w:r>
        <w:rPr>
          <w:rFonts w:hint="eastAsia" w:eastAsia="仿宋_GB2312" w:cs="Times New Roman"/>
          <w:color w:val="auto"/>
          <w:sz w:val="24"/>
          <w:szCs w:val="24"/>
          <w:lang w:val="en-US" w:eastAsia="zh-CN"/>
        </w:rPr>
        <w:t>6栋</w:t>
      </w:r>
      <w:r>
        <w:rPr>
          <w:rFonts w:hint="default" w:ascii="Times New Roman" w:hAnsi="Times New Roman" w:eastAsia="仿宋_GB2312" w:cs="Times New Roman"/>
          <w:color w:val="auto"/>
          <w:sz w:val="24"/>
          <w:szCs w:val="24"/>
          <w:lang w:val="en-US" w:eastAsia="zh-CN"/>
        </w:rPr>
        <w:t>面积</w:t>
      </w:r>
      <w:r>
        <w:rPr>
          <w:rFonts w:hint="eastAsia" w:eastAsia="仿宋_GB2312" w:cs="Times New Roman"/>
          <w:color w:val="auto"/>
          <w:sz w:val="24"/>
          <w:szCs w:val="24"/>
          <w:lang w:eastAsia="zh-CN"/>
        </w:rPr>
        <w:t>106815.86</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rPr>
        <w:t>、</w:t>
      </w:r>
      <w:r>
        <w:rPr>
          <w:rFonts w:hint="eastAsia" w:eastAsia="仿宋_GB2312" w:cs="Times New Roman"/>
          <w:color w:val="auto"/>
          <w:sz w:val="24"/>
          <w:szCs w:val="24"/>
          <w:lang w:val="en-US" w:eastAsia="zh-CN"/>
        </w:rPr>
        <w:t>办公楼及食堂11063.98</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rPr>
        <w:t>、</w:t>
      </w:r>
      <w:r>
        <w:rPr>
          <w:rFonts w:hint="eastAsia" w:eastAsia="仿宋_GB2312" w:cs="Times New Roman"/>
          <w:color w:val="auto"/>
          <w:sz w:val="24"/>
          <w:szCs w:val="24"/>
          <w:lang w:val="en-US" w:eastAsia="zh-CN"/>
        </w:rPr>
        <w:t>宿舍楼1栋面积7716.97</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rPr>
        <w:t>、</w:t>
      </w:r>
      <w:r>
        <w:rPr>
          <w:rFonts w:hint="eastAsia" w:eastAsia="仿宋_GB2312" w:cs="Times New Roman"/>
          <w:color w:val="auto"/>
          <w:sz w:val="24"/>
          <w:szCs w:val="24"/>
          <w:lang w:val="en-US" w:eastAsia="zh-CN"/>
        </w:rPr>
        <w:t>实验中心1栋面积3955.97</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rPr>
        <w:t>、</w:t>
      </w:r>
      <w:r>
        <w:rPr>
          <w:rFonts w:hint="eastAsia" w:eastAsia="仿宋_GB2312" w:cs="Times New Roman"/>
          <w:color w:val="auto"/>
          <w:sz w:val="24"/>
          <w:szCs w:val="24"/>
          <w:lang w:val="en-US" w:eastAsia="zh-CN"/>
        </w:rPr>
        <w:t>食堂1栋面积2425.71</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rPr>
        <w:t>、开闭站、变电所、柴发、锅炉房</w:t>
      </w:r>
      <w:r>
        <w:rPr>
          <w:rFonts w:hint="eastAsia" w:eastAsia="仿宋_GB2312" w:cs="Times New Roman"/>
          <w:color w:val="auto"/>
          <w:sz w:val="24"/>
          <w:szCs w:val="24"/>
          <w:lang w:val="en-US" w:eastAsia="zh-CN"/>
        </w:rPr>
        <w:t>面积722.86</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rPr>
        <w:t>、</w:t>
      </w:r>
      <w:r>
        <w:rPr>
          <w:rFonts w:hint="eastAsia" w:eastAsia="仿宋_GB2312" w:cs="Times New Roman"/>
          <w:color w:val="auto"/>
          <w:sz w:val="24"/>
          <w:szCs w:val="24"/>
          <w:lang w:eastAsia="zh-CN"/>
        </w:rPr>
        <w:t>水泵房及水池</w:t>
      </w:r>
      <w:r>
        <w:rPr>
          <w:rFonts w:hint="default" w:ascii="Times New Roman" w:hAnsi="Times New Roman" w:eastAsia="仿宋_GB2312" w:cs="Times New Roman"/>
          <w:color w:val="auto"/>
          <w:sz w:val="24"/>
          <w:szCs w:val="24"/>
          <w:lang w:val="en-US" w:eastAsia="zh-CN"/>
        </w:rPr>
        <w:t>1栋面积</w:t>
      </w:r>
      <w:r>
        <w:rPr>
          <w:rFonts w:hint="eastAsia" w:eastAsia="仿宋_GB2312" w:cs="Times New Roman"/>
          <w:color w:val="auto"/>
          <w:sz w:val="24"/>
          <w:szCs w:val="24"/>
          <w:lang w:eastAsia="zh-CN"/>
        </w:rPr>
        <w:t>729.57</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lang w:val="en-US" w:eastAsia="zh-CN"/>
        </w:rPr>
        <w:t>地上建筑面积</w:t>
      </w:r>
      <w:r>
        <w:rPr>
          <w:rFonts w:hint="eastAsia" w:eastAsia="仿宋_GB2312" w:cs="Times New Roman"/>
          <w:color w:val="auto"/>
          <w:sz w:val="24"/>
          <w:szCs w:val="24"/>
          <w:lang w:val="en-US" w:eastAsia="zh-CN"/>
        </w:rPr>
        <w:t>53</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lang w:val="en-US" w:eastAsia="zh-CN"/>
        </w:rPr>
        <w:t>地下建筑面积</w:t>
      </w:r>
      <w:r>
        <w:rPr>
          <w:rFonts w:hint="eastAsia" w:eastAsia="仿宋_GB2312" w:cs="Times New Roman"/>
          <w:color w:val="auto"/>
          <w:sz w:val="24"/>
          <w:szCs w:val="24"/>
          <w:lang w:val="en-US" w:eastAsia="zh-CN"/>
        </w:rPr>
        <w:t>739.57</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rPr>
        <w:t>、</w:t>
      </w:r>
      <w:r>
        <w:rPr>
          <w:rFonts w:hint="eastAsia" w:eastAsia="仿宋_GB2312" w:cs="Times New Roman"/>
          <w:color w:val="auto"/>
          <w:sz w:val="24"/>
          <w:szCs w:val="24"/>
          <w:lang w:eastAsia="zh-CN"/>
        </w:rPr>
        <w:t>成品岗亭</w:t>
      </w:r>
      <w:r>
        <w:rPr>
          <w:rFonts w:hint="eastAsia" w:eastAsia="仿宋_GB2312" w:cs="Times New Roman"/>
          <w:color w:val="auto"/>
          <w:sz w:val="24"/>
          <w:szCs w:val="24"/>
          <w:lang w:val="en-US" w:eastAsia="zh-CN"/>
        </w:rPr>
        <w:t>5栋</w:t>
      </w:r>
      <w:r>
        <w:rPr>
          <w:rFonts w:hint="default" w:ascii="Times New Roman" w:hAnsi="Times New Roman" w:eastAsia="仿宋_GB2312" w:cs="Times New Roman"/>
          <w:color w:val="auto"/>
          <w:sz w:val="24"/>
          <w:szCs w:val="24"/>
          <w:lang w:val="en-US" w:eastAsia="zh-CN"/>
        </w:rPr>
        <w:t>面积</w:t>
      </w:r>
      <w:r>
        <w:rPr>
          <w:rFonts w:hint="eastAsia" w:eastAsia="仿宋_GB2312" w:cs="Times New Roman"/>
          <w:color w:val="auto"/>
          <w:sz w:val="24"/>
          <w:szCs w:val="24"/>
          <w:lang w:val="en-US" w:eastAsia="zh-CN"/>
        </w:rPr>
        <w:t>30</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z w:val="24"/>
          <w:szCs w:val="24"/>
          <w:lang w:eastAsia="zh-CN"/>
        </w:rPr>
        <w:t>道路及硬化</w:t>
      </w:r>
      <w:r>
        <w:rPr>
          <w:rFonts w:hint="default" w:ascii="Times New Roman" w:hAnsi="Times New Roman" w:eastAsia="仿宋_GB2312" w:cs="Times New Roman"/>
          <w:color w:val="auto"/>
          <w:sz w:val="24"/>
          <w:szCs w:val="24"/>
        </w:rPr>
        <w:t>面积</w:t>
      </w:r>
      <w:r>
        <w:rPr>
          <w:rFonts w:hint="eastAsia" w:eastAsia="仿宋_GB2312" w:cs="Times New Roman"/>
          <w:color w:val="auto"/>
          <w:sz w:val="24"/>
          <w:szCs w:val="24"/>
          <w:lang w:eastAsia="zh-CN"/>
        </w:rPr>
        <w:t>79857.96</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z w:val="24"/>
          <w:szCs w:val="24"/>
          <w:lang w:eastAsia="zh-CN"/>
        </w:rPr>
        <w:t>绿化面积</w:t>
      </w:r>
      <w:r>
        <w:rPr>
          <w:rFonts w:hint="eastAsia" w:eastAsia="仿宋_GB2312" w:cs="Times New Roman"/>
          <w:color w:val="auto"/>
          <w:sz w:val="24"/>
          <w:szCs w:val="24"/>
          <w:lang w:val="en-US" w:eastAsia="zh-CN"/>
        </w:rPr>
        <w:t>39933.28</w:t>
      </w:r>
      <w:r>
        <w:rPr>
          <w:rFonts w:hint="default" w:ascii="Times New Roman" w:hAnsi="Times New Roman" w:eastAsia="仿宋_GB2312" w:cs="Times New Roman"/>
          <w:color w:val="auto"/>
          <w:sz w:val="24"/>
          <w:szCs w:val="24"/>
          <w:lang w:val="en-US" w:eastAsia="zh-CN"/>
        </w:rPr>
        <w:t>m²</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rPr>
        <w:t>配套</w:t>
      </w:r>
      <w:r>
        <w:rPr>
          <w:rFonts w:hint="default" w:ascii="Times New Roman" w:hAnsi="Times New Roman" w:eastAsia="仿宋_GB2312" w:cs="Times New Roman"/>
          <w:color w:val="auto"/>
          <w:sz w:val="24"/>
          <w:lang w:eastAsia="zh-CN"/>
        </w:rPr>
        <w:t>供水管线和供电工程等基础设施工程</w:t>
      </w:r>
      <w:r>
        <w:rPr>
          <w:rFonts w:hint="default" w:ascii="Times New Roman" w:hAnsi="Times New Roman" w:eastAsia="仿宋_GB2312" w:cs="Times New Roman"/>
          <w:color w:val="auto"/>
          <w:sz w:val="24"/>
        </w:rPr>
        <w:t>。</w:t>
      </w:r>
      <w:r>
        <w:rPr>
          <w:rFonts w:hint="default" w:ascii="Times New Roman" w:hAnsi="Times New Roman" w:eastAsia="仿宋_GB2312" w:cs="Times New Roman"/>
          <w:color w:val="auto"/>
          <w:sz w:val="24"/>
          <w:szCs w:val="24"/>
        </w:rPr>
        <w:t>项目建成后容积率为</w:t>
      </w:r>
      <w:r>
        <w:rPr>
          <w:rFonts w:hint="eastAsia" w:eastAsia="仿宋_GB2312" w:cs="Times New Roman"/>
          <w:color w:val="auto"/>
          <w:sz w:val="24"/>
          <w:szCs w:val="24"/>
          <w:lang w:eastAsia="zh-CN"/>
        </w:rPr>
        <w:t>0.94</w:t>
      </w:r>
      <w:r>
        <w:rPr>
          <w:rFonts w:hint="default" w:ascii="Times New Roman" w:hAnsi="Times New Roman" w:eastAsia="仿宋_GB2312" w:cs="Times New Roman"/>
          <w:color w:val="auto"/>
          <w:sz w:val="24"/>
          <w:szCs w:val="24"/>
        </w:rPr>
        <w:t>，绿化率为</w:t>
      </w:r>
      <w:r>
        <w:rPr>
          <w:rFonts w:hint="eastAsia" w:eastAsia="仿宋_GB2312" w:cs="Times New Roman"/>
          <w:color w:val="auto"/>
          <w:sz w:val="24"/>
          <w:szCs w:val="24"/>
          <w:lang w:val="en-US" w:eastAsia="zh-CN"/>
        </w:rPr>
        <w:t>19.98</w:t>
      </w:r>
      <w:r>
        <w:rPr>
          <w:rFonts w:hint="default" w:ascii="Times New Roman" w:hAnsi="Times New Roman" w:eastAsia="仿宋_GB2312" w:cs="Times New Roman"/>
          <w:color w:val="auto"/>
          <w:sz w:val="24"/>
          <w:szCs w:val="24"/>
        </w:rPr>
        <w:t>%，建筑密度为</w:t>
      </w:r>
      <w:r>
        <w:rPr>
          <w:rFonts w:hint="eastAsia" w:eastAsia="仿宋_GB2312" w:cs="Times New Roman"/>
          <w:color w:val="auto"/>
          <w:sz w:val="24"/>
          <w:szCs w:val="24"/>
          <w:lang w:eastAsia="zh-CN"/>
        </w:rPr>
        <w:t>40.05</w:t>
      </w:r>
      <w:r>
        <w:rPr>
          <w:rFonts w:hint="default" w:ascii="Times New Roman" w:hAnsi="Times New Roman" w:eastAsia="仿宋_GB2312" w:cs="Times New Roman"/>
          <w:color w:val="auto"/>
          <w:sz w:val="24"/>
          <w:szCs w:val="24"/>
        </w:rPr>
        <w:t>%</w:t>
      </w:r>
      <w:r>
        <w:rPr>
          <w:rFonts w:hint="eastAsia" w:eastAsia="仿宋_GB2312" w:cs="Times New Roman"/>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eastAsia" w:ascii="Times New Roman" w:hAnsi="Times New Roman" w:eastAsia="仿宋_GB2312" w:cs="Times New Roman"/>
          <w:sz w:val="24"/>
          <w:szCs w:val="24"/>
          <w:highlight w:val="none"/>
          <w:lang w:val="en-US" w:eastAsia="zh-CN"/>
        </w:rPr>
        <w:t>B地块占地面积为19.98</w:t>
      </w:r>
      <w:r>
        <w:rPr>
          <w:rFonts w:hint="default" w:ascii="Times New Roman" w:hAnsi="Times New Roman" w:eastAsia="仿宋_GB2312" w:cs="Times New Roman"/>
          <w:sz w:val="24"/>
          <w:szCs w:val="24"/>
          <w:highlight w:val="none"/>
        </w:rPr>
        <w:t>hm²</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占地类型为</w:t>
      </w:r>
      <w:r>
        <w:rPr>
          <w:rFonts w:hint="default" w:ascii="Times New Roman" w:hAnsi="Times New Roman" w:eastAsia="仿宋_GB2312" w:cs="Times New Roman"/>
          <w:sz w:val="24"/>
          <w:szCs w:val="24"/>
          <w:highlight w:val="none"/>
          <w:lang w:eastAsia="zh-CN"/>
        </w:rPr>
        <w:t>工矿及仓储用地</w:t>
      </w:r>
      <w:r>
        <w:rPr>
          <w:rFonts w:hint="default" w:ascii="Times New Roman" w:hAnsi="Times New Roman" w:eastAsia="仿宋_GB2312" w:cs="Times New Roman"/>
          <w:sz w:val="24"/>
          <w:szCs w:val="24"/>
          <w:highlight w:val="none"/>
        </w:rPr>
        <w:t>。土石方总量</w:t>
      </w:r>
      <w:r>
        <w:rPr>
          <w:rFonts w:hint="eastAsia" w:eastAsia="仿宋_GB2312" w:cs="Times New Roman"/>
          <w:sz w:val="24"/>
          <w:szCs w:val="24"/>
          <w:highlight w:val="none"/>
          <w:lang w:val="en-US" w:eastAsia="zh-CN"/>
        </w:rPr>
        <w:t>44.58</w:t>
      </w:r>
      <w:r>
        <w:rPr>
          <w:rFonts w:hint="default" w:ascii="Times New Roman" w:hAnsi="Times New Roman" w:eastAsia="仿宋_GB2312" w:cs="Times New Roman"/>
          <w:sz w:val="24"/>
          <w:szCs w:val="24"/>
          <w:highlight w:val="none"/>
        </w:rPr>
        <w:t>万m³，其中开挖土石方量</w:t>
      </w:r>
      <w:r>
        <w:rPr>
          <w:rFonts w:hint="eastAsia" w:eastAsia="仿宋_GB2312" w:cs="Times New Roman"/>
          <w:sz w:val="24"/>
          <w:szCs w:val="24"/>
          <w:highlight w:val="none"/>
          <w:lang w:val="en-US" w:eastAsia="zh-CN"/>
        </w:rPr>
        <w:t>21.69</w:t>
      </w:r>
      <w:r>
        <w:rPr>
          <w:rFonts w:hint="default" w:ascii="Times New Roman" w:hAnsi="Times New Roman" w:eastAsia="仿宋_GB2312" w:cs="Times New Roman"/>
          <w:sz w:val="24"/>
          <w:szCs w:val="24"/>
          <w:highlight w:val="none"/>
        </w:rPr>
        <w:t>万m³，回填土石方量</w:t>
      </w:r>
      <w:r>
        <w:rPr>
          <w:rFonts w:hint="eastAsia" w:eastAsia="仿宋_GB2312" w:cs="Times New Roman"/>
          <w:sz w:val="24"/>
          <w:szCs w:val="24"/>
          <w:highlight w:val="none"/>
          <w:lang w:val="en-US" w:eastAsia="zh-CN"/>
        </w:rPr>
        <w:t>22.89</w:t>
      </w:r>
      <w:r>
        <w:rPr>
          <w:rFonts w:hint="default" w:ascii="Times New Roman" w:hAnsi="Times New Roman" w:eastAsia="仿宋_GB2312" w:cs="Times New Roman"/>
          <w:sz w:val="24"/>
          <w:szCs w:val="24"/>
          <w:highlight w:val="none"/>
        </w:rPr>
        <w:t>万m³</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绿化用土回覆</w:t>
      </w:r>
      <w:r>
        <w:rPr>
          <w:rFonts w:hint="eastAsia" w:eastAsia="仿宋_GB2312" w:cs="Times New Roman"/>
          <w:sz w:val="24"/>
          <w:szCs w:val="24"/>
          <w:highlight w:val="none"/>
          <w:lang w:val="en-US" w:eastAsia="zh-CN"/>
        </w:rPr>
        <w:t>1.20</w:t>
      </w:r>
      <w:r>
        <w:rPr>
          <w:rFonts w:hint="default" w:ascii="Times New Roman" w:hAnsi="Times New Roman" w:eastAsia="仿宋_GB2312" w:cs="Times New Roman"/>
          <w:sz w:val="24"/>
          <w:szCs w:val="24"/>
          <w:highlight w:val="none"/>
        </w:rPr>
        <w:t>万m³</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，需外借绿化用土</w:t>
      </w:r>
      <w:r>
        <w:rPr>
          <w:rFonts w:hint="eastAsia" w:eastAsia="仿宋_GB2312" w:cs="Times New Roman"/>
          <w:sz w:val="24"/>
          <w:szCs w:val="24"/>
          <w:highlight w:val="none"/>
          <w:lang w:val="en-US" w:eastAsia="zh-CN"/>
        </w:rPr>
        <w:t>1.20</w:t>
      </w:r>
      <w:r>
        <w:rPr>
          <w:rFonts w:hint="default" w:ascii="Times New Roman" w:hAnsi="Times New Roman" w:eastAsia="仿宋_GB2312" w:cs="Times New Roman"/>
          <w:sz w:val="24"/>
          <w:szCs w:val="24"/>
          <w:highlight w:val="none"/>
        </w:rPr>
        <w:t>万m³，土方来源</w:t>
      </w:r>
      <w:r>
        <w:rPr>
          <w:rFonts w:hint="eastAsia" w:eastAsia="仿宋_GB2312" w:cs="Times New Roman"/>
          <w:sz w:val="24"/>
          <w:szCs w:val="24"/>
          <w:highlight w:val="none"/>
          <w:lang w:val="en-US" w:eastAsia="zh-CN"/>
        </w:rPr>
        <w:t>由绿化公司负责</w:t>
      </w:r>
      <w:r>
        <w:rPr>
          <w:rFonts w:hint="default" w:ascii="Times New Roman" w:hAnsi="Times New Roman" w:eastAsia="仿宋_GB2312" w:cs="Times New Roman"/>
          <w:sz w:val="24"/>
          <w:szCs w:val="24"/>
          <w:highlight w:val="none"/>
        </w:rPr>
        <w:t>。工程不涉及拆迁安置、专项设施改</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迁</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lang w:val="en-US" w:eastAsia="zh-CN"/>
        </w:rPr>
        <w:t>本期项目</w:t>
      </w:r>
      <w:r>
        <w:rPr>
          <w:rFonts w:hint="eastAsia" w:eastAsia="仿宋_GB2312" w:cs="Times New Roman"/>
          <w:sz w:val="24"/>
          <w:szCs w:val="24"/>
          <w:highlight w:val="none"/>
          <w:lang w:val="en-US" w:eastAsia="zh-CN"/>
        </w:rPr>
        <w:t>计划</w:t>
      </w:r>
      <w:r>
        <w:rPr>
          <w:rFonts w:hint="default" w:ascii="Times New Roman" w:hAnsi="Times New Roman" w:eastAsia="仿宋_GB2312" w:cs="Times New Roman"/>
          <w:sz w:val="24"/>
          <w:szCs w:val="24"/>
          <w:highlight w:val="none"/>
        </w:rPr>
        <w:t>于</w:t>
      </w:r>
      <w:r>
        <w:rPr>
          <w:rFonts w:hint="eastAsia" w:eastAsia="仿宋_GB2312" w:cs="Times New Roman"/>
          <w:sz w:val="24"/>
          <w:szCs w:val="24"/>
          <w:highlight w:val="none"/>
          <w:lang w:eastAsia="zh-CN"/>
        </w:rPr>
        <w:t>2023年7月</w:t>
      </w:r>
      <w:r>
        <w:rPr>
          <w:rFonts w:hint="default" w:ascii="Times New Roman" w:hAnsi="Times New Roman" w:eastAsia="仿宋_GB2312" w:cs="Times New Roman"/>
          <w:sz w:val="24"/>
          <w:szCs w:val="24"/>
          <w:highlight w:val="none"/>
        </w:rPr>
        <w:t>开工，</w:t>
      </w:r>
      <w:r>
        <w:rPr>
          <w:rFonts w:hint="default" w:ascii="Times New Roman" w:hAnsi="Times New Roman" w:eastAsia="仿宋_GB2312" w:cs="Times New Roman"/>
          <w:sz w:val="24"/>
          <w:szCs w:val="24"/>
          <w:highlight w:val="none"/>
          <w:lang w:val="en-US" w:eastAsia="zh-CN"/>
        </w:rPr>
        <w:t>计划</w:t>
      </w:r>
      <w:r>
        <w:rPr>
          <w:rFonts w:hint="eastAsia" w:eastAsia="仿宋_GB2312" w:cs="Times New Roman"/>
          <w:sz w:val="24"/>
          <w:szCs w:val="24"/>
          <w:highlight w:val="none"/>
          <w:lang w:eastAsia="zh-CN"/>
        </w:rPr>
        <w:t>2024年12月</w:t>
      </w:r>
      <w:r>
        <w:rPr>
          <w:rFonts w:hint="default" w:ascii="Times New Roman" w:hAnsi="Times New Roman" w:eastAsia="仿宋_GB2312" w:cs="Times New Roman"/>
          <w:sz w:val="24"/>
          <w:szCs w:val="24"/>
          <w:highlight w:val="none"/>
        </w:rPr>
        <w:t>完工，总工期为</w:t>
      </w:r>
      <w:r>
        <w:rPr>
          <w:rFonts w:hint="eastAsia" w:eastAsia="仿宋_GB2312" w:cs="Times New Roman"/>
          <w:sz w:val="24"/>
          <w:szCs w:val="24"/>
          <w:highlight w:val="none"/>
          <w:lang w:val="en-US" w:eastAsia="zh-CN"/>
        </w:rPr>
        <w:t>18个</w:t>
      </w:r>
      <w:r>
        <w:rPr>
          <w:rFonts w:hint="default" w:ascii="Times New Roman" w:hAnsi="Times New Roman" w:eastAsia="仿宋_GB2312" w:cs="Times New Roman"/>
          <w:sz w:val="24"/>
          <w:szCs w:val="24"/>
          <w:highlight w:val="none"/>
        </w:rPr>
        <w:t>月。总投资</w:t>
      </w:r>
      <w:r>
        <w:rPr>
          <w:rFonts w:hint="eastAsia" w:eastAsia="仿宋_GB2312" w:cs="Times New Roman"/>
          <w:sz w:val="24"/>
          <w:szCs w:val="24"/>
          <w:highlight w:val="none"/>
          <w:lang w:val="en-US" w:eastAsia="zh-CN"/>
        </w:rPr>
        <w:t>103196.83</w:t>
      </w:r>
      <w:r>
        <w:rPr>
          <w:rFonts w:hint="default" w:ascii="Times New Roman" w:hAnsi="Times New Roman" w:eastAsia="仿宋_GB2312" w:cs="Times New Roman"/>
          <w:sz w:val="24"/>
          <w:szCs w:val="24"/>
          <w:highlight w:val="none"/>
        </w:rPr>
        <w:t>万元，其中</w:t>
      </w:r>
      <w:r>
        <w:rPr>
          <w:rFonts w:hint="eastAsia" w:eastAsia="仿宋_GB2312" w:cs="Times New Roman"/>
          <w:sz w:val="24"/>
          <w:szCs w:val="24"/>
          <w:highlight w:val="none"/>
          <w:lang w:val="en-US" w:eastAsia="zh-CN"/>
        </w:rPr>
        <w:t>土建</w:t>
      </w:r>
      <w:r>
        <w:rPr>
          <w:rFonts w:hint="default" w:ascii="Times New Roman" w:hAnsi="Times New Roman" w:eastAsia="仿宋_GB2312" w:cs="Times New Roman"/>
          <w:sz w:val="24"/>
          <w:szCs w:val="24"/>
          <w:highlight w:val="none"/>
        </w:rPr>
        <w:t>投资</w:t>
      </w:r>
      <w:r>
        <w:rPr>
          <w:rFonts w:hint="eastAsia" w:eastAsia="仿宋_GB2312" w:cs="Times New Roman"/>
          <w:sz w:val="24"/>
          <w:szCs w:val="24"/>
          <w:highlight w:val="none"/>
          <w:lang w:eastAsia="zh-CN"/>
        </w:rPr>
        <w:t>100173.09</w:t>
      </w:r>
      <w:r>
        <w:rPr>
          <w:rFonts w:hint="default" w:ascii="Times New Roman" w:hAnsi="Times New Roman" w:eastAsia="仿宋_GB2312" w:cs="Times New Roman"/>
          <w:sz w:val="24"/>
          <w:szCs w:val="24"/>
          <w:highlight w:val="none"/>
        </w:rPr>
        <w:t>万元，工程建设资金采取区财政和申请地方专项债券共同解决。防治责任主体单位为长春市瑞通投资有限公司。</w:t>
      </w:r>
    </w:p>
    <w:p>
      <w:pPr>
        <w:pStyle w:val="6"/>
        <w:bidi w:val="0"/>
        <w:rPr>
          <w:rFonts w:hint="default" w:ascii="Times New Roman" w:hAnsi="Times New Roman" w:cs="Times New Roman"/>
        </w:rPr>
      </w:pPr>
      <w:r>
        <w:rPr>
          <w:rFonts w:hint="default" w:ascii="Times New Roman" w:hAnsi="Times New Roman" w:cs="Times New Roman"/>
        </w:rPr>
        <w:t>1.1.2项目前期工作进展情况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长春国际物流经济开发区新兴建材产业园区建设</w:t>
      </w:r>
      <w:r>
        <w:rPr>
          <w:rFonts w:hint="default" w:ascii="Times New Roman" w:hAnsi="Times New Roman" w:eastAsia="仿宋_GB2312" w:cs="Times New Roman"/>
          <w:color w:val="auto"/>
          <w:sz w:val="24"/>
          <w:szCs w:val="24"/>
          <w:lang w:eastAsia="zh-CN"/>
        </w:rPr>
        <w:t>项目</w:t>
      </w:r>
      <w:r>
        <w:rPr>
          <w:rFonts w:hint="default" w:ascii="Times New Roman" w:hAnsi="Times New Roman" w:eastAsia="仿宋_GB2312" w:cs="Times New Roman"/>
          <w:color w:val="auto"/>
          <w:sz w:val="24"/>
          <w:szCs w:val="24"/>
          <w:lang w:val="en-US" w:eastAsia="zh-CN"/>
        </w:rPr>
        <w:t>主体工程分为</w:t>
      </w:r>
      <w:r>
        <w:rPr>
          <w:rFonts w:hint="eastAsia" w:eastAsia="仿宋_GB2312" w:cs="Times New Roman"/>
          <w:color w:val="auto"/>
          <w:sz w:val="24"/>
          <w:szCs w:val="24"/>
          <w:lang w:val="en-US" w:eastAsia="zh-CN"/>
        </w:rPr>
        <w:t>A地块</w:t>
      </w:r>
      <w:r>
        <w:rPr>
          <w:rFonts w:hint="default" w:ascii="Times New Roman" w:hAnsi="Times New Roman" w:eastAsia="仿宋_GB2312" w:cs="Times New Roman"/>
          <w:color w:val="auto"/>
          <w:sz w:val="24"/>
          <w:szCs w:val="24"/>
          <w:lang w:val="en-US" w:eastAsia="zh-CN"/>
        </w:rPr>
        <w:t>和B地块二期工程，项目总占地面积313811</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lang w:val="en-US" w:eastAsia="zh-CN"/>
        </w:rPr>
        <w:t>其中</w:t>
      </w:r>
      <w:r>
        <w:rPr>
          <w:rFonts w:hint="eastAsia" w:eastAsia="仿宋_GB2312" w:cs="Times New Roman"/>
          <w:color w:val="auto"/>
          <w:sz w:val="24"/>
          <w:szCs w:val="24"/>
          <w:lang w:val="en-US" w:eastAsia="zh-CN"/>
        </w:rPr>
        <w:t>A地块</w:t>
      </w:r>
      <w:r>
        <w:rPr>
          <w:rFonts w:hint="default" w:ascii="Times New Roman" w:hAnsi="Times New Roman" w:eastAsia="仿宋_GB2312" w:cs="Times New Roman"/>
          <w:color w:val="auto"/>
          <w:sz w:val="24"/>
          <w:szCs w:val="24"/>
          <w:lang w:val="en-US" w:eastAsia="zh-CN"/>
        </w:rPr>
        <w:t>占地面积</w:t>
      </w:r>
      <w:r>
        <w:rPr>
          <w:rFonts w:hint="eastAsia" w:eastAsia="仿宋_GB2312" w:cs="Times New Roman"/>
          <w:color w:val="auto"/>
          <w:sz w:val="24"/>
          <w:szCs w:val="24"/>
          <w:highlight w:val="none"/>
          <w:lang w:val="en-US" w:eastAsia="zh-CN"/>
        </w:rPr>
        <w:t>113978</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lang w:val="en-US" w:eastAsia="zh-CN"/>
        </w:rPr>
        <w:t>，B地块占地面积199833</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lang w:val="en-US" w:eastAsia="zh-CN"/>
        </w:rPr>
        <w:t>。</w:t>
      </w:r>
      <w:r>
        <w:rPr>
          <w:rFonts w:hint="eastAsia" w:eastAsia="仿宋_GB2312" w:cs="Times New Roman"/>
          <w:color w:val="auto"/>
          <w:sz w:val="24"/>
          <w:szCs w:val="24"/>
          <w:lang w:val="en-US" w:eastAsia="zh-CN"/>
        </w:rPr>
        <w:t>2023年5月，A地块</w:t>
      </w:r>
      <w:r>
        <w:rPr>
          <w:rFonts w:hint="default" w:ascii="Times New Roman" w:hAnsi="Times New Roman" w:eastAsia="仿宋_GB2312" w:cs="Times New Roman"/>
          <w:color w:val="auto"/>
          <w:sz w:val="24"/>
          <w:szCs w:val="24"/>
          <w:lang w:val="en-US" w:eastAsia="zh-CN"/>
        </w:rPr>
        <w:t>单独取得</w:t>
      </w:r>
      <w:r>
        <w:rPr>
          <w:rFonts w:hint="eastAsia" w:eastAsia="仿宋_GB2312" w:cs="Times New Roman"/>
          <w:color w:val="auto"/>
          <w:sz w:val="24"/>
          <w:szCs w:val="24"/>
          <w:lang w:val="en-US" w:eastAsia="zh-CN"/>
        </w:rPr>
        <w:t>规划许可证等</w:t>
      </w:r>
      <w:r>
        <w:rPr>
          <w:rFonts w:hint="default" w:ascii="Times New Roman" w:hAnsi="Times New Roman" w:eastAsia="仿宋_GB2312" w:cs="Times New Roman"/>
          <w:color w:val="auto"/>
          <w:sz w:val="24"/>
          <w:szCs w:val="24"/>
          <w:lang w:val="en-US" w:eastAsia="zh-CN"/>
        </w:rPr>
        <w:t>相关批复，具备编制水土保持方案条件，但B地块尚未取得相应许可证，相关报批工作正在进行中。经向</w:t>
      </w:r>
      <w:r>
        <w:rPr>
          <w:rFonts w:hint="eastAsia" w:eastAsia="仿宋_GB2312" w:cs="Times New Roman"/>
          <w:color w:val="auto"/>
          <w:sz w:val="24"/>
          <w:szCs w:val="24"/>
          <w:lang w:val="en-US" w:eastAsia="zh-CN"/>
        </w:rPr>
        <w:t>吉林省水土保持学会和相关</w:t>
      </w:r>
      <w:r>
        <w:rPr>
          <w:rFonts w:hint="default" w:ascii="Times New Roman" w:hAnsi="Times New Roman" w:eastAsia="仿宋_GB2312" w:cs="Times New Roman"/>
          <w:color w:val="auto"/>
          <w:sz w:val="24"/>
          <w:szCs w:val="24"/>
          <w:lang w:val="en-US" w:eastAsia="zh-CN"/>
        </w:rPr>
        <w:t>水行政主管部门咨询，</w:t>
      </w:r>
      <w:r>
        <w:rPr>
          <w:rFonts w:hint="eastAsia" w:eastAsia="仿宋_GB2312" w:cs="Times New Roman"/>
          <w:color w:val="auto"/>
          <w:sz w:val="24"/>
          <w:szCs w:val="24"/>
          <w:lang w:val="en-US" w:eastAsia="zh-CN"/>
        </w:rPr>
        <w:t>根据《</w:t>
      </w:r>
      <w:r>
        <w:rPr>
          <w:rFonts w:hint="default" w:eastAsia="仿宋_GB2312"/>
          <w:sz w:val="24"/>
          <w:highlight w:val="none"/>
          <w:lang w:val="en-US" w:eastAsia="zh-CN"/>
        </w:rPr>
        <w:t>吉林省水利厅关于对长春国际物流经济开发区新兴建材产业园区建设项目水土保持方案编制报批有关情况的意见</w:t>
      </w:r>
      <w:r>
        <w:rPr>
          <w:rFonts w:hint="eastAsia" w:eastAsia="仿宋_GB2312" w:cs="Times New Roman"/>
          <w:color w:val="auto"/>
          <w:sz w:val="24"/>
          <w:szCs w:val="24"/>
          <w:lang w:val="en-US" w:eastAsia="zh-CN"/>
        </w:rPr>
        <w:t>》，</w:t>
      </w:r>
      <w:r>
        <w:rPr>
          <w:rFonts w:hint="default" w:ascii="Times New Roman" w:hAnsi="Times New Roman" w:eastAsia="仿宋_GB2312" w:cs="Times New Roman"/>
          <w:color w:val="auto"/>
          <w:sz w:val="24"/>
          <w:szCs w:val="24"/>
          <w:lang w:val="en-US" w:eastAsia="zh-CN"/>
        </w:rPr>
        <w:t>明确可以先行编报手续齐全的项目</w:t>
      </w:r>
      <w:r>
        <w:rPr>
          <w:rFonts w:hint="eastAsia" w:eastAsia="仿宋_GB2312" w:cs="Times New Roman"/>
          <w:color w:val="auto"/>
          <w:sz w:val="24"/>
          <w:szCs w:val="24"/>
          <w:lang w:val="en-US" w:eastAsia="zh-CN"/>
        </w:rPr>
        <w:t>A地块</w:t>
      </w:r>
      <w:r>
        <w:rPr>
          <w:rFonts w:hint="default" w:ascii="Times New Roman" w:hAnsi="Times New Roman" w:eastAsia="仿宋_GB2312" w:cs="Times New Roman"/>
          <w:color w:val="auto"/>
          <w:sz w:val="24"/>
          <w:szCs w:val="24"/>
          <w:lang w:val="en-US" w:eastAsia="zh-CN"/>
        </w:rPr>
        <w:t>部分水土保持方案（但应明晰完整的水土流失防治责任范围、核算包括A、B两个地块在内的完整项目征占用土地面积），并履行水土保持责任与义务，在项目开工建设前一次性缴纳完整项目的水土保持补偿费。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长春市瑞通投资有限公司</w:t>
      </w:r>
      <w:r>
        <w:rPr>
          <w:rFonts w:hint="eastAsia" w:ascii="Times New Roman" w:hAnsi="Times New Roman" w:eastAsia="仿宋_GB2312" w:cs="Times New Roman"/>
          <w:color w:val="auto"/>
          <w:sz w:val="24"/>
          <w:szCs w:val="24"/>
          <w:lang w:val="en-US" w:eastAsia="zh-CN"/>
        </w:rPr>
        <w:t>按照水行政主管部门指导意见</w:t>
      </w:r>
      <w:r>
        <w:rPr>
          <w:rFonts w:hint="eastAsia" w:eastAsia="仿宋_GB2312" w:cs="Times New Roman"/>
          <w:color w:val="auto"/>
          <w:sz w:val="24"/>
          <w:szCs w:val="24"/>
          <w:lang w:val="en-US" w:eastAsia="zh-CN"/>
        </w:rPr>
        <w:t>委托</w:t>
      </w:r>
      <w:r>
        <w:rPr>
          <w:rFonts w:hint="eastAsia" w:ascii="Times New Roman" w:hAnsi="Times New Roman" w:eastAsia="仿宋_GB2312" w:cs="Times New Roman"/>
          <w:color w:val="auto"/>
          <w:sz w:val="24"/>
          <w:szCs w:val="24"/>
          <w:lang w:val="en-US" w:eastAsia="zh-CN"/>
        </w:rPr>
        <w:t>编制</w:t>
      </w:r>
      <w:r>
        <w:rPr>
          <w:rFonts w:hint="eastAsia" w:eastAsia="仿宋_GB2312" w:cs="Times New Roman"/>
          <w:color w:val="auto"/>
          <w:sz w:val="24"/>
          <w:szCs w:val="24"/>
          <w:lang w:val="en-US" w:eastAsia="zh-CN"/>
        </w:rPr>
        <w:t>了</w:t>
      </w:r>
      <w:r>
        <w:rPr>
          <w:rFonts w:hint="eastAsia" w:ascii="Times New Roman" w:hAnsi="Times New Roman" w:eastAsia="仿宋_GB2312" w:cs="Times New Roman"/>
          <w:color w:val="auto"/>
          <w:sz w:val="24"/>
          <w:szCs w:val="24"/>
          <w:lang w:val="en-US" w:eastAsia="zh-CN"/>
        </w:rPr>
        <w:t>《</w:t>
      </w:r>
      <w:r>
        <w:rPr>
          <w:rFonts w:hint="default" w:ascii="Times New Roman" w:hAnsi="Times New Roman" w:eastAsia="仿宋_GB2312" w:cs="Times New Roman"/>
          <w:color w:val="auto"/>
          <w:sz w:val="24"/>
          <w:szCs w:val="24"/>
          <w:lang w:val="en-US" w:eastAsia="zh-CN"/>
        </w:rPr>
        <w:t>关于长春国际物流经济开发区新兴建材产业园区建设项目水土保持方案</w:t>
      </w:r>
      <w:r>
        <w:rPr>
          <w:rFonts w:hint="eastAsia" w:ascii="Times New Roman" w:hAnsi="Times New Roman" w:eastAsia="仿宋_GB2312" w:cs="Times New Roman"/>
          <w:color w:val="auto"/>
          <w:sz w:val="24"/>
          <w:szCs w:val="24"/>
          <w:lang w:val="en-US" w:eastAsia="zh-CN"/>
        </w:rPr>
        <w:t>》（</w:t>
      </w:r>
      <w:r>
        <w:rPr>
          <w:rFonts w:hint="default" w:ascii="Times New Roman" w:hAnsi="Times New Roman" w:eastAsia="仿宋_GB2312" w:cs="Times New Roman"/>
          <w:color w:val="auto"/>
          <w:sz w:val="24"/>
          <w:szCs w:val="24"/>
          <w:lang w:val="en-US" w:eastAsia="zh-CN"/>
        </w:rPr>
        <w:t>吉林省博远工程管理有限公司</w:t>
      </w:r>
      <w:r>
        <w:rPr>
          <w:rFonts w:hint="eastAsia" w:ascii="Times New Roman" w:hAnsi="Times New Roman" w:eastAsia="仿宋_GB2312" w:cs="Times New Roman"/>
          <w:color w:val="auto"/>
          <w:sz w:val="24"/>
          <w:szCs w:val="24"/>
          <w:lang w:val="en-US" w:eastAsia="zh-CN"/>
        </w:rPr>
        <w:t>，</w:t>
      </w:r>
      <w:r>
        <w:rPr>
          <w:rFonts w:hint="eastAsia" w:eastAsia="仿宋_GB2312" w:cs="Times New Roman"/>
          <w:color w:val="auto"/>
          <w:sz w:val="24"/>
          <w:szCs w:val="24"/>
          <w:lang w:val="en-US" w:eastAsia="zh-CN"/>
        </w:rPr>
        <w:t>2022年11月</w:t>
      </w:r>
      <w:r>
        <w:rPr>
          <w:rFonts w:hint="eastAsia" w:ascii="Times New Roman" w:hAnsi="Times New Roman" w:eastAsia="仿宋_GB2312" w:cs="Times New Roman"/>
          <w:color w:val="auto"/>
          <w:sz w:val="24"/>
          <w:szCs w:val="24"/>
          <w:lang w:val="en-US" w:eastAsia="zh-CN"/>
        </w:rPr>
        <w:t>），</w:t>
      </w:r>
      <w:r>
        <w:rPr>
          <w:rFonts w:hint="eastAsia" w:eastAsia="仿宋_GB2312" w:cs="Times New Roman"/>
          <w:color w:val="auto"/>
          <w:sz w:val="24"/>
          <w:szCs w:val="24"/>
          <w:lang w:val="en-US" w:eastAsia="zh-CN"/>
        </w:rPr>
        <w:t>并取得了长春市水务局《长春国际物流开发区新兴建材产业园区建设项目水土保持行政许可</w:t>
      </w:r>
      <w:r>
        <w:rPr>
          <w:rFonts w:hint="eastAsia" w:ascii="Times New Roman" w:hAnsi="Times New Roman" w:eastAsia="仿宋_GB2312" w:cs="Times New Roman"/>
          <w:color w:val="auto"/>
          <w:sz w:val="24"/>
          <w:szCs w:val="24"/>
          <w:lang w:val="en-US" w:eastAsia="zh-CN"/>
        </w:rPr>
        <w:t>承诺书》（长水许可〔2023〕18号），现</w:t>
      </w:r>
      <w:r>
        <w:rPr>
          <w:rFonts w:hint="default" w:ascii="Times New Roman" w:hAnsi="Times New Roman" w:eastAsia="仿宋_GB2312" w:cs="Times New Roman"/>
          <w:color w:val="auto"/>
          <w:sz w:val="24"/>
          <w:szCs w:val="24"/>
          <w:lang w:val="en-US" w:eastAsia="zh-CN"/>
        </w:rPr>
        <w:t>B地块</w:t>
      </w:r>
      <w:r>
        <w:rPr>
          <w:rFonts w:hint="eastAsia" w:ascii="Times New Roman" w:hAnsi="Times New Roman" w:eastAsia="仿宋_GB2312" w:cs="Times New Roman"/>
          <w:color w:val="auto"/>
          <w:sz w:val="24"/>
          <w:szCs w:val="24"/>
          <w:lang w:val="en-US" w:eastAsia="zh-CN"/>
        </w:rPr>
        <w:t>完成前期规划，开工在即，</w:t>
      </w:r>
      <w:r>
        <w:rPr>
          <w:rFonts w:hint="default" w:ascii="Times New Roman" w:hAnsi="Times New Roman" w:eastAsia="仿宋_GB2312" w:cs="Times New Roman"/>
          <w:color w:val="auto"/>
          <w:sz w:val="24"/>
          <w:szCs w:val="24"/>
          <w:lang w:val="en-US" w:eastAsia="zh-CN"/>
        </w:rPr>
        <w:t>按规定编报</w:t>
      </w:r>
      <w:r>
        <w:rPr>
          <w:rFonts w:hint="eastAsia" w:ascii="Times New Roman" w:hAnsi="Times New Roman" w:eastAsia="仿宋_GB2312" w:cs="Times New Roman"/>
          <w:color w:val="auto"/>
          <w:sz w:val="24"/>
          <w:szCs w:val="24"/>
          <w:lang w:val="en-US" w:eastAsia="zh-CN"/>
        </w:rPr>
        <w:t>本项目</w:t>
      </w:r>
      <w:r>
        <w:rPr>
          <w:rFonts w:hint="default" w:ascii="Times New Roman" w:hAnsi="Times New Roman" w:eastAsia="仿宋_GB2312" w:cs="Times New Roman"/>
          <w:color w:val="auto"/>
          <w:sz w:val="24"/>
          <w:szCs w:val="24"/>
          <w:lang w:val="en-US" w:eastAsia="zh-CN"/>
        </w:rPr>
        <w:t>水土保持方案</w:t>
      </w:r>
      <w:r>
        <w:rPr>
          <w:rFonts w:hint="eastAsia" w:ascii="Times New Roman" w:hAnsi="Times New Roman" w:eastAsia="仿宋_GB2312" w:cs="Times New Roman"/>
          <w:color w:val="auto"/>
          <w:sz w:val="24"/>
          <w:szCs w:val="24"/>
          <w:lang w:val="en-US" w:eastAsia="zh-CN"/>
        </w:rPr>
        <w:t>（B地块</w:t>
      </w:r>
      <w:r>
        <w:rPr>
          <w:rFonts w:hint="default" w:ascii="Times New Roman" w:hAnsi="Times New Roman" w:eastAsia="仿宋_GB2312" w:cs="Times New Roman"/>
          <w:color w:val="auto"/>
          <w:sz w:val="24"/>
          <w:szCs w:val="24"/>
          <w:lang w:val="en-US" w:eastAsia="zh-CN"/>
        </w:rPr>
        <w:t>补充</w:t>
      </w:r>
      <w:r>
        <w:rPr>
          <w:rFonts w:hint="eastAsia" w:ascii="Times New Roman" w:hAnsi="Times New Roman" w:eastAsia="仿宋_GB2312" w:cs="Times New Roman"/>
          <w:color w:val="auto"/>
          <w:sz w:val="24"/>
          <w:szCs w:val="24"/>
          <w:lang w:val="en-US" w:eastAsia="zh-CN"/>
        </w:rPr>
        <w:t>）</w:t>
      </w:r>
      <w:r>
        <w:rPr>
          <w:rFonts w:hint="default" w:ascii="Times New Roman" w:hAnsi="Times New Roman" w:eastAsia="仿宋_GB2312" w:cs="Times New Roman"/>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yellow"/>
        </w:rPr>
      </w:pPr>
      <w:r>
        <w:rPr>
          <w:rFonts w:hint="default" w:ascii="Times New Roman" w:hAnsi="Times New Roman" w:eastAsia="仿宋_GB2312" w:cs="Times New Roman"/>
          <w:sz w:val="24"/>
          <w:szCs w:val="24"/>
          <w:lang w:val="en-US" w:eastAsia="zh-CN"/>
        </w:rPr>
        <w:t>2021年10月，</w:t>
      </w:r>
      <w:r>
        <w:rPr>
          <w:rFonts w:hint="default" w:ascii="Times New Roman" w:hAnsi="Times New Roman" w:eastAsia="仿宋_GB2312" w:cs="Times New Roman"/>
          <w:sz w:val="24"/>
          <w:szCs w:val="24"/>
        </w:rPr>
        <w:t>长春市二道区发展和改革局</w:t>
      </w:r>
      <w:r>
        <w:rPr>
          <w:rFonts w:hint="eastAsia" w:eastAsia="仿宋_GB2312" w:cs="Times New Roman"/>
          <w:sz w:val="24"/>
          <w:szCs w:val="24"/>
          <w:lang w:val="en-US" w:eastAsia="zh-CN"/>
        </w:rPr>
        <w:t>出具</w:t>
      </w:r>
      <w:r>
        <w:rPr>
          <w:rFonts w:hint="default" w:ascii="Times New Roman" w:hAnsi="Times New Roman" w:eastAsia="仿宋_GB2312" w:cs="Times New Roman"/>
          <w:sz w:val="24"/>
          <w:szCs w:val="24"/>
        </w:rPr>
        <w:t>了《</w:t>
      </w:r>
      <w:r>
        <w:rPr>
          <w:rFonts w:hint="default" w:ascii="Times New Roman" w:hAnsi="Times New Roman" w:eastAsia="仿宋_GB2312" w:cs="Times New Roman"/>
          <w:sz w:val="24"/>
          <w:szCs w:val="24"/>
          <w:lang w:eastAsia="zh-CN"/>
        </w:rPr>
        <w:t>关于长春</w:t>
      </w:r>
      <w:r>
        <w:rPr>
          <w:rFonts w:hint="default" w:ascii="Times New Roman" w:hAnsi="Times New Roman" w:eastAsia="仿宋_GB2312" w:cs="Times New Roman"/>
          <w:sz w:val="24"/>
          <w:szCs w:val="24"/>
          <w:lang w:val="en-US" w:eastAsia="zh-CN"/>
        </w:rPr>
        <w:t>国际物流</w:t>
      </w:r>
      <w:r>
        <w:rPr>
          <w:rFonts w:hint="default" w:ascii="Times New Roman" w:hAnsi="Times New Roman" w:eastAsia="仿宋_GB2312" w:cs="Times New Roman"/>
          <w:sz w:val="24"/>
          <w:szCs w:val="24"/>
          <w:lang w:eastAsia="zh-CN"/>
        </w:rPr>
        <w:t>经济开发区新兴建材产业园区建设项目可行性研究报告的批复</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长二发改</w:t>
      </w:r>
      <w:r>
        <w:rPr>
          <w:rFonts w:hint="default" w:ascii="Times New Roman" w:hAnsi="Times New Roman" w:eastAsia="仿宋_GB2312" w:cs="Times New Roman"/>
          <w:sz w:val="24"/>
          <w:szCs w:val="24"/>
          <w:lang w:eastAsia="zh-CN"/>
        </w:rPr>
        <w:t>〔2021〕93</w:t>
      </w:r>
      <w:r>
        <w:rPr>
          <w:rFonts w:hint="default" w:ascii="Times New Roman" w:hAnsi="Times New Roman" w:eastAsia="仿宋_GB2312" w:cs="Times New Roman"/>
          <w:sz w:val="24"/>
          <w:szCs w:val="24"/>
        </w:rPr>
        <w:t>号</w:t>
      </w:r>
      <w:r>
        <w:rPr>
          <w:rFonts w:hint="default" w:ascii="Times New Roman" w:hAnsi="Times New Roman" w:eastAsia="仿宋_GB2312" w:cs="Times New Roman"/>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rPr>
      </w:pPr>
      <w:r>
        <w:rPr>
          <w:rFonts w:hint="eastAsia" w:eastAsia="仿宋_GB2312" w:cs="Times New Roman"/>
          <w:sz w:val="24"/>
          <w:szCs w:val="24"/>
          <w:lang w:eastAsia="zh-CN"/>
        </w:rPr>
        <w:t>2023年5月</w:t>
      </w:r>
      <w:r>
        <w:rPr>
          <w:rFonts w:hint="default" w:ascii="Times New Roman" w:hAnsi="Times New Roman" w:eastAsia="仿宋_GB2312" w:cs="Times New Roman"/>
          <w:sz w:val="24"/>
          <w:szCs w:val="24"/>
        </w:rPr>
        <w:t>，长春市瑞通投资有限公司委托</w:t>
      </w:r>
      <w:r>
        <w:rPr>
          <w:rFonts w:hint="eastAsia" w:eastAsia="仿宋_GB2312" w:cs="Times New Roman"/>
          <w:sz w:val="24"/>
          <w:szCs w:val="24"/>
          <w:lang w:eastAsia="zh-CN"/>
        </w:rPr>
        <w:t>吉林省晟元工程咨询有限公司</w:t>
      </w:r>
      <w:r>
        <w:rPr>
          <w:rFonts w:hint="default" w:ascii="Times New Roman" w:hAnsi="Times New Roman" w:eastAsia="仿宋_GB2312" w:cs="Times New Roman"/>
          <w:sz w:val="24"/>
          <w:szCs w:val="24"/>
        </w:rPr>
        <w:t>承担该项目水土保持方案的编制工作。</w:t>
      </w:r>
      <w:r>
        <w:rPr>
          <w:rFonts w:hint="eastAsia" w:eastAsia="仿宋_GB2312" w:cs="Times New Roman"/>
          <w:sz w:val="24"/>
          <w:szCs w:val="24"/>
          <w:lang w:val="en-US" w:eastAsia="zh-CN"/>
        </w:rPr>
        <w:t>方案编制单位按规定</w:t>
      </w:r>
      <w:r>
        <w:rPr>
          <w:rFonts w:hint="default" w:ascii="Times New Roman" w:hAnsi="Times New Roman" w:eastAsia="仿宋_GB2312" w:cs="Times New Roman"/>
          <w:sz w:val="24"/>
          <w:szCs w:val="24"/>
        </w:rPr>
        <w:t>对项目建设区及周边自然环境、生态环境以及水土保持现状进行</w:t>
      </w:r>
      <w:r>
        <w:rPr>
          <w:rFonts w:hint="eastAsia" w:eastAsia="仿宋_GB2312" w:cs="Times New Roman"/>
          <w:sz w:val="24"/>
          <w:szCs w:val="24"/>
          <w:lang w:val="en-US" w:eastAsia="zh-CN"/>
        </w:rPr>
        <w:t>了</w:t>
      </w:r>
      <w:r>
        <w:rPr>
          <w:rFonts w:hint="default" w:ascii="Times New Roman" w:hAnsi="Times New Roman" w:eastAsia="仿宋_GB2312" w:cs="Times New Roman"/>
          <w:sz w:val="24"/>
          <w:szCs w:val="24"/>
        </w:rPr>
        <w:t>现场查勘及资料收集工作，并依据《生产建设项目水土保持技术标准》</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GB50433-2018</w:t>
      </w:r>
      <w:r>
        <w:rPr>
          <w:rFonts w:hint="default" w:ascii="Times New Roman" w:hAnsi="Times New Roman" w:eastAsia="仿宋_GB2312" w:cs="Times New Roman"/>
          <w:sz w:val="24"/>
          <w:szCs w:val="24"/>
          <w:lang w:eastAsia="zh-CN"/>
        </w:rPr>
        <w:t>）</w:t>
      </w:r>
      <w:r>
        <w:rPr>
          <w:rFonts w:hint="eastAsia" w:eastAsia="仿宋_GB2312" w:cs="Times New Roman"/>
          <w:sz w:val="24"/>
          <w:szCs w:val="24"/>
          <w:lang w:val="en-US" w:eastAsia="zh-CN"/>
        </w:rPr>
        <w:t>等技术标准规范及</w:t>
      </w:r>
      <w:r>
        <w:rPr>
          <w:rFonts w:hint="default" w:ascii="Times New Roman" w:hAnsi="Times New Roman" w:eastAsia="仿宋_GB2312" w:cs="Times New Roman"/>
          <w:sz w:val="24"/>
          <w:szCs w:val="24"/>
        </w:rPr>
        <w:t>有关规定，确定了</w:t>
      </w:r>
      <w:r>
        <w:rPr>
          <w:rFonts w:hint="default" w:ascii="Times New Roman" w:hAnsi="Times New Roman" w:eastAsia="仿宋_GB2312" w:cs="Times New Roman"/>
          <w:sz w:val="24"/>
          <w:szCs w:val="24"/>
          <w:lang w:eastAsia="zh-CN"/>
        </w:rPr>
        <w:t>项目</w:t>
      </w:r>
      <w:r>
        <w:rPr>
          <w:rFonts w:hint="default" w:ascii="Times New Roman" w:hAnsi="Times New Roman" w:eastAsia="仿宋_GB2312" w:cs="Times New Roman"/>
          <w:sz w:val="24"/>
          <w:szCs w:val="24"/>
        </w:rPr>
        <w:t>防治责任范围及防治分区、水土流失预测内容、水土流失防治目标和分区防治措施布局，在此基础上，对防治责任范围内的水土流失情况进行了调查与预测、对主体工程中水土流失防治措施进行了综合评述，提出了该项目水土流失防治措施布设、投资估算以及实施进度安排，完成了《</w:t>
      </w:r>
      <w:r>
        <w:rPr>
          <w:rFonts w:hint="default" w:ascii="Times New Roman" w:hAnsi="Times New Roman" w:eastAsia="仿宋_GB2312" w:cs="Times New Roman"/>
          <w:sz w:val="24"/>
          <w:szCs w:val="24"/>
          <w:lang w:val="en-US" w:eastAsia="zh-CN"/>
        </w:rPr>
        <w:t>长春国际物流经济开发区新兴建材产业园区建设</w:t>
      </w:r>
      <w:r>
        <w:rPr>
          <w:rFonts w:hint="eastAsia" w:eastAsia="仿宋_GB2312" w:cs="Times New Roman"/>
          <w:sz w:val="24"/>
          <w:szCs w:val="24"/>
          <w:lang w:eastAsia="zh-CN"/>
        </w:rPr>
        <w:t>项目</w:t>
      </w:r>
      <w:r>
        <w:rPr>
          <w:rFonts w:hint="default" w:ascii="Times New Roman" w:hAnsi="Times New Roman" w:eastAsia="仿宋_GB2312" w:cs="Times New Roman"/>
          <w:sz w:val="24"/>
          <w:szCs w:val="24"/>
        </w:rPr>
        <w:t>水土保持方案报告书</w:t>
      </w:r>
      <w:r>
        <w:rPr>
          <w:rFonts w:hint="eastAsia" w:eastAsia="仿宋_GB2312" w:cs="Times New Roman"/>
          <w:sz w:val="24"/>
          <w:szCs w:val="24"/>
          <w:lang w:eastAsia="zh-CN"/>
        </w:rPr>
        <w:t>（</w:t>
      </w:r>
      <w:r>
        <w:rPr>
          <w:rFonts w:hint="eastAsia" w:eastAsia="仿宋_GB2312" w:cs="Times New Roman"/>
          <w:sz w:val="24"/>
          <w:szCs w:val="24"/>
          <w:lang w:val="en-US" w:eastAsia="zh-CN"/>
        </w:rPr>
        <w:t>B地块补充</w:t>
      </w:r>
      <w:r>
        <w:rPr>
          <w:rFonts w:hint="eastAsia" w:eastAsia="仿宋_GB2312" w:cs="Times New Roman"/>
          <w:sz w:val="24"/>
          <w:szCs w:val="24"/>
          <w:lang w:eastAsia="zh-CN"/>
        </w:rPr>
        <w:t>）</w:t>
      </w:r>
      <w:r>
        <w:rPr>
          <w:rFonts w:hint="default" w:ascii="Times New Roman" w:hAnsi="Times New Roman" w:eastAsia="仿宋_GB2312" w:cs="Times New Roman"/>
          <w:sz w:val="24"/>
          <w:szCs w:val="24"/>
        </w:rPr>
        <w:t>》的编制工作。</w:t>
      </w:r>
    </w:p>
    <w:p>
      <w:pPr>
        <w:pStyle w:val="6"/>
        <w:bidi w:val="0"/>
        <w:rPr>
          <w:rFonts w:hint="default" w:ascii="Times New Roman" w:hAnsi="Times New Roman" w:cs="Times New Roman"/>
        </w:rPr>
      </w:pPr>
      <w:r>
        <w:rPr>
          <w:rFonts w:hint="default" w:ascii="Times New Roman" w:hAnsi="Times New Roman" w:cs="Times New Roman"/>
        </w:rPr>
        <w:t>1.1.3自然简况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项目区地处</w:t>
      </w:r>
      <w:r>
        <w:rPr>
          <w:rFonts w:hint="eastAsia" w:eastAsia="仿宋_GB2312" w:cs="Times New Roman"/>
          <w:sz w:val="24"/>
          <w:szCs w:val="24"/>
          <w:lang w:val="en-US" w:eastAsia="zh-CN"/>
        </w:rPr>
        <w:t>二道物流园区</w:t>
      </w:r>
      <w:r>
        <w:rPr>
          <w:rFonts w:hint="default" w:ascii="Times New Roman" w:hAnsi="Times New Roman" w:eastAsia="仿宋_GB2312" w:cs="Times New Roman"/>
          <w:sz w:val="24"/>
          <w:szCs w:val="24"/>
        </w:rPr>
        <w:t>，属平原地貌。气候类型为温带季风气候，地处半湿润区，长春市多年平均气温4.6C，≥10C积温3131.9C，年蒸发量1251mm，年降水量587.6mm，降水量年内分配不均衡，主要集中在7~8月份，约占全年降水总量的60%以上，无霜期152d，多年平均风速为3.2m/s，最大冻土深1.70m；主要土壤类型为黑土；区域自然植被类型为温带落叶阔叶林及灌丛。属于东北黑土区，土壤侵蚀类型为水力侵蚀，容许土壤流失量为200t/km².a，土壤侵蚀强度以轻度侵蚀为主，土壤侵蚀背景值为</w:t>
      </w:r>
      <w:r>
        <w:rPr>
          <w:rFonts w:hint="default"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rPr>
        <w:t>00t/km².a。</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根据《全国水土保持规划</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2015—2030年</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》及《吉林省水土保持规划</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2016—2030年</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w:t>
      </w:r>
      <w:r>
        <w:rPr>
          <w:rFonts w:hint="eastAsia" w:eastAsia="仿宋_GB2312" w:cs="Times New Roman"/>
          <w:sz w:val="24"/>
          <w:szCs w:val="24"/>
          <w:lang w:val="en-US" w:eastAsia="zh-CN"/>
        </w:rPr>
        <w:t>等有关规定</w:t>
      </w:r>
      <w:r>
        <w:rPr>
          <w:rFonts w:hint="default" w:ascii="Times New Roman" w:hAnsi="Times New Roman" w:eastAsia="仿宋_GB2312" w:cs="Times New Roman"/>
          <w:sz w:val="24"/>
          <w:szCs w:val="24"/>
        </w:rPr>
        <w:t>，项目区属于东北漫川漫岗国家级水土流失重点治理区，项目区不涉及自然保护区、世界文化和自然遗产地、风景名胜区、地质公园、森林公园、重要湿地等。</w:t>
      </w:r>
    </w:p>
    <w:p>
      <w:pPr>
        <w:pStyle w:val="5"/>
        <w:bidi w:val="0"/>
        <w:rPr>
          <w:rFonts w:hint="default" w:ascii="Times New Roman" w:hAnsi="Times New Roman" w:cs="Times New Roman"/>
        </w:rPr>
      </w:pPr>
      <w:bookmarkStart w:id="7" w:name="_Toc387325503"/>
      <w:bookmarkStart w:id="8" w:name="_Toc2610"/>
      <w:bookmarkStart w:id="9" w:name="_Toc29989"/>
      <w:bookmarkStart w:id="10" w:name="_Toc32427"/>
      <w:r>
        <w:rPr>
          <w:rFonts w:hint="default" w:ascii="Times New Roman" w:hAnsi="Times New Roman" w:cs="Times New Roman"/>
        </w:rPr>
        <w:t>1.2</w:t>
      </w:r>
      <w:bookmarkEnd w:id="7"/>
      <w:r>
        <w:rPr>
          <w:rFonts w:hint="default" w:ascii="Times New Roman" w:hAnsi="Times New Roman" w:cs="Times New Roman"/>
        </w:rPr>
        <w:t>编制依据</w:t>
      </w:r>
      <w:bookmarkEnd w:id="8"/>
      <w:bookmarkEnd w:id="9"/>
      <w:bookmarkEnd w:id="10"/>
    </w:p>
    <w:p>
      <w:pPr>
        <w:pStyle w:val="6"/>
        <w:bidi w:val="0"/>
        <w:rPr>
          <w:rFonts w:hint="default" w:ascii="Times New Roman" w:hAnsi="Times New Roman" w:cs="Times New Roman"/>
        </w:rPr>
      </w:pPr>
      <w:r>
        <w:rPr>
          <w:rFonts w:hint="default" w:ascii="Times New Roman" w:hAnsi="Times New Roman" w:cs="Times New Roman"/>
        </w:rPr>
        <w:t>1.2.1法律、法规及规范性文件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（1）《中华人民共和国水土保持法》（全国人大常委会，1991年6月29日公布实施，2010年12月25日修订，2011年3月1日起施行）；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（2）《中华人民共和国黑土地保护法》（</w:t>
      </w:r>
      <w:r>
        <w:rPr>
          <w:rFonts w:hint="eastAsia" w:eastAsia="仿宋_GB2312" w:cs="Times New Roman"/>
          <w:sz w:val="24"/>
          <w:szCs w:val="24"/>
          <w:lang w:eastAsia="zh-CN"/>
        </w:rPr>
        <w:t>2022年10月</w:t>
      </w:r>
      <w:r>
        <w:rPr>
          <w:rFonts w:hint="default" w:ascii="Times New Roman" w:hAnsi="Times New Roman" w:eastAsia="仿宋_GB2312" w:cs="Times New Roman"/>
          <w:sz w:val="24"/>
          <w:szCs w:val="24"/>
        </w:rPr>
        <w:t>24日第十三届全国人民代表大会常务委员会第三十五次会议通过，</w:t>
      </w:r>
      <w:r>
        <w:rPr>
          <w:rFonts w:hint="eastAsia" w:eastAsia="仿宋_GB2312" w:cs="Times New Roman"/>
          <w:sz w:val="24"/>
          <w:szCs w:val="24"/>
          <w:lang w:eastAsia="zh-CN"/>
        </w:rPr>
        <w:t>2023年7月</w:t>
      </w:r>
      <w:r>
        <w:rPr>
          <w:rFonts w:hint="default" w:ascii="Times New Roman" w:hAnsi="Times New Roman" w:eastAsia="仿宋_GB2312" w:cs="Times New Roman"/>
          <w:sz w:val="24"/>
          <w:szCs w:val="24"/>
        </w:rPr>
        <w:t>1日施行）；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（3）《吉林省水土保持条例》（1992年9月14日通过，2013年11月29日修订，2014年3月1日起施行）；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（4）《吉林省黑土地保护条例》（2018年3月30日吉林省第十三届人民代表大会常务委员会第二次会议通过</w:t>
      </w:r>
      <w:r>
        <w:rPr>
          <w:rFonts w:hint="eastAsia" w:eastAsia="仿宋_GB2312" w:cs="Times New Roman"/>
          <w:sz w:val="24"/>
          <w:szCs w:val="24"/>
          <w:lang w:eastAsia="zh-CN"/>
        </w:rPr>
        <w:t>；</w:t>
      </w:r>
      <w:r>
        <w:rPr>
          <w:rFonts w:hint="default" w:ascii="Times New Roman" w:hAnsi="Times New Roman" w:eastAsia="仿宋_GB2312" w:cs="Times New Roman"/>
          <w:sz w:val="24"/>
          <w:szCs w:val="24"/>
        </w:rPr>
        <w:t>经吉林省第十三届人民代表大会常务委员会第三十七次会议于</w:t>
      </w:r>
      <w:r>
        <w:rPr>
          <w:rFonts w:hint="eastAsia" w:eastAsia="仿宋_GB2312" w:cs="Times New Roman"/>
          <w:sz w:val="24"/>
          <w:szCs w:val="24"/>
          <w:lang w:eastAsia="zh-CN"/>
        </w:rPr>
        <w:t>2023年5月</w:t>
      </w:r>
      <w:r>
        <w:rPr>
          <w:rFonts w:hint="default" w:ascii="Times New Roman" w:hAnsi="Times New Roman" w:eastAsia="仿宋_GB2312" w:cs="Times New Roman"/>
          <w:sz w:val="24"/>
          <w:szCs w:val="24"/>
        </w:rPr>
        <w:t>30日修订通过，自2023年4月1日起施行）；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（5）《长春市水土保持条例》（2011年3月30日吉林省第十一届人民代表大会常务委员会第二十四次会议批准修正，2011年05月09日实施）；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w:t>
      </w:r>
      <w:r>
        <w:rPr>
          <w:rFonts w:hint="eastAsia" w:ascii="Times New Roman" w:hAnsi="Times New Roman" w:eastAsia="仿宋_GB2312" w:cs="Times New Roman"/>
          <w:sz w:val="24"/>
          <w:szCs w:val="24"/>
          <w:lang w:val="en-US" w:eastAsia="zh-CN"/>
        </w:rPr>
        <w:t>《生产建设项目水土保持方案管理办法》（水利部第53号令）</w:t>
      </w:r>
      <w:r>
        <w:rPr>
          <w:rFonts w:hint="default" w:ascii="Times New Roman" w:hAnsi="Times New Roman" w:eastAsia="仿宋_GB2312" w:cs="Times New Roman"/>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（7）《水利部办公厅关于印发生产建设项目水土保持技术文件编写和印制格式规定（试行）的通知》（办水保〔2018〕135号）。</w:t>
      </w:r>
    </w:p>
    <w:p>
      <w:pPr>
        <w:pStyle w:val="6"/>
        <w:bidi w:val="0"/>
        <w:rPr>
          <w:rFonts w:hint="default" w:ascii="Times New Roman" w:hAnsi="Times New Roman" w:cs="Times New Roman"/>
        </w:rPr>
      </w:pPr>
      <w:r>
        <w:rPr>
          <w:rFonts w:hint="default" w:ascii="Times New Roman" w:hAnsi="Times New Roman" w:cs="Times New Roman"/>
        </w:rPr>
        <w:t>1.2.2技术标准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（1）《生产建设项目水土保持技术标准》（GB50433-2018）；</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（2）《生产建设项目水土流失防治标准》（GB/T50434-2018）；</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（3）《土地利用现状分类》（GB/T21010-2017）；</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（4）《土壤侵蚀分类分级标准》（SL190-2007）；</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（5）《生产建设项目水土保持监测与评价标准》（GB/T51240-2018）；</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（6）《水土保持工程设计规范》（GB51018-2014）。</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7</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《水利水电工程制图标准水土保持图》</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SL73.6-2015</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8</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《水土保持工程调查与勘测标准》</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GB/T51297-2018</w:t>
      </w:r>
      <w:r>
        <w:rPr>
          <w:rFonts w:hint="default" w:ascii="Times New Roman" w:hAnsi="Times New Roman" w:eastAsia="仿宋_GB2312" w:cs="Times New Roman"/>
          <w:sz w:val="24"/>
          <w:szCs w:val="24"/>
          <w:lang w:eastAsia="zh-CN"/>
        </w:rPr>
        <w:t>）。</w:t>
      </w:r>
    </w:p>
    <w:p>
      <w:pPr>
        <w:pStyle w:val="6"/>
        <w:bidi w:val="0"/>
        <w:rPr>
          <w:rFonts w:hint="default" w:ascii="Times New Roman" w:hAnsi="Times New Roman" w:cs="Times New Roman"/>
        </w:rPr>
      </w:pPr>
      <w:r>
        <w:rPr>
          <w:rFonts w:hint="default" w:ascii="Times New Roman" w:hAnsi="Times New Roman" w:cs="Times New Roman"/>
        </w:rPr>
        <w:t>1.2.3技术资料</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（1）《全国水土保持规划（2015-2030年）》；</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（2）《吉林省水土保持规划（2016-2030年）》；</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（3）《吉林省水土保持公报（202</w:t>
      </w:r>
      <w:r>
        <w:rPr>
          <w:rFonts w:hint="eastAsia" w:eastAsia="仿宋_GB2312" w:cs="Times New Roman"/>
          <w:bCs/>
          <w:sz w:val="24"/>
          <w:highlight w:val="none"/>
          <w:lang w:val="en-US" w:eastAsia="zh-CN"/>
        </w:rPr>
        <w:t>1</w:t>
      </w:r>
      <w:r>
        <w:rPr>
          <w:rFonts w:hint="default" w:ascii="Times New Roman" w:hAnsi="Times New Roman" w:eastAsia="仿宋_GB2312" w:cs="Times New Roman"/>
          <w:bCs/>
          <w:sz w:val="24"/>
          <w:highlight w:val="none"/>
        </w:rPr>
        <w:t>年）》；</w:t>
      </w:r>
    </w:p>
    <w:p>
      <w:pPr>
        <w:pStyle w:val="7"/>
        <w:pageBreakBefore w:val="0"/>
        <w:kinsoku/>
        <w:wordWrap/>
        <w:bidi w:val="0"/>
        <w:spacing w:line="360" w:lineRule="auto"/>
        <w:ind w:firstLine="48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（4）《长春市水土保持规划（2018-2030年）》；</w:t>
      </w:r>
    </w:p>
    <w:p>
      <w:pPr>
        <w:pStyle w:val="7"/>
        <w:pageBreakBefore w:val="0"/>
        <w:kinsoku/>
        <w:wordWrap/>
        <w:bidi w:val="0"/>
        <w:spacing w:line="360" w:lineRule="auto"/>
        <w:ind w:firstLine="48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（5）</w:t>
      </w:r>
      <w:r>
        <w:rPr>
          <w:rFonts w:hint="default" w:ascii="Times New Roman" w:hAnsi="Times New Roman" w:eastAsia="仿宋_GB2312" w:cs="Times New Roman"/>
          <w:snapToGrid w:val="0"/>
          <w:kern w:val="0"/>
          <w:sz w:val="24"/>
          <w:highlight w:val="none"/>
        </w:rPr>
        <w:t>《</w:t>
      </w:r>
      <w:r>
        <w:rPr>
          <w:rFonts w:hint="default" w:ascii="Times New Roman" w:hAnsi="Times New Roman" w:eastAsia="仿宋_GB2312" w:cs="Times New Roman"/>
          <w:snapToGrid w:val="0"/>
          <w:kern w:val="0"/>
          <w:sz w:val="24"/>
          <w:highlight w:val="none"/>
          <w:lang w:val="en-US" w:eastAsia="zh-CN"/>
        </w:rPr>
        <w:t>长春国际物流经济开发区新兴建材产业园区建设</w:t>
      </w:r>
      <w:r>
        <w:rPr>
          <w:rFonts w:hint="eastAsia" w:eastAsia="仿宋_GB2312" w:cs="Times New Roman"/>
          <w:snapToGrid w:val="0"/>
          <w:kern w:val="0"/>
          <w:sz w:val="24"/>
          <w:highlight w:val="none"/>
          <w:lang w:eastAsia="zh-CN"/>
        </w:rPr>
        <w:t>项目（B地块）</w:t>
      </w:r>
      <w:r>
        <w:rPr>
          <w:rFonts w:hint="default" w:ascii="Times New Roman" w:hAnsi="Times New Roman" w:eastAsia="仿宋_GB2312" w:cs="Times New Roman"/>
          <w:snapToGrid w:val="0"/>
          <w:kern w:val="0"/>
          <w:sz w:val="24"/>
          <w:highlight w:val="none"/>
        </w:rPr>
        <w:t>总平面图》（</w:t>
      </w:r>
      <w:r>
        <w:rPr>
          <w:rFonts w:hint="eastAsia" w:eastAsia="仿宋_GB2312" w:cs="Times New Roman"/>
          <w:snapToGrid w:val="0"/>
          <w:kern w:val="0"/>
          <w:sz w:val="24"/>
          <w:highlight w:val="none"/>
          <w:lang w:eastAsia="zh-CN"/>
        </w:rPr>
        <w:t>中国建筑东北设计研究院有限公司</w:t>
      </w:r>
      <w:r>
        <w:rPr>
          <w:rFonts w:hint="default" w:ascii="Times New Roman" w:hAnsi="Times New Roman" w:eastAsia="仿宋_GB2312" w:cs="Times New Roman"/>
          <w:snapToGrid w:val="0"/>
          <w:kern w:val="0"/>
          <w:sz w:val="24"/>
          <w:highlight w:val="none"/>
        </w:rPr>
        <w:t>，</w:t>
      </w:r>
      <w:r>
        <w:rPr>
          <w:rFonts w:hint="eastAsia" w:eastAsia="仿宋_GB2312" w:cs="Times New Roman"/>
          <w:snapToGrid w:val="0"/>
          <w:kern w:val="0"/>
          <w:sz w:val="24"/>
          <w:highlight w:val="none"/>
          <w:lang w:eastAsia="zh-CN"/>
        </w:rPr>
        <w:t>2022年10月</w:t>
      </w:r>
      <w:r>
        <w:rPr>
          <w:rFonts w:hint="default" w:ascii="Times New Roman" w:hAnsi="Times New Roman" w:eastAsia="仿宋_GB2312" w:cs="Times New Roman"/>
          <w:snapToGrid w:val="0"/>
          <w:kern w:val="0"/>
          <w:sz w:val="24"/>
          <w:highlight w:val="none"/>
        </w:rPr>
        <w:t>）；</w:t>
      </w:r>
    </w:p>
    <w:p>
      <w:pPr>
        <w:pStyle w:val="7"/>
        <w:pageBreakBefore w:val="0"/>
        <w:kinsoku/>
        <w:wordWrap/>
        <w:bidi w:val="0"/>
        <w:spacing w:line="360" w:lineRule="auto"/>
        <w:ind w:firstLine="480"/>
        <w:rPr>
          <w:rFonts w:hint="default" w:ascii="Times New Roman" w:hAnsi="Times New Roman" w:eastAsia="仿宋_GB2312" w:cs="Times New Roman"/>
          <w:snapToGrid w:val="0"/>
          <w:kern w:val="0"/>
          <w:sz w:val="24"/>
          <w:highlight w:val="none"/>
          <w:lang w:eastAsia="zh-CN"/>
        </w:rPr>
      </w:pPr>
      <w:r>
        <w:rPr>
          <w:rFonts w:hint="default" w:ascii="Times New Roman" w:hAnsi="Times New Roman" w:eastAsia="仿宋_GB2312" w:cs="Times New Roman"/>
          <w:snapToGrid w:val="0"/>
          <w:kern w:val="0"/>
          <w:sz w:val="24"/>
          <w:highlight w:val="none"/>
        </w:rPr>
        <w:t>（6）《</w:t>
      </w:r>
      <w:r>
        <w:rPr>
          <w:rFonts w:hint="default" w:ascii="Times New Roman" w:hAnsi="Times New Roman" w:eastAsia="仿宋_GB2312" w:cs="Times New Roman"/>
          <w:snapToGrid w:val="0"/>
          <w:kern w:val="0"/>
          <w:sz w:val="24"/>
          <w:highlight w:val="none"/>
          <w:lang w:val="en-US" w:eastAsia="zh-CN"/>
        </w:rPr>
        <w:t>长春国际物流经济开发区新兴建材产业园区建设</w:t>
      </w:r>
      <w:r>
        <w:rPr>
          <w:rFonts w:hint="eastAsia" w:eastAsia="仿宋_GB2312" w:cs="Times New Roman"/>
          <w:snapToGrid w:val="0"/>
          <w:kern w:val="0"/>
          <w:sz w:val="24"/>
          <w:highlight w:val="none"/>
          <w:lang w:eastAsia="zh-CN"/>
        </w:rPr>
        <w:t>项目（B地块）</w:t>
      </w:r>
      <w:r>
        <w:rPr>
          <w:rFonts w:hint="default" w:ascii="Times New Roman" w:hAnsi="Times New Roman" w:eastAsia="仿宋_GB2312" w:cs="Times New Roman"/>
          <w:snapToGrid w:val="0"/>
          <w:kern w:val="0"/>
          <w:sz w:val="24"/>
          <w:highlight w:val="none"/>
        </w:rPr>
        <w:t>管网综合图》（</w:t>
      </w:r>
      <w:r>
        <w:rPr>
          <w:rFonts w:hint="eastAsia" w:eastAsia="仿宋_GB2312" w:cs="Times New Roman"/>
          <w:snapToGrid w:val="0"/>
          <w:kern w:val="0"/>
          <w:sz w:val="24"/>
          <w:highlight w:val="none"/>
          <w:lang w:eastAsia="zh-CN"/>
        </w:rPr>
        <w:t>中国建筑东北设计研究院有限公司</w:t>
      </w:r>
      <w:r>
        <w:rPr>
          <w:rFonts w:hint="default" w:ascii="Times New Roman" w:hAnsi="Times New Roman" w:eastAsia="仿宋_GB2312" w:cs="Times New Roman"/>
          <w:snapToGrid w:val="0"/>
          <w:kern w:val="0"/>
          <w:sz w:val="24"/>
          <w:highlight w:val="none"/>
        </w:rPr>
        <w:t>，</w:t>
      </w:r>
      <w:r>
        <w:rPr>
          <w:rFonts w:hint="eastAsia" w:eastAsia="仿宋_GB2312" w:cs="Times New Roman"/>
          <w:snapToGrid w:val="0"/>
          <w:kern w:val="0"/>
          <w:sz w:val="24"/>
          <w:highlight w:val="none"/>
          <w:lang w:eastAsia="zh-CN"/>
        </w:rPr>
        <w:t>2022年10月</w:t>
      </w:r>
      <w:r>
        <w:rPr>
          <w:rFonts w:hint="default" w:ascii="Times New Roman" w:hAnsi="Times New Roman" w:eastAsia="仿宋_GB2312" w:cs="Times New Roman"/>
          <w:snapToGrid w:val="0"/>
          <w:kern w:val="0"/>
          <w:sz w:val="24"/>
          <w:highlight w:val="none"/>
        </w:rPr>
        <w:t>）</w:t>
      </w:r>
      <w:r>
        <w:rPr>
          <w:rFonts w:hint="default" w:ascii="Times New Roman" w:hAnsi="Times New Roman" w:eastAsia="仿宋_GB2312" w:cs="Times New Roman"/>
          <w:snapToGrid w:val="0"/>
          <w:kern w:val="0"/>
          <w:sz w:val="24"/>
          <w:highlight w:val="none"/>
          <w:lang w:eastAsia="zh-CN"/>
        </w:rPr>
        <w:t>；</w:t>
      </w:r>
    </w:p>
    <w:p>
      <w:pPr>
        <w:pStyle w:val="7"/>
        <w:pageBreakBefore w:val="0"/>
        <w:kinsoku/>
        <w:wordWrap/>
        <w:bidi w:val="0"/>
        <w:spacing w:line="360" w:lineRule="auto"/>
        <w:ind w:firstLine="480"/>
        <w:rPr>
          <w:rFonts w:hint="eastAsia" w:eastAsia="仿宋_GB2312" w:cs="Times New Roman"/>
          <w:snapToGrid w:val="0"/>
          <w:kern w:val="0"/>
          <w:sz w:val="24"/>
          <w:highlight w:val="none"/>
          <w:lang w:eastAsia="zh-CN"/>
        </w:rPr>
      </w:pPr>
      <w:r>
        <w:rPr>
          <w:rFonts w:hint="default" w:ascii="Times New Roman" w:hAnsi="Times New Roman" w:eastAsia="仿宋_GB2312" w:cs="Times New Roman"/>
          <w:snapToGrid w:val="0"/>
          <w:kern w:val="0"/>
          <w:sz w:val="24"/>
          <w:highlight w:val="none"/>
          <w:lang w:eastAsia="zh-CN"/>
        </w:rPr>
        <w:t>（</w:t>
      </w:r>
      <w:r>
        <w:rPr>
          <w:rFonts w:hint="default" w:ascii="Times New Roman" w:hAnsi="Times New Roman" w:eastAsia="仿宋_GB2312" w:cs="Times New Roman"/>
          <w:snapToGrid w:val="0"/>
          <w:kern w:val="0"/>
          <w:sz w:val="24"/>
          <w:highlight w:val="none"/>
          <w:lang w:val="en-US" w:eastAsia="zh-CN"/>
        </w:rPr>
        <w:t>7</w:t>
      </w:r>
      <w:r>
        <w:rPr>
          <w:rFonts w:hint="default" w:ascii="Times New Roman" w:hAnsi="Times New Roman" w:eastAsia="仿宋_GB2312" w:cs="Times New Roman"/>
          <w:snapToGrid w:val="0"/>
          <w:kern w:val="0"/>
          <w:sz w:val="24"/>
          <w:highlight w:val="none"/>
          <w:lang w:eastAsia="zh-CN"/>
        </w:rPr>
        <w:t>）《</w:t>
      </w:r>
      <w:r>
        <w:rPr>
          <w:rFonts w:hint="default" w:ascii="Times New Roman" w:hAnsi="Times New Roman" w:eastAsia="仿宋_GB2312" w:cs="Times New Roman"/>
          <w:snapToGrid w:val="0"/>
          <w:kern w:val="0"/>
          <w:sz w:val="24"/>
          <w:highlight w:val="none"/>
          <w:lang w:val="en-US" w:eastAsia="zh-CN"/>
        </w:rPr>
        <w:t>长春国际物流经济开发区新兴建材产业园区建设</w:t>
      </w:r>
      <w:r>
        <w:rPr>
          <w:rFonts w:hint="eastAsia" w:eastAsia="仿宋_GB2312" w:cs="Times New Roman"/>
          <w:snapToGrid w:val="0"/>
          <w:kern w:val="0"/>
          <w:sz w:val="24"/>
          <w:highlight w:val="none"/>
          <w:lang w:eastAsia="zh-CN"/>
        </w:rPr>
        <w:t>项目</w:t>
      </w:r>
      <w:r>
        <w:rPr>
          <w:rFonts w:hint="default" w:ascii="Times New Roman" w:hAnsi="Times New Roman" w:eastAsia="仿宋_GB2312" w:cs="Times New Roman"/>
          <w:snapToGrid w:val="0"/>
          <w:kern w:val="0"/>
          <w:sz w:val="24"/>
          <w:highlight w:val="none"/>
        </w:rPr>
        <w:t>可行性研究报告</w:t>
      </w:r>
      <w:r>
        <w:rPr>
          <w:rFonts w:hint="default" w:ascii="Times New Roman" w:hAnsi="Times New Roman" w:eastAsia="仿宋_GB2312" w:cs="Times New Roman"/>
          <w:snapToGrid w:val="0"/>
          <w:kern w:val="0"/>
          <w:sz w:val="24"/>
          <w:highlight w:val="none"/>
          <w:lang w:eastAsia="zh-CN"/>
        </w:rPr>
        <w:t>》（</w:t>
      </w:r>
      <w:r>
        <w:rPr>
          <w:rFonts w:hint="default" w:ascii="Times New Roman" w:hAnsi="Times New Roman" w:eastAsia="仿宋_GB2312" w:cs="Times New Roman"/>
          <w:snapToGrid w:val="0"/>
          <w:kern w:val="0"/>
          <w:sz w:val="24"/>
          <w:highlight w:val="none"/>
        </w:rPr>
        <w:t>长春市工程咨询有限公司</w:t>
      </w:r>
      <w:r>
        <w:rPr>
          <w:rFonts w:hint="default" w:ascii="Times New Roman" w:hAnsi="Times New Roman" w:eastAsia="仿宋_GB2312" w:cs="Times New Roman"/>
          <w:snapToGrid w:val="0"/>
          <w:kern w:val="0"/>
          <w:sz w:val="24"/>
          <w:highlight w:val="none"/>
          <w:lang w:eastAsia="zh-CN"/>
        </w:rPr>
        <w:t>，</w:t>
      </w:r>
      <w:r>
        <w:rPr>
          <w:rFonts w:hint="default" w:ascii="Times New Roman" w:hAnsi="Times New Roman" w:eastAsia="仿宋_GB2312" w:cs="Times New Roman"/>
          <w:snapToGrid w:val="0"/>
          <w:kern w:val="0"/>
          <w:sz w:val="24"/>
          <w:highlight w:val="none"/>
          <w:lang w:val="en-US" w:eastAsia="zh-CN"/>
        </w:rPr>
        <w:t>2021年10月</w:t>
      </w:r>
      <w:r>
        <w:rPr>
          <w:rFonts w:hint="default" w:ascii="Times New Roman" w:hAnsi="Times New Roman" w:eastAsia="仿宋_GB2312" w:cs="Times New Roman"/>
          <w:snapToGrid w:val="0"/>
          <w:kern w:val="0"/>
          <w:sz w:val="24"/>
          <w:highlight w:val="none"/>
          <w:lang w:eastAsia="zh-CN"/>
        </w:rPr>
        <w:t>）</w:t>
      </w:r>
      <w:r>
        <w:rPr>
          <w:rFonts w:hint="eastAsia" w:eastAsia="仿宋_GB2312" w:cs="Times New Roman"/>
          <w:snapToGrid w:val="0"/>
          <w:kern w:val="0"/>
          <w:sz w:val="24"/>
          <w:highlight w:val="none"/>
          <w:lang w:eastAsia="zh-CN"/>
        </w:rPr>
        <w:t>；</w:t>
      </w:r>
    </w:p>
    <w:p>
      <w:pPr>
        <w:pStyle w:val="7"/>
        <w:pageBreakBefore w:val="0"/>
        <w:kinsoku/>
        <w:wordWrap/>
        <w:bidi w:val="0"/>
        <w:spacing w:line="360" w:lineRule="auto"/>
        <w:ind w:firstLine="480"/>
        <w:rPr>
          <w:rFonts w:hint="default" w:ascii="Times New Roman" w:hAnsi="Times New Roman" w:eastAsia="仿宋_GB2312" w:cs="Times New Roman"/>
          <w:snapToGrid w:val="0"/>
          <w:kern w:val="0"/>
          <w:sz w:val="24"/>
          <w:highlight w:val="none"/>
          <w:lang w:eastAsia="zh-CN"/>
        </w:rPr>
      </w:pPr>
      <w:r>
        <w:rPr>
          <w:rFonts w:hint="eastAsia" w:ascii="Times New Roman" w:hAnsi="Times New Roman" w:eastAsia="仿宋_GB2312" w:cs="Times New Roman"/>
          <w:snapToGrid w:val="0"/>
          <w:kern w:val="0"/>
          <w:sz w:val="24"/>
          <w:highlight w:val="none"/>
          <w:lang w:eastAsia="zh-CN"/>
        </w:rPr>
        <w:t>（</w:t>
      </w:r>
      <w:r>
        <w:rPr>
          <w:rFonts w:hint="eastAsia" w:ascii="Times New Roman" w:hAnsi="Times New Roman" w:eastAsia="仿宋_GB2312" w:cs="Times New Roman"/>
          <w:snapToGrid w:val="0"/>
          <w:kern w:val="0"/>
          <w:sz w:val="24"/>
          <w:highlight w:val="none"/>
          <w:lang w:val="en-US" w:eastAsia="zh-CN"/>
        </w:rPr>
        <w:t>8</w:t>
      </w:r>
      <w:r>
        <w:rPr>
          <w:rFonts w:hint="eastAsia" w:ascii="Times New Roman" w:hAnsi="Times New Roman" w:eastAsia="仿宋_GB2312" w:cs="Times New Roman"/>
          <w:snapToGrid w:val="0"/>
          <w:kern w:val="0"/>
          <w:sz w:val="24"/>
          <w:highlight w:val="none"/>
          <w:lang w:eastAsia="zh-CN"/>
        </w:rPr>
        <w:t>）《</w:t>
      </w:r>
      <w:r>
        <w:rPr>
          <w:rFonts w:hint="default" w:ascii="Times New Roman" w:hAnsi="Times New Roman" w:eastAsia="仿宋_GB2312" w:cs="Times New Roman"/>
          <w:snapToGrid w:val="0"/>
          <w:kern w:val="0"/>
          <w:sz w:val="24"/>
          <w:highlight w:val="none"/>
          <w:lang w:eastAsia="zh-CN"/>
        </w:rPr>
        <w:t>长春国际物流经济开发区新兴建材产业园区建设项目水土保持方案报告书</w:t>
      </w:r>
      <w:r>
        <w:rPr>
          <w:rFonts w:hint="eastAsia" w:ascii="Times New Roman" w:hAnsi="Times New Roman" w:eastAsia="仿宋_GB2312" w:cs="Times New Roman"/>
          <w:snapToGrid w:val="0"/>
          <w:kern w:val="0"/>
          <w:sz w:val="24"/>
          <w:highlight w:val="none"/>
          <w:lang w:eastAsia="zh-CN"/>
        </w:rPr>
        <w:t>》（</w:t>
      </w:r>
      <w:r>
        <w:rPr>
          <w:rFonts w:hint="default" w:ascii="Times New Roman" w:hAnsi="Times New Roman" w:eastAsia="仿宋_GB2312" w:cs="Times New Roman"/>
          <w:snapToGrid w:val="0"/>
          <w:kern w:val="0"/>
          <w:sz w:val="24"/>
          <w:highlight w:val="none"/>
          <w:lang w:eastAsia="zh-CN"/>
        </w:rPr>
        <w:t>吉林省博远工程管理有限公司</w:t>
      </w:r>
      <w:r>
        <w:rPr>
          <w:rFonts w:hint="eastAsia" w:ascii="Times New Roman" w:hAnsi="Times New Roman" w:eastAsia="仿宋_GB2312" w:cs="Times New Roman"/>
          <w:snapToGrid w:val="0"/>
          <w:kern w:val="0"/>
          <w:sz w:val="24"/>
          <w:highlight w:val="none"/>
          <w:lang w:eastAsia="zh-CN"/>
        </w:rPr>
        <w:t>，</w:t>
      </w:r>
      <w:r>
        <w:rPr>
          <w:rFonts w:hint="eastAsia" w:ascii="Times New Roman" w:hAnsi="Times New Roman" w:eastAsia="仿宋_GB2312" w:cs="Times New Roman"/>
          <w:snapToGrid w:val="0"/>
          <w:kern w:val="0"/>
          <w:sz w:val="24"/>
          <w:highlight w:val="none"/>
          <w:lang w:val="en-US" w:eastAsia="zh-CN"/>
        </w:rPr>
        <w:t>2022年11月</w:t>
      </w:r>
      <w:r>
        <w:rPr>
          <w:rFonts w:hint="eastAsia" w:ascii="Times New Roman" w:hAnsi="Times New Roman" w:eastAsia="仿宋_GB2312" w:cs="Times New Roman"/>
          <w:snapToGrid w:val="0"/>
          <w:kern w:val="0"/>
          <w:sz w:val="24"/>
          <w:highlight w:val="none"/>
          <w:lang w:eastAsia="zh-CN"/>
        </w:rPr>
        <w:t>）。</w:t>
      </w:r>
    </w:p>
    <w:p>
      <w:pPr>
        <w:pStyle w:val="5"/>
        <w:bidi w:val="0"/>
        <w:rPr>
          <w:rFonts w:hint="default" w:ascii="Times New Roman" w:hAnsi="Times New Roman" w:cs="Times New Roman"/>
        </w:rPr>
      </w:pPr>
      <w:bookmarkStart w:id="11" w:name="_Toc11941"/>
      <w:bookmarkStart w:id="12" w:name="_Toc4498"/>
      <w:bookmarkStart w:id="13" w:name="_Toc9259"/>
      <w:r>
        <w:rPr>
          <w:rFonts w:hint="default" w:ascii="Times New Roman" w:hAnsi="Times New Roman" w:cs="Times New Roman"/>
        </w:rPr>
        <w:t>1.3设计水平年</w:t>
      </w:r>
      <w:bookmarkEnd w:id="11"/>
      <w:bookmarkEnd w:id="12"/>
      <w:bookmarkEnd w:id="1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_GB2312" w:cs="Times New Roman"/>
          <w:color w:val="FF0000"/>
          <w:sz w:val="24"/>
          <w:szCs w:val="24"/>
          <w:highlight w:val="none"/>
          <w:lang w:eastAsia="zh-CN"/>
        </w:rPr>
      </w:pPr>
      <w:r>
        <w:rPr>
          <w:rFonts w:hint="default" w:ascii="Times New Roman" w:hAnsi="Times New Roman" w:eastAsia="仿宋_GB2312" w:cs="Times New Roman"/>
          <w:color w:val="auto"/>
          <w:sz w:val="24"/>
          <w:highlight w:val="none"/>
        </w:rPr>
        <w:t>方案设计水平年是</w:t>
      </w:r>
      <w:r>
        <w:rPr>
          <w:rFonts w:hint="default" w:ascii="Times New Roman" w:hAnsi="Times New Roman" w:eastAsia="仿宋_GB2312" w:cs="Times New Roman"/>
          <w:color w:val="auto"/>
          <w:sz w:val="24"/>
          <w:highlight w:val="none"/>
          <w:lang w:val="en-US" w:eastAsia="zh-CN"/>
        </w:rPr>
        <w:t>本期</w:t>
      </w:r>
      <w:r>
        <w:rPr>
          <w:rFonts w:hint="default" w:ascii="Times New Roman" w:hAnsi="Times New Roman" w:eastAsia="仿宋_GB2312" w:cs="Times New Roman"/>
          <w:color w:val="auto"/>
          <w:sz w:val="24"/>
          <w:highlight w:val="none"/>
        </w:rPr>
        <w:t>工程完工后，方案确定的水土保持措施实施完成并初步发挥效益的时间。本</w:t>
      </w:r>
      <w:r>
        <w:rPr>
          <w:rFonts w:hint="default" w:ascii="Times New Roman" w:hAnsi="Times New Roman" w:eastAsia="仿宋_GB2312" w:cs="Times New Roman"/>
          <w:color w:val="auto"/>
          <w:sz w:val="24"/>
          <w:highlight w:val="none"/>
          <w:lang w:val="en-US" w:eastAsia="zh-CN"/>
        </w:rPr>
        <w:t>期</w:t>
      </w:r>
      <w:r>
        <w:rPr>
          <w:rFonts w:hint="default" w:ascii="Times New Roman" w:hAnsi="Times New Roman" w:eastAsia="仿宋_GB2312" w:cs="Times New Roman"/>
          <w:color w:val="auto"/>
          <w:sz w:val="24"/>
          <w:highlight w:val="none"/>
        </w:rPr>
        <w:t>项目为建设类项目，</w:t>
      </w:r>
      <w:r>
        <w:rPr>
          <w:rFonts w:hint="eastAsia" w:eastAsia="仿宋_GB2312" w:cs="Times New Roman"/>
          <w:sz w:val="24"/>
          <w:szCs w:val="24"/>
          <w:highlight w:val="none"/>
          <w:lang w:val="en-US" w:eastAsia="zh-CN"/>
        </w:rPr>
        <w:t>计划</w:t>
      </w:r>
      <w:r>
        <w:rPr>
          <w:rFonts w:hint="default" w:ascii="Times New Roman" w:hAnsi="Times New Roman" w:eastAsia="仿宋_GB2312" w:cs="Times New Roman"/>
          <w:sz w:val="24"/>
          <w:szCs w:val="24"/>
          <w:highlight w:val="none"/>
        </w:rPr>
        <w:t>于</w:t>
      </w:r>
      <w:r>
        <w:rPr>
          <w:rFonts w:hint="eastAsia" w:eastAsia="仿宋_GB2312" w:cs="Times New Roman"/>
          <w:sz w:val="24"/>
          <w:szCs w:val="24"/>
          <w:highlight w:val="none"/>
          <w:lang w:eastAsia="zh-CN"/>
        </w:rPr>
        <w:t>2023年7月</w:t>
      </w:r>
      <w:r>
        <w:rPr>
          <w:rFonts w:hint="default" w:ascii="Times New Roman" w:hAnsi="Times New Roman" w:eastAsia="仿宋_GB2312" w:cs="Times New Roman"/>
          <w:sz w:val="24"/>
          <w:szCs w:val="24"/>
          <w:highlight w:val="none"/>
        </w:rPr>
        <w:t>开工，</w:t>
      </w:r>
      <w:r>
        <w:rPr>
          <w:rFonts w:hint="default" w:ascii="Times New Roman" w:hAnsi="Times New Roman" w:eastAsia="仿宋_GB2312" w:cs="Times New Roman"/>
          <w:sz w:val="24"/>
          <w:szCs w:val="24"/>
          <w:highlight w:val="none"/>
          <w:lang w:val="en-US" w:eastAsia="zh-CN"/>
        </w:rPr>
        <w:t>于</w:t>
      </w:r>
      <w:r>
        <w:rPr>
          <w:rFonts w:hint="eastAsia" w:eastAsia="仿宋_GB2312" w:cs="Times New Roman"/>
          <w:sz w:val="24"/>
          <w:szCs w:val="24"/>
          <w:highlight w:val="none"/>
          <w:lang w:eastAsia="zh-CN"/>
        </w:rPr>
        <w:t>2024年12月</w:t>
      </w:r>
      <w:r>
        <w:rPr>
          <w:rFonts w:hint="default" w:ascii="Times New Roman" w:hAnsi="Times New Roman" w:eastAsia="仿宋_GB2312" w:cs="Times New Roman"/>
          <w:sz w:val="24"/>
          <w:szCs w:val="24"/>
          <w:highlight w:val="none"/>
        </w:rPr>
        <w:t>完工，</w:t>
      </w:r>
      <w:r>
        <w:rPr>
          <w:rFonts w:hint="default" w:ascii="Times New Roman" w:hAnsi="Times New Roman" w:eastAsia="仿宋_GB2312" w:cs="Times New Roman"/>
          <w:color w:val="auto"/>
          <w:sz w:val="24"/>
          <w:highlight w:val="none"/>
        </w:rPr>
        <w:t>因此确定</w:t>
      </w:r>
      <w:r>
        <w:rPr>
          <w:rFonts w:hint="default" w:ascii="Times New Roman" w:hAnsi="Times New Roman" w:eastAsia="仿宋_GB2312" w:cs="Times New Roman"/>
          <w:color w:val="auto"/>
          <w:sz w:val="24"/>
          <w:highlight w:val="none"/>
          <w:lang w:val="en-US" w:eastAsia="zh-CN"/>
        </w:rPr>
        <w:t>本期项目</w:t>
      </w:r>
      <w:r>
        <w:rPr>
          <w:rFonts w:hint="default" w:ascii="Times New Roman" w:hAnsi="Times New Roman" w:eastAsia="仿宋_GB2312" w:cs="Times New Roman"/>
          <w:color w:val="auto"/>
          <w:sz w:val="24"/>
          <w:highlight w:val="none"/>
        </w:rPr>
        <w:t>水土保持方案设计水平年为主体工程完工后的</w:t>
      </w:r>
      <w:r>
        <w:rPr>
          <w:rFonts w:hint="default" w:ascii="Times New Roman" w:hAnsi="Times New Roman" w:eastAsia="仿宋_GB2312" w:cs="Times New Roman"/>
          <w:color w:val="auto"/>
          <w:sz w:val="24"/>
          <w:highlight w:val="none"/>
          <w:lang w:eastAsia="zh-CN"/>
        </w:rPr>
        <w:t>下一年</w:t>
      </w:r>
      <w:r>
        <w:rPr>
          <w:rFonts w:hint="default" w:ascii="Times New Roman" w:hAnsi="Times New Roman" w:eastAsia="仿宋_GB2312" w:cs="Times New Roman"/>
          <w:color w:val="auto"/>
          <w:sz w:val="24"/>
          <w:highlight w:val="none"/>
        </w:rPr>
        <w:t>，即202</w:t>
      </w:r>
      <w:r>
        <w:rPr>
          <w:rFonts w:hint="eastAsia" w:eastAsia="仿宋_GB2312" w:cs="Times New Roman"/>
          <w:color w:val="auto"/>
          <w:sz w:val="24"/>
          <w:highlight w:val="none"/>
          <w:lang w:val="en-US" w:eastAsia="zh-CN"/>
        </w:rPr>
        <w:t>5</w:t>
      </w:r>
      <w:r>
        <w:rPr>
          <w:rFonts w:hint="default" w:ascii="Times New Roman" w:hAnsi="Times New Roman" w:eastAsia="仿宋_GB2312" w:cs="Times New Roman"/>
          <w:color w:val="auto"/>
          <w:sz w:val="24"/>
          <w:highlight w:val="none"/>
        </w:rPr>
        <w:t>年。届时方案确定的各项水土保持措施均按方案要求全部建成并初步发挥效益，达到水土保持设施验收的要求。</w:t>
      </w:r>
    </w:p>
    <w:p>
      <w:pPr>
        <w:pStyle w:val="5"/>
        <w:bidi w:val="0"/>
        <w:rPr>
          <w:rFonts w:hint="default" w:ascii="Times New Roman" w:hAnsi="Times New Roman" w:cs="Times New Roman"/>
        </w:rPr>
      </w:pPr>
      <w:bookmarkStart w:id="14" w:name="_Toc398"/>
      <w:bookmarkStart w:id="15" w:name="_Toc29685"/>
      <w:bookmarkStart w:id="16" w:name="_Toc24609"/>
      <w:r>
        <w:rPr>
          <w:rFonts w:hint="default" w:ascii="Times New Roman" w:hAnsi="Times New Roman" w:cs="Times New Roman"/>
        </w:rPr>
        <w:t>1.4水土流失防治责任范围</w:t>
      </w:r>
      <w:bookmarkEnd w:id="14"/>
      <w:bookmarkEnd w:id="15"/>
      <w:bookmarkEnd w:id="16"/>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eastAsia="仿宋_GB2312" w:cs="Times New Roman"/>
          <w:color w:val="auto"/>
          <w:sz w:val="24"/>
          <w:lang w:val="en-US" w:eastAsia="zh-CN"/>
        </w:rPr>
        <w:t>生产建设项目水土流失防治责任范围包括项目永久征地、临时占地（含租赁土地）以及其他使用与管辖区域。经核定，</w:t>
      </w:r>
      <w:r>
        <w:rPr>
          <w:rFonts w:hint="default" w:ascii="Times New Roman" w:hAnsi="Times New Roman" w:eastAsia="仿宋_GB2312" w:cs="Times New Roman"/>
          <w:color w:val="auto"/>
          <w:sz w:val="24"/>
          <w:szCs w:val="24"/>
          <w:lang w:eastAsia="zh-CN"/>
        </w:rPr>
        <w:t>长春二道经济开发区新兴建材产业园区建设项目</w:t>
      </w:r>
      <w:r>
        <w:rPr>
          <w:rFonts w:hint="eastAsia" w:eastAsia="仿宋_GB2312" w:cs="Times New Roman"/>
          <w:color w:val="auto"/>
          <w:sz w:val="24"/>
          <w:szCs w:val="24"/>
          <w:lang w:val="en-US" w:eastAsia="zh-CN"/>
        </w:rPr>
        <w:t>B地块</w:t>
      </w:r>
      <w:r>
        <w:rPr>
          <w:rFonts w:hint="default" w:ascii="Times New Roman" w:hAnsi="Times New Roman" w:eastAsia="仿宋_GB2312" w:cs="Times New Roman"/>
          <w:sz w:val="24"/>
          <w:szCs w:val="24"/>
        </w:rPr>
        <w:t>水土流失防治责任范围</w:t>
      </w:r>
      <w:r>
        <w:rPr>
          <w:rFonts w:hint="default" w:ascii="Times New Roman" w:hAnsi="Times New Roman" w:eastAsia="仿宋_GB2312" w:cs="Times New Roman"/>
          <w:sz w:val="24"/>
          <w:szCs w:val="24"/>
          <w:lang w:val="en-US" w:eastAsia="zh-CN"/>
        </w:rPr>
        <w:t>为</w:t>
      </w:r>
      <w:r>
        <w:rPr>
          <w:rFonts w:hint="eastAsia" w:eastAsia="仿宋_GB2312" w:cs="Times New Roman"/>
          <w:sz w:val="24"/>
          <w:szCs w:val="24"/>
          <w:lang w:val="en-US" w:eastAsia="zh-CN"/>
        </w:rPr>
        <w:t>19.98</w:t>
      </w:r>
      <w:r>
        <w:rPr>
          <w:rFonts w:hint="default" w:ascii="Times New Roman" w:hAnsi="Times New Roman" w:eastAsia="仿宋_GB2312" w:cs="Times New Roman"/>
          <w:sz w:val="24"/>
          <w:szCs w:val="24"/>
          <w:lang w:eastAsia="zh-CN"/>
        </w:rPr>
        <w:t>hm²</w:t>
      </w:r>
      <w:r>
        <w:rPr>
          <w:rFonts w:hint="default" w:ascii="Times New Roman" w:hAnsi="Times New Roman" w:eastAsia="仿宋_GB2312" w:cs="Times New Roman"/>
          <w:sz w:val="24"/>
          <w:szCs w:val="24"/>
        </w:rPr>
        <w:t>，水土流失防治责任单位为</w:t>
      </w:r>
      <w:r>
        <w:rPr>
          <w:rFonts w:hint="default" w:ascii="Times New Roman" w:hAnsi="Times New Roman" w:eastAsia="仿宋_GB2312" w:cs="Times New Roman"/>
          <w:sz w:val="24"/>
          <w:szCs w:val="24"/>
          <w:lang w:eastAsia="zh-CN"/>
        </w:rPr>
        <w:t>长春市瑞通投资有限公司</w:t>
      </w:r>
      <w:r>
        <w:rPr>
          <w:rFonts w:hint="default" w:ascii="Times New Roman" w:hAnsi="Times New Roman" w:eastAsia="仿宋_GB2312" w:cs="Times New Roman"/>
          <w:sz w:val="24"/>
          <w:szCs w:val="24"/>
        </w:rPr>
        <w:t>。</w:t>
      </w:r>
    </w:p>
    <w:p>
      <w:pPr>
        <w:pStyle w:val="5"/>
        <w:bidi w:val="0"/>
        <w:rPr>
          <w:rFonts w:hint="default" w:ascii="Times New Roman" w:hAnsi="Times New Roman" w:cs="Times New Roman"/>
        </w:rPr>
      </w:pPr>
      <w:bookmarkStart w:id="17" w:name="_Toc387325504"/>
      <w:bookmarkStart w:id="18" w:name="_Toc13418"/>
      <w:bookmarkStart w:id="19" w:name="_Toc19263"/>
      <w:bookmarkStart w:id="20" w:name="_Toc4068"/>
      <w:r>
        <w:rPr>
          <w:rFonts w:hint="default" w:ascii="Times New Roman" w:hAnsi="Times New Roman" w:cs="Times New Roman"/>
        </w:rPr>
        <w:t>1.5</w:t>
      </w:r>
      <w:bookmarkEnd w:id="17"/>
      <w:r>
        <w:rPr>
          <w:rFonts w:hint="default" w:ascii="Times New Roman" w:hAnsi="Times New Roman" w:cs="Times New Roman"/>
        </w:rPr>
        <w:t>水土流失防治目标</w:t>
      </w:r>
      <w:bookmarkEnd w:id="18"/>
      <w:bookmarkEnd w:id="19"/>
      <w:bookmarkEnd w:id="20"/>
    </w:p>
    <w:p>
      <w:pPr>
        <w:pStyle w:val="6"/>
        <w:bidi w:val="0"/>
        <w:rPr>
          <w:rFonts w:hint="default" w:ascii="Times New Roman" w:hAnsi="Times New Roman" w:cs="Times New Roman"/>
        </w:rPr>
      </w:pPr>
      <w:r>
        <w:rPr>
          <w:rFonts w:hint="default" w:ascii="Times New Roman" w:hAnsi="Times New Roman" w:cs="Times New Roman"/>
        </w:rPr>
        <w:t>1.5.1执行标准等级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bCs/>
          <w:kern w:val="0"/>
          <w:sz w:val="24"/>
          <w:szCs w:val="24"/>
          <w:highlight w:val="none"/>
        </w:rPr>
      </w:pPr>
      <w:r>
        <w:rPr>
          <w:rFonts w:hint="default" w:ascii="Times New Roman" w:hAnsi="Times New Roman" w:eastAsia="仿宋_GB2312" w:cs="Times New Roman"/>
          <w:color w:val="auto"/>
          <w:sz w:val="24"/>
          <w:szCs w:val="24"/>
          <w:lang w:eastAsia="zh-CN"/>
        </w:rPr>
        <w:t>项目位于</w:t>
      </w:r>
      <w:r>
        <w:rPr>
          <w:rFonts w:hint="eastAsia" w:eastAsia="仿宋_GB2312" w:cs="Times New Roman"/>
          <w:color w:val="auto"/>
          <w:sz w:val="24"/>
          <w:szCs w:val="24"/>
          <w:lang w:val="en-US" w:eastAsia="zh-CN"/>
        </w:rPr>
        <w:t>二道物流园区</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000000"/>
          <w:sz w:val="24"/>
          <w:highlight w:val="none"/>
        </w:rPr>
        <w:t>根据《全国水土保持区划（2015-2030）》，</w:t>
      </w:r>
      <w:r>
        <w:rPr>
          <w:rFonts w:hint="default" w:ascii="Times New Roman" w:hAnsi="Times New Roman" w:eastAsia="仿宋_GB2312" w:cs="Times New Roman"/>
          <w:sz w:val="24"/>
          <w:szCs w:val="24"/>
          <w:lang w:val="en-US" w:eastAsia="zh-CN"/>
        </w:rPr>
        <w:t>该项目</w:t>
      </w:r>
      <w:r>
        <w:rPr>
          <w:rFonts w:hint="default" w:ascii="Times New Roman" w:hAnsi="Times New Roman" w:eastAsia="仿宋_GB2312" w:cs="Times New Roman"/>
          <w:sz w:val="24"/>
          <w:szCs w:val="24"/>
        </w:rPr>
        <w:t>属</w:t>
      </w:r>
      <w:r>
        <w:rPr>
          <w:rFonts w:hint="default" w:ascii="Times New Roman" w:hAnsi="Times New Roman" w:eastAsia="仿宋_GB2312" w:cs="Times New Roman"/>
          <w:sz w:val="24"/>
          <w:szCs w:val="24"/>
          <w:lang w:val="en-US" w:eastAsia="zh-CN"/>
        </w:rPr>
        <w:t>于</w:t>
      </w:r>
      <w:r>
        <w:rPr>
          <w:rFonts w:hint="default" w:ascii="Times New Roman" w:hAnsi="Times New Roman" w:eastAsia="仿宋_GB2312" w:cs="Times New Roman"/>
          <w:sz w:val="24"/>
          <w:szCs w:val="24"/>
        </w:rPr>
        <w:t>东北黑土区</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根据《全国水土保持规划（2015-2030年）》及《吉林省水土保持规划（2016-2030年）》，项目区属东北漫川漫岗国家级水土流失重点治理区</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根据《生产建设项目水土流失防治标准》（GB/T50434-2018）</w:t>
      </w:r>
      <w:r>
        <w:rPr>
          <w:rFonts w:hint="default" w:ascii="Times New Roman" w:hAnsi="Times New Roman" w:eastAsia="仿宋_GB2312" w:cs="Times New Roman"/>
          <w:sz w:val="24"/>
          <w:szCs w:val="24"/>
          <w:lang w:val="en-US" w:eastAsia="zh-CN"/>
        </w:rPr>
        <w:t>的规定</w:t>
      </w:r>
      <w:r>
        <w:rPr>
          <w:rFonts w:hint="default" w:ascii="Times New Roman" w:hAnsi="Times New Roman" w:eastAsia="仿宋_GB2312" w:cs="Times New Roman"/>
          <w:sz w:val="24"/>
          <w:szCs w:val="24"/>
        </w:rPr>
        <w:t>，项目执行东北黑土区水土流失防治一级标准。</w:t>
      </w:r>
    </w:p>
    <w:p>
      <w:pPr>
        <w:pStyle w:val="6"/>
        <w:bidi w:val="0"/>
        <w:rPr>
          <w:rFonts w:hint="default" w:ascii="Times New Roman" w:hAnsi="Times New Roman" w:cs="Times New Roman"/>
        </w:rPr>
      </w:pPr>
      <w:r>
        <w:rPr>
          <w:rFonts w:hint="default" w:ascii="Times New Roman" w:hAnsi="Times New Roman" w:cs="Times New Roman"/>
        </w:rPr>
        <w:t>1.5.2防治目标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根据《生产建设项目水土流失防治标准》（GB/T50434-2018）</w:t>
      </w:r>
      <w:r>
        <w:rPr>
          <w:rFonts w:hint="eastAsia" w:eastAsia="仿宋_GB2312" w:cs="Times New Roman"/>
          <w:color w:val="auto"/>
          <w:sz w:val="24"/>
          <w:szCs w:val="24"/>
          <w:lang w:val="en-US" w:eastAsia="zh-CN"/>
        </w:rPr>
        <w:t>等技术标准规范</w:t>
      </w:r>
      <w:r>
        <w:rPr>
          <w:rFonts w:hint="default" w:ascii="Times New Roman" w:hAnsi="Times New Roman" w:eastAsia="仿宋_GB2312" w:cs="Times New Roman"/>
          <w:color w:val="auto"/>
          <w:sz w:val="24"/>
          <w:szCs w:val="24"/>
        </w:rPr>
        <w:t>规定，本</w:t>
      </w:r>
      <w:r>
        <w:rPr>
          <w:rFonts w:hint="default" w:ascii="Times New Roman" w:hAnsi="Times New Roman" w:eastAsia="仿宋_GB2312" w:cs="Times New Roman"/>
          <w:color w:val="auto"/>
          <w:sz w:val="24"/>
          <w:szCs w:val="24"/>
          <w:lang w:val="en-US" w:eastAsia="zh-CN"/>
        </w:rPr>
        <w:t>期</w:t>
      </w:r>
      <w:r>
        <w:rPr>
          <w:rFonts w:hint="default" w:ascii="Times New Roman" w:hAnsi="Times New Roman" w:eastAsia="仿宋_GB2312" w:cs="Times New Roman"/>
          <w:color w:val="auto"/>
          <w:sz w:val="24"/>
          <w:szCs w:val="24"/>
        </w:rPr>
        <w:t>工程水土流失防治应达到下列基本目标：项目</w:t>
      </w:r>
      <w:r>
        <w:rPr>
          <w:rFonts w:hint="eastAsia" w:eastAsia="仿宋_GB2312" w:cs="Times New Roman"/>
          <w:color w:val="auto"/>
          <w:sz w:val="24"/>
          <w:szCs w:val="24"/>
          <w:lang w:val="en-US" w:eastAsia="zh-CN"/>
        </w:rPr>
        <w:t>水土流失防治责任范围内扰动土地应全面整治，</w:t>
      </w:r>
      <w:r>
        <w:rPr>
          <w:rFonts w:hint="default" w:ascii="Times New Roman" w:hAnsi="Times New Roman" w:eastAsia="仿宋_GB2312" w:cs="Times New Roman"/>
          <w:color w:val="auto"/>
          <w:sz w:val="24"/>
          <w:szCs w:val="24"/>
        </w:rPr>
        <w:t>新增水土流失应得到有效控制，原有水土流失</w:t>
      </w:r>
      <w:r>
        <w:rPr>
          <w:rFonts w:hint="eastAsia" w:eastAsia="仿宋_GB2312" w:cs="Times New Roman"/>
          <w:color w:val="auto"/>
          <w:sz w:val="24"/>
          <w:szCs w:val="24"/>
          <w:lang w:val="en-US" w:eastAsia="zh-CN"/>
        </w:rPr>
        <w:t>应</w:t>
      </w:r>
      <w:r>
        <w:rPr>
          <w:rFonts w:hint="default" w:ascii="Times New Roman" w:hAnsi="Times New Roman" w:eastAsia="仿宋_GB2312" w:cs="Times New Roman"/>
          <w:color w:val="auto"/>
          <w:sz w:val="24"/>
          <w:szCs w:val="24"/>
        </w:rPr>
        <w:t>得到治理；水土保持设施应安全有效；水土资源、林草植被应得到最大限度的保护与恢复。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highlight w:val="none"/>
          <w:lang w:eastAsia="zh-CN"/>
        </w:rPr>
      </w:pPr>
      <w:bookmarkStart w:id="21" w:name="_Toc387325505"/>
      <w:r>
        <w:rPr>
          <w:rFonts w:hint="default" w:ascii="Times New Roman" w:hAnsi="Times New Roman" w:eastAsia="仿宋_GB2312" w:cs="Times New Roman"/>
          <w:sz w:val="24"/>
          <w:szCs w:val="24"/>
        </w:rPr>
        <w:t>因项目区位于轻度侵蚀为主的区域，土壤流失控制比应不小于1.0；因项目位于城市区，渣土防护率提高1%；无法避让国家级水土流失重点治理区，林草覆盖率提高1%</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根据项目规划条件</w:t>
      </w:r>
      <w:r>
        <w:rPr>
          <w:rFonts w:hint="default" w:ascii="Times New Roman" w:hAnsi="Times New Roman" w:eastAsia="仿宋_GB2312" w:cs="Times New Roman"/>
          <w:sz w:val="24"/>
          <w:szCs w:val="24"/>
          <w:lang w:val="en-US" w:eastAsia="zh-CN"/>
        </w:rPr>
        <w:t>及实际情况</w:t>
      </w:r>
      <w:r>
        <w:rPr>
          <w:rFonts w:hint="default" w:ascii="Times New Roman" w:hAnsi="Times New Roman" w:eastAsia="仿宋_GB2312" w:cs="Times New Roman"/>
          <w:sz w:val="24"/>
          <w:szCs w:val="24"/>
        </w:rPr>
        <w:t>，林草覆盖率调整为</w:t>
      </w:r>
      <w:r>
        <w:rPr>
          <w:rFonts w:hint="default" w:ascii="Times New Roman" w:hAnsi="Times New Roman" w:eastAsia="仿宋_GB2312" w:cs="Times New Roman"/>
          <w:sz w:val="24"/>
          <w:szCs w:val="24"/>
          <w:lang w:val="en-US" w:eastAsia="zh-CN"/>
        </w:rPr>
        <w:t>19%</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highlight w:val="none"/>
        </w:rPr>
        <w:t>本</w:t>
      </w:r>
      <w:r>
        <w:rPr>
          <w:rFonts w:hint="default" w:ascii="Times New Roman" w:hAnsi="Times New Roman" w:eastAsia="仿宋_GB2312" w:cs="Times New Roman"/>
          <w:sz w:val="24"/>
          <w:highlight w:val="none"/>
          <w:lang w:val="en-US" w:eastAsia="zh-CN"/>
        </w:rPr>
        <w:t>期</w:t>
      </w:r>
      <w:r>
        <w:rPr>
          <w:rFonts w:hint="default" w:ascii="Times New Roman" w:hAnsi="Times New Roman" w:eastAsia="仿宋_GB2312" w:cs="Times New Roman"/>
          <w:sz w:val="24"/>
          <w:highlight w:val="none"/>
        </w:rPr>
        <w:t>项目由</w:t>
      </w:r>
      <w:r>
        <w:rPr>
          <w:rFonts w:hint="eastAsia" w:eastAsia="仿宋_GB2312" w:cs="Times New Roman"/>
          <w:sz w:val="24"/>
          <w:szCs w:val="24"/>
          <w:lang w:val="en-US" w:eastAsia="zh-CN"/>
        </w:rPr>
        <w:t>二道物流园区管理委员会</w:t>
      </w:r>
      <w:r>
        <w:rPr>
          <w:rFonts w:hint="default" w:ascii="Times New Roman" w:hAnsi="Times New Roman" w:eastAsia="仿宋_GB2312" w:cs="Times New Roman"/>
          <w:sz w:val="24"/>
          <w:highlight w:val="none"/>
        </w:rPr>
        <w:t>负责进行表土剥离</w:t>
      </w:r>
      <w:r>
        <w:rPr>
          <w:rFonts w:hint="eastAsia" w:eastAsia="仿宋_GB2312" w:cs="Times New Roman"/>
          <w:sz w:val="24"/>
          <w:highlight w:val="none"/>
          <w:lang w:val="en-US" w:eastAsia="zh-CN"/>
        </w:rPr>
        <w:t>的实施、保护与利用</w:t>
      </w:r>
      <w:r>
        <w:rPr>
          <w:rFonts w:hint="default" w:ascii="Times New Roman" w:hAnsi="Times New Roman" w:eastAsia="仿宋_GB2312" w:cs="Times New Roman"/>
          <w:sz w:val="24"/>
          <w:highlight w:val="none"/>
        </w:rPr>
        <w:t>，</w:t>
      </w:r>
      <w:r>
        <w:rPr>
          <w:rFonts w:hint="eastAsia" w:eastAsia="仿宋_GB2312" w:cs="Times New Roman"/>
          <w:sz w:val="24"/>
          <w:highlight w:val="none"/>
          <w:lang w:val="en-US" w:eastAsia="zh-CN"/>
        </w:rPr>
        <w:t>对剥离的</w:t>
      </w:r>
      <w:r>
        <w:rPr>
          <w:rFonts w:hint="default" w:ascii="Times New Roman" w:hAnsi="Times New Roman" w:eastAsia="仿宋_GB2312" w:cs="Times New Roman"/>
          <w:sz w:val="24"/>
          <w:highlight w:val="none"/>
        </w:rPr>
        <w:t>表土</w:t>
      </w:r>
      <w:r>
        <w:rPr>
          <w:rFonts w:hint="eastAsia" w:eastAsia="仿宋_GB2312" w:cs="Times New Roman"/>
          <w:sz w:val="24"/>
          <w:highlight w:val="none"/>
          <w:lang w:val="en-US" w:eastAsia="zh-CN"/>
        </w:rPr>
        <w:t>由开发区统一管理调配</w:t>
      </w:r>
      <w:r>
        <w:rPr>
          <w:rFonts w:hint="default" w:ascii="Times New Roman" w:hAnsi="Times New Roman" w:eastAsia="仿宋_GB2312" w:cs="Times New Roman"/>
          <w:sz w:val="24"/>
          <w:highlight w:val="none"/>
        </w:rPr>
        <w:t>，</w:t>
      </w:r>
      <w:r>
        <w:rPr>
          <w:rFonts w:hint="eastAsia" w:eastAsia="仿宋_GB2312" w:cs="Times New Roman"/>
          <w:sz w:val="24"/>
          <w:highlight w:val="none"/>
          <w:lang w:val="en-US" w:eastAsia="zh-CN"/>
        </w:rPr>
        <w:t>生产建设单位不再承担相应责任，</w:t>
      </w:r>
      <w:r>
        <w:rPr>
          <w:rFonts w:hint="default" w:ascii="Times New Roman" w:hAnsi="Times New Roman" w:eastAsia="仿宋_GB2312" w:cs="Times New Roman"/>
          <w:sz w:val="24"/>
          <w:highlight w:val="none"/>
        </w:rPr>
        <w:t>因此不考虑表土保护率</w:t>
      </w:r>
      <w:r>
        <w:rPr>
          <w:rFonts w:hint="default" w:ascii="Times New Roman" w:hAnsi="Times New Roman" w:eastAsia="仿宋_GB2312" w:cs="Times New Roman"/>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经调整后确定本</w:t>
      </w:r>
      <w:r>
        <w:rPr>
          <w:rFonts w:hint="default" w:ascii="Times New Roman" w:hAnsi="Times New Roman" w:eastAsia="仿宋_GB2312" w:cs="Times New Roman"/>
          <w:sz w:val="24"/>
          <w:szCs w:val="24"/>
          <w:lang w:val="en-US" w:eastAsia="zh-CN"/>
        </w:rPr>
        <w:t>期</w:t>
      </w:r>
      <w:r>
        <w:rPr>
          <w:rFonts w:hint="default" w:ascii="Times New Roman" w:hAnsi="Times New Roman" w:eastAsia="仿宋_GB2312" w:cs="Times New Roman"/>
          <w:sz w:val="24"/>
          <w:szCs w:val="24"/>
        </w:rPr>
        <w:t>项目设计水平年水土流失防治指标为：水土流失治理度达到97%，土壤流失控制比达到1.0，渣土防护率达到98%，林草植被恢复率达到97%，林草覆盖率达到</w:t>
      </w:r>
      <w:r>
        <w:rPr>
          <w:rFonts w:hint="default" w:ascii="Times New Roman" w:hAnsi="Times New Roman" w:eastAsia="仿宋_GB2312" w:cs="Times New Roman"/>
          <w:sz w:val="24"/>
          <w:szCs w:val="24"/>
          <w:lang w:val="en-US" w:eastAsia="zh-CN"/>
        </w:rPr>
        <w:t>19%</w:t>
      </w:r>
      <w:r>
        <w:rPr>
          <w:rFonts w:hint="default" w:ascii="Times New Roman" w:hAnsi="Times New Roman" w:eastAsia="仿宋_GB2312" w:cs="Times New Roman"/>
          <w:sz w:val="24"/>
          <w:szCs w:val="24"/>
          <w:lang w:eastAsia="zh-CN"/>
        </w:rPr>
        <w:t>。</w:t>
      </w:r>
    </w:p>
    <w:p>
      <w:pPr>
        <w:pStyle w:val="5"/>
        <w:bidi w:val="0"/>
        <w:rPr>
          <w:rFonts w:hint="default" w:ascii="Times New Roman" w:hAnsi="Times New Roman" w:cs="Times New Roman"/>
        </w:rPr>
      </w:pPr>
      <w:bookmarkStart w:id="22" w:name="_Toc5114"/>
      <w:bookmarkStart w:id="23" w:name="_Toc22903"/>
      <w:bookmarkStart w:id="24" w:name="_Toc6884"/>
      <w:r>
        <w:rPr>
          <w:rFonts w:hint="default" w:ascii="Times New Roman" w:hAnsi="Times New Roman" w:cs="Times New Roman"/>
        </w:rPr>
        <w:t>1.6项目水土保持评价结论</w:t>
      </w:r>
      <w:bookmarkEnd w:id="21"/>
      <w:bookmarkEnd w:id="22"/>
      <w:bookmarkEnd w:id="23"/>
      <w:bookmarkEnd w:id="24"/>
    </w:p>
    <w:p>
      <w:pPr>
        <w:pStyle w:val="6"/>
        <w:bidi w:val="0"/>
        <w:rPr>
          <w:rFonts w:hint="default" w:ascii="Times New Roman" w:hAnsi="Times New Roman" w:cs="Times New Roman"/>
        </w:rPr>
      </w:pPr>
      <w:r>
        <w:rPr>
          <w:rFonts w:hint="default" w:ascii="Times New Roman" w:hAnsi="Times New Roman" w:cs="Times New Roman"/>
        </w:rPr>
        <w:t>1.6.1主体工程选址（线）评价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eastAsia" w:eastAsia="仿宋_GB2312" w:cs="Times New Roman"/>
          <w:sz w:val="24"/>
          <w:szCs w:val="24"/>
          <w:lang w:val="en-US" w:eastAsia="zh-CN"/>
        </w:rPr>
        <w:t>根据</w:t>
      </w:r>
      <w:r>
        <w:rPr>
          <w:rFonts w:hint="default" w:ascii="Times New Roman" w:hAnsi="Times New Roman" w:eastAsia="仿宋_GB2312" w:cs="Times New Roman"/>
          <w:sz w:val="24"/>
          <w:szCs w:val="24"/>
        </w:rPr>
        <w:t>水土保持</w:t>
      </w:r>
      <w:r>
        <w:rPr>
          <w:rFonts w:hint="eastAsia" w:eastAsia="仿宋_GB2312" w:cs="Times New Roman"/>
          <w:sz w:val="24"/>
          <w:szCs w:val="24"/>
          <w:lang w:val="en-US" w:eastAsia="zh-CN"/>
        </w:rPr>
        <w:t>法律法规</w:t>
      </w:r>
      <w:r>
        <w:rPr>
          <w:rFonts w:hint="default" w:ascii="Times New Roman" w:hAnsi="Times New Roman" w:eastAsia="仿宋_GB2312" w:cs="Times New Roman"/>
          <w:sz w:val="24"/>
          <w:szCs w:val="24"/>
        </w:rPr>
        <w:t>、</w:t>
      </w:r>
      <w:r>
        <w:rPr>
          <w:rFonts w:hint="eastAsia" w:eastAsia="仿宋_GB2312" w:cs="Times New Roman"/>
          <w:sz w:val="24"/>
          <w:szCs w:val="24"/>
          <w:lang w:val="en-US" w:eastAsia="zh-CN"/>
        </w:rPr>
        <w:t>技术标准规范等</w:t>
      </w:r>
      <w:r>
        <w:rPr>
          <w:rFonts w:hint="default" w:ascii="Times New Roman" w:hAnsi="Times New Roman" w:eastAsia="仿宋_GB2312" w:cs="Times New Roman"/>
          <w:sz w:val="24"/>
          <w:szCs w:val="24"/>
        </w:rPr>
        <w:t>关于水土保持限制和约束性规定，</w:t>
      </w:r>
      <w:r>
        <w:rPr>
          <w:rFonts w:hint="eastAsia" w:eastAsia="仿宋_GB2312"/>
          <w:kern w:val="0"/>
          <w:sz w:val="24"/>
          <w:szCs w:val="24"/>
        </w:rPr>
        <w:t>本项目的选址（线）避开了全国水土保持监测网络中的水土保持监测站点、重点试验区，不占用国家确定的水土保持长期定位观测站；避开了河流两岸、湖泊和水库周边的植物保护带；不处于饮用水水源保护区、水功能一级区的保护区和保留区、自然保护区、世界文化和自然遗产地、风景名胜区、地质公园、森林公园、主要湿地等区域。项目建设区无泥石流易发区、崩塌滑坡危险区以及易引起严重水土流失和生态恶化的地区。</w:t>
      </w:r>
      <w:r>
        <w:rPr>
          <w:rFonts w:hint="eastAsia" w:eastAsia="仿宋_GB2312"/>
          <w:kern w:val="0"/>
          <w:sz w:val="24"/>
          <w:szCs w:val="24"/>
          <w:lang w:val="en-US" w:eastAsia="zh-CN"/>
        </w:rPr>
        <w:t>本</w:t>
      </w:r>
      <w:r>
        <w:rPr>
          <w:rFonts w:hint="eastAsia" w:eastAsia="仿宋_GB2312"/>
          <w:kern w:val="0"/>
          <w:sz w:val="24"/>
          <w:szCs w:val="24"/>
        </w:rPr>
        <w:t>项目不设置取、弃土场。</w:t>
      </w:r>
      <w:r>
        <w:rPr>
          <w:rFonts w:hint="eastAsia" w:eastAsia="仿宋_GB2312"/>
          <w:kern w:val="0"/>
          <w:sz w:val="24"/>
          <w:szCs w:val="24"/>
          <w:lang w:val="en-US" w:eastAsia="zh-CN"/>
        </w:rPr>
        <w:t>由于</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选址无法避让国家级水土流失重点治理区，</w:t>
      </w:r>
      <w:r>
        <w:rPr>
          <w:rFonts w:hint="eastAsia" w:eastAsia="仿宋_GB2312" w:cs="Times New Roman"/>
          <w:sz w:val="24"/>
          <w:szCs w:val="24"/>
          <w:lang w:val="en-US" w:eastAsia="zh-CN"/>
        </w:rPr>
        <w:t>因此通过采取</w:t>
      </w:r>
      <w:r>
        <w:rPr>
          <w:rFonts w:hint="default" w:ascii="Times New Roman" w:hAnsi="Times New Roman" w:eastAsia="仿宋_GB2312" w:cs="Times New Roman"/>
          <w:color w:val="000000"/>
          <w:sz w:val="24"/>
          <w:highlight w:val="none"/>
        </w:rPr>
        <w:t>严格控制扰动地表、减少工程占地、加强工程管理、优化施工工艺等措施，</w:t>
      </w:r>
      <w:r>
        <w:rPr>
          <w:rFonts w:hint="eastAsia" w:eastAsia="仿宋_GB2312" w:cs="Times New Roman"/>
          <w:color w:val="000000"/>
          <w:sz w:val="24"/>
          <w:highlight w:val="none"/>
          <w:lang w:val="en-US" w:eastAsia="zh-CN"/>
        </w:rPr>
        <w:t>最大限度</w:t>
      </w:r>
      <w:r>
        <w:rPr>
          <w:rFonts w:hint="default" w:ascii="Times New Roman" w:hAnsi="Times New Roman" w:eastAsia="仿宋_GB2312" w:cs="Times New Roman"/>
          <w:color w:val="000000"/>
          <w:sz w:val="24"/>
          <w:highlight w:val="none"/>
        </w:rPr>
        <w:t>控制</w:t>
      </w:r>
      <w:r>
        <w:rPr>
          <w:rFonts w:hint="eastAsia" w:eastAsia="仿宋_GB2312" w:cs="Times New Roman"/>
          <w:color w:val="000000"/>
          <w:sz w:val="24"/>
          <w:highlight w:val="none"/>
          <w:lang w:val="en-US" w:eastAsia="zh-CN"/>
        </w:rPr>
        <w:t>项目产生</w:t>
      </w:r>
      <w:r>
        <w:rPr>
          <w:rFonts w:hint="default" w:ascii="Times New Roman" w:hAnsi="Times New Roman" w:eastAsia="仿宋_GB2312" w:cs="Times New Roman"/>
          <w:color w:val="000000"/>
          <w:sz w:val="24"/>
          <w:highlight w:val="none"/>
        </w:rPr>
        <w:t>的水土流失，从水土保持角度分析主体工程选址方案可行</w:t>
      </w:r>
      <w:r>
        <w:rPr>
          <w:rFonts w:hint="default" w:ascii="Times New Roman" w:hAnsi="Times New Roman" w:eastAsia="仿宋_GB2312" w:cs="Times New Roman"/>
          <w:color w:val="000000"/>
          <w:sz w:val="24"/>
          <w:highlight w:val="none"/>
          <w:lang w:eastAsia="zh-CN"/>
        </w:rPr>
        <w:t>。</w:t>
      </w:r>
    </w:p>
    <w:p>
      <w:pPr>
        <w:pStyle w:val="6"/>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rPr>
      </w:pPr>
      <w:r>
        <w:rPr>
          <w:rFonts w:hint="default" w:ascii="Times New Roman" w:hAnsi="Times New Roman" w:eastAsia="仿宋_GB2312" w:cs="Times New Roman"/>
          <w:b/>
          <w:bCs/>
        </w:rPr>
        <w:t>1.6.2建设方案与布局评价</w:t>
      </w:r>
      <w:bookmarkStart w:id="25" w:name="_Toc387325507"/>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本</w:t>
      </w:r>
      <w:r>
        <w:rPr>
          <w:rFonts w:hint="default" w:ascii="Times New Roman" w:hAnsi="Times New Roman" w:eastAsia="仿宋_GB2312" w:cs="Times New Roman"/>
          <w:sz w:val="24"/>
          <w:szCs w:val="24"/>
          <w:lang w:val="en-US" w:eastAsia="zh-CN"/>
        </w:rPr>
        <w:t>期</w:t>
      </w:r>
      <w:r>
        <w:rPr>
          <w:rFonts w:hint="default" w:ascii="Times New Roman" w:hAnsi="Times New Roman" w:eastAsia="仿宋_GB2312" w:cs="Times New Roman"/>
          <w:sz w:val="24"/>
          <w:szCs w:val="24"/>
        </w:rPr>
        <w:t>项目位于长春市</w:t>
      </w:r>
      <w:r>
        <w:rPr>
          <w:rFonts w:hint="default" w:ascii="Times New Roman" w:hAnsi="Times New Roman" w:eastAsia="仿宋_GB2312" w:cs="Times New Roman"/>
          <w:sz w:val="24"/>
          <w:szCs w:val="24"/>
          <w:lang w:val="en-US" w:eastAsia="zh-CN"/>
        </w:rPr>
        <w:t>二道区</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highlight w:val="none"/>
        </w:rPr>
        <w:t>无法避让</w:t>
      </w:r>
      <w:r>
        <w:rPr>
          <w:rFonts w:hint="default" w:ascii="Times New Roman" w:hAnsi="Times New Roman" w:eastAsia="仿宋_GB2312" w:cs="Times New Roman"/>
          <w:bCs/>
          <w:iCs/>
          <w:sz w:val="24"/>
          <w:highlight w:val="none"/>
        </w:rPr>
        <w:t>东北漫川漫岗国家级水土流失重点治理区，</w:t>
      </w:r>
      <w:r>
        <w:rPr>
          <w:rFonts w:hint="default" w:ascii="Times New Roman" w:hAnsi="Times New Roman" w:eastAsia="仿宋_GB2312" w:cs="Times New Roman"/>
          <w:sz w:val="24"/>
          <w:szCs w:val="24"/>
        </w:rPr>
        <w:t>雨水排水全部采用地埋管线，利用</w:t>
      </w:r>
      <w:r>
        <w:rPr>
          <w:rFonts w:hint="eastAsia" w:eastAsia="仿宋_GB2312" w:cs="Times New Roman"/>
          <w:sz w:val="24"/>
          <w:szCs w:val="24"/>
          <w:lang w:eastAsia="zh-CN"/>
        </w:rPr>
        <w:t>雨水口</w:t>
      </w:r>
      <w:r>
        <w:rPr>
          <w:rFonts w:hint="default" w:ascii="Times New Roman" w:hAnsi="Times New Roman" w:eastAsia="仿宋_GB2312" w:cs="Times New Roman"/>
          <w:sz w:val="24"/>
          <w:szCs w:val="24"/>
        </w:rPr>
        <w:t>收集地表径流，减少了开挖面</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highlight w:val="none"/>
        </w:rPr>
        <w:t>场区南高北低，南北最大高差约</w:t>
      </w:r>
      <w:r>
        <w:rPr>
          <w:rFonts w:hint="default" w:ascii="Times New Roman" w:hAnsi="Times New Roman" w:eastAsia="仿宋_GB2312" w:cs="Times New Roman"/>
          <w:sz w:val="24"/>
          <w:highlight w:val="none"/>
          <w:lang w:val="en-US" w:eastAsia="zh-CN"/>
        </w:rPr>
        <w:t>5</w:t>
      </w:r>
      <w:r>
        <w:rPr>
          <w:rFonts w:hint="default" w:ascii="Times New Roman" w:hAnsi="Times New Roman" w:eastAsia="仿宋_GB2312" w:cs="Times New Roman"/>
          <w:sz w:val="24"/>
          <w:highlight w:val="none"/>
        </w:rPr>
        <w:t>m，土石方纵向调运满足场平的填方要求，不需设置取土场及弃土场；</w:t>
      </w:r>
      <w:r>
        <w:rPr>
          <w:rFonts w:hint="default" w:ascii="Times New Roman" w:hAnsi="Times New Roman" w:eastAsia="仿宋_GB2312" w:cs="Times New Roman"/>
          <w:sz w:val="24"/>
          <w:szCs w:val="24"/>
          <w:highlight w:val="none"/>
          <w:lang w:val="en-US" w:eastAsia="zh-CN"/>
        </w:rPr>
        <w:t>本期</w:t>
      </w:r>
      <w:r>
        <w:rPr>
          <w:rFonts w:hint="default" w:ascii="Times New Roman" w:hAnsi="Times New Roman" w:eastAsia="仿宋_GB2312" w:cs="Times New Roman"/>
          <w:sz w:val="24"/>
          <w:szCs w:val="24"/>
          <w:highlight w:val="none"/>
        </w:rPr>
        <w:t>工程绿化采用</w:t>
      </w:r>
      <w:r>
        <w:rPr>
          <w:rFonts w:hint="default" w:ascii="Times New Roman" w:hAnsi="Times New Roman" w:eastAsia="仿宋_GB2312" w:cs="Times New Roman"/>
          <w:sz w:val="24"/>
          <w:szCs w:val="24"/>
          <w:highlight w:val="none"/>
          <w:lang w:val="en-US" w:eastAsia="zh-CN"/>
        </w:rPr>
        <w:t>1</w:t>
      </w:r>
      <w:r>
        <w:rPr>
          <w:rFonts w:hint="default" w:ascii="Times New Roman" w:hAnsi="Times New Roman" w:eastAsia="仿宋_GB2312" w:cs="Times New Roman"/>
          <w:sz w:val="24"/>
          <w:szCs w:val="24"/>
          <w:highlight w:val="none"/>
        </w:rPr>
        <w:t>级标准</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lang w:val="en-US" w:eastAsia="zh-CN"/>
        </w:rPr>
        <w:t>本期</w:t>
      </w:r>
      <w:r>
        <w:rPr>
          <w:rFonts w:hint="default" w:ascii="Times New Roman" w:hAnsi="Times New Roman" w:eastAsia="仿宋_GB2312" w:cs="Times New Roman"/>
          <w:sz w:val="24"/>
          <w:highlight w:val="none"/>
        </w:rPr>
        <w:t>工程雨水管线工程按照《室外排水设计标准》要求设计重现期以2年为标准进行设计</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szCs w:val="24"/>
        </w:rPr>
        <w:t>项目总平面布局合理紧凑</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竖向布置采取平坡式布置方式</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工程建设方案总体布局在充分利用现有条件的前提下，尽量满足工程布局合理、交通运输方便、节约国土资源、减少土石方量的要求，</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建设方案符合水土保持约束性规定的要求，主体工程建设方案可行。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rPr>
        <w:t>本</w:t>
      </w:r>
      <w:r>
        <w:rPr>
          <w:rFonts w:hint="default" w:ascii="Times New Roman" w:hAnsi="Times New Roman" w:eastAsia="仿宋_GB2312" w:cs="Times New Roman"/>
          <w:color w:val="auto"/>
          <w:sz w:val="24"/>
          <w:lang w:val="en-US" w:eastAsia="zh-CN"/>
        </w:rPr>
        <w:t>期</w:t>
      </w:r>
      <w:r>
        <w:rPr>
          <w:rFonts w:hint="default" w:ascii="Times New Roman" w:hAnsi="Times New Roman" w:eastAsia="仿宋_GB2312" w:cs="Times New Roman"/>
          <w:color w:val="auto"/>
          <w:sz w:val="24"/>
        </w:rPr>
        <w:t>项目施工道路</w:t>
      </w:r>
      <w:r>
        <w:rPr>
          <w:rFonts w:hint="default" w:ascii="Times New Roman" w:hAnsi="Times New Roman" w:eastAsia="仿宋_GB2312" w:cs="Times New Roman"/>
          <w:color w:val="auto"/>
          <w:sz w:val="24"/>
          <w:lang w:eastAsia="zh-CN"/>
        </w:rPr>
        <w:t>采取</w:t>
      </w:r>
      <w:r>
        <w:rPr>
          <w:rFonts w:hint="default" w:ascii="Times New Roman" w:hAnsi="Times New Roman" w:eastAsia="仿宋_GB2312" w:cs="Times New Roman"/>
          <w:color w:val="auto"/>
          <w:sz w:val="24"/>
        </w:rPr>
        <w:t>永临结合，施工用水、用电无需新增占地，达到节约用地和减少扰动地表的要求，满足施工建设要求，工程占地无漏项</w:t>
      </w:r>
      <w:r>
        <w:rPr>
          <w:rFonts w:hint="default" w:ascii="Times New Roman" w:hAnsi="Times New Roman" w:eastAsia="仿宋_GB2312" w:cs="Times New Roman"/>
          <w:color w:val="auto"/>
          <w:sz w:val="24"/>
          <w:lang w:eastAsia="zh-CN"/>
        </w:rPr>
        <w:t>，</w:t>
      </w:r>
      <w:r>
        <w:rPr>
          <w:rFonts w:hint="default" w:ascii="Times New Roman" w:hAnsi="Times New Roman" w:eastAsia="仿宋_GB2312" w:cs="Times New Roman"/>
          <w:sz w:val="24"/>
          <w:szCs w:val="24"/>
        </w:rPr>
        <w:t>占地面积统计全面，符合行业指标规定和水土保持技术标准的要求。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yellow"/>
        </w:rPr>
      </w:pPr>
      <w:r>
        <w:rPr>
          <w:rFonts w:hint="default" w:ascii="Times New Roman" w:hAnsi="Times New Roman" w:eastAsia="仿宋_GB2312" w:cs="Times New Roman"/>
          <w:sz w:val="24"/>
          <w:highlight w:val="none"/>
        </w:rPr>
        <w:t>通过对工程施工时段、挖填方量、土石方调运及土石方利用分析评价，土石方量来源及去向明确，土石方挖填数量符合最优化原则，土石方调运符合节点适宜、时序可行、运距合理原则，无弃方，满足水土保持的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本</w:t>
      </w:r>
      <w:r>
        <w:rPr>
          <w:rFonts w:hint="default" w:ascii="Times New Roman" w:hAnsi="Times New Roman" w:eastAsia="仿宋_GB2312" w:cs="Times New Roman"/>
          <w:sz w:val="24"/>
          <w:szCs w:val="24"/>
          <w:lang w:val="en-US" w:eastAsia="zh-CN"/>
        </w:rPr>
        <w:t>期</w:t>
      </w:r>
      <w:r>
        <w:rPr>
          <w:rFonts w:hint="default" w:ascii="Times New Roman" w:hAnsi="Times New Roman" w:eastAsia="仿宋_GB2312" w:cs="Times New Roman"/>
          <w:sz w:val="24"/>
          <w:szCs w:val="24"/>
        </w:rPr>
        <w:t>项目施工采用机械和人工相结合的方法，有效的缩短了施工工期，减少了对地表的扰动，从而最大限度减少水土流失，满足水土保持要求。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通过对</w:t>
      </w:r>
      <w:r>
        <w:rPr>
          <w:rFonts w:hint="default" w:ascii="Times New Roman" w:hAnsi="Times New Roman" w:eastAsia="仿宋_GB2312" w:cs="Times New Roman"/>
          <w:sz w:val="24"/>
          <w:szCs w:val="24"/>
          <w:lang w:val="en-US" w:eastAsia="zh-CN"/>
        </w:rPr>
        <w:t>本期</w:t>
      </w:r>
      <w:r>
        <w:rPr>
          <w:rFonts w:hint="default" w:ascii="Times New Roman" w:hAnsi="Times New Roman" w:eastAsia="仿宋_GB2312" w:cs="Times New Roman"/>
          <w:sz w:val="24"/>
          <w:szCs w:val="24"/>
        </w:rPr>
        <w:t>主体工程具有水土保持功能工程的分析与评价，本方案认为</w:t>
      </w:r>
      <w:r>
        <w:rPr>
          <w:rFonts w:hint="default" w:ascii="Times New Roman" w:hAnsi="Times New Roman" w:eastAsia="仿宋_GB2312" w:cs="Times New Roman"/>
          <w:sz w:val="24"/>
          <w:szCs w:val="24"/>
          <w:lang w:val="en-US" w:eastAsia="zh-CN"/>
        </w:rPr>
        <w:t>本期</w:t>
      </w:r>
      <w:r>
        <w:rPr>
          <w:rFonts w:hint="default" w:ascii="Times New Roman" w:hAnsi="Times New Roman" w:eastAsia="仿宋_GB2312" w:cs="Times New Roman"/>
          <w:sz w:val="24"/>
          <w:szCs w:val="24"/>
        </w:rPr>
        <w:t>主体工程设计的雨水管线、</w:t>
      </w:r>
      <w:r>
        <w:rPr>
          <w:rFonts w:hint="eastAsia" w:eastAsia="仿宋_GB2312" w:cs="Times New Roman"/>
          <w:sz w:val="24"/>
          <w:szCs w:val="24"/>
          <w:lang w:eastAsia="zh-CN"/>
        </w:rPr>
        <w:t>雨水口</w:t>
      </w:r>
      <w:r>
        <w:rPr>
          <w:rFonts w:hint="default" w:ascii="Times New Roman" w:hAnsi="Times New Roman" w:eastAsia="仿宋_GB2312" w:cs="Times New Roman"/>
          <w:sz w:val="24"/>
          <w:szCs w:val="24"/>
        </w:rPr>
        <w:t>、绿化用土回覆、景观绿化</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临时堆土区的密目网苫盖具有水土保持功能。但是主体工程缺少全面整地，本方案予以补充，构成完整水土流失防治措施体系。</w:t>
      </w:r>
    </w:p>
    <w:p>
      <w:pPr>
        <w:pStyle w:val="5"/>
        <w:bidi w:val="0"/>
        <w:rPr>
          <w:rFonts w:hint="default" w:ascii="Times New Roman" w:hAnsi="Times New Roman" w:cs="Times New Roman"/>
        </w:rPr>
      </w:pPr>
      <w:bookmarkStart w:id="26" w:name="_Toc16723"/>
      <w:bookmarkStart w:id="27" w:name="_Toc12441"/>
      <w:bookmarkStart w:id="28" w:name="_Toc2518"/>
      <w:r>
        <w:rPr>
          <w:rFonts w:hint="default" w:ascii="Times New Roman" w:hAnsi="Times New Roman" w:cs="Times New Roman"/>
        </w:rPr>
        <w:t>1.7水土流失</w:t>
      </w:r>
      <w:bookmarkEnd w:id="25"/>
      <w:r>
        <w:rPr>
          <w:rFonts w:hint="default" w:ascii="Times New Roman" w:hAnsi="Times New Roman" w:cs="Times New Roman"/>
        </w:rPr>
        <w:t>预测结果</w:t>
      </w:r>
      <w:bookmarkEnd w:id="26"/>
      <w:bookmarkEnd w:id="27"/>
      <w:bookmarkEnd w:id="28"/>
    </w:p>
    <w:p>
      <w:pPr>
        <w:pageBreakBefore w:val="0"/>
        <w:kinsoku/>
        <w:wordWrap/>
        <w:bidi w:val="0"/>
        <w:spacing w:line="360" w:lineRule="auto"/>
        <w:ind w:firstLine="480" w:firstLineChars="200"/>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color w:val="auto"/>
          <w:sz w:val="24"/>
          <w:szCs w:val="24"/>
          <w:highlight w:val="none"/>
          <w:lang w:val="en-US" w:eastAsia="zh-CN"/>
        </w:rPr>
        <w:t>长春国际物流经济开发区新兴建材产业园区建设</w:t>
      </w:r>
      <w:r>
        <w:rPr>
          <w:rFonts w:hint="default" w:ascii="Times New Roman" w:hAnsi="Times New Roman" w:eastAsia="仿宋_GB2312" w:cs="Times New Roman"/>
          <w:color w:val="auto"/>
          <w:sz w:val="24"/>
          <w:szCs w:val="24"/>
          <w:highlight w:val="none"/>
          <w:lang w:eastAsia="zh-CN"/>
        </w:rPr>
        <w:t>项目</w:t>
      </w:r>
      <w:r>
        <w:rPr>
          <w:rFonts w:hint="eastAsia" w:eastAsia="仿宋_GB2312" w:cs="Times New Roman"/>
          <w:color w:val="auto"/>
          <w:sz w:val="24"/>
          <w:szCs w:val="24"/>
          <w:highlight w:val="none"/>
          <w:lang w:val="en-US" w:eastAsia="zh-CN"/>
        </w:rPr>
        <w:t>B地块</w:t>
      </w:r>
      <w:r>
        <w:rPr>
          <w:rFonts w:hint="default" w:ascii="Times New Roman" w:hAnsi="Times New Roman" w:eastAsia="仿宋_GB2312" w:cs="Times New Roman"/>
          <w:sz w:val="24"/>
          <w:szCs w:val="24"/>
          <w:highlight w:val="none"/>
        </w:rPr>
        <w:t>总占地面积为</w:t>
      </w:r>
      <w:r>
        <w:rPr>
          <w:rFonts w:hint="eastAsia" w:eastAsia="仿宋_GB2312" w:cs="Times New Roman"/>
          <w:sz w:val="24"/>
          <w:szCs w:val="24"/>
          <w:highlight w:val="none"/>
          <w:lang w:val="en-US" w:eastAsia="zh-CN"/>
        </w:rPr>
        <w:t>19.98</w:t>
      </w:r>
      <w:r>
        <w:rPr>
          <w:rFonts w:hint="default" w:ascii="Times New Roman" w:hAnsi="Times New Roman" w:eastAsia="仿宋_GB2312" w:cs="Times New Roman"/>
          <w:sz w:val="24"/>
          <w:szCs w:val="24"/>
          <w:highlight w:val="none"/>
          <w:lang w:eastAsia="zh-CN"/>
        </w:rPr>
        <w:t>hm²</w:t>
      </w:r>
      <w:r>
        <w:rPr>
          <w:rFonts w:hint="default" w:ascii="Times New Roman" w:hAnsi="Times New Roman" w:eastAsia="仿宋_GB2312" w:cs="Times New Roman"/>
          <w:sz w:val="24"/>
          <w:szCs w:val="24"/>
          <w:highlight w:val="none"/>
          <w:lang w:val="en-US" w:eastAsia="zh-CN"/>
        </w:rPr>
        <w:t>，本期工程</w:t>
      </w:r>
      <w:r>
        <w:rPr>
          <w:rFonts w:hint="default" w:ascii="Times New Roman" w:hAnsi="Times New Roman" w:eastAsia="仿宋_GB2312" w:cs="Times New Roman"/>
          <w:sz w:val="24"/>
          <w:szCs w:val="24"/>
          <w:highlight w:val="none"/>
        </w:rPr>
        <w:t>扰动地表面积</w:t>
      </w:r>
      <w:r>
        <w:rPr>
          <w:rFonts w:hint="eastAsia" w:eastAsia="仿宋_GB2312" w:cs="Times New Roman"/>
          <w:sz w:val="24"/>
          <w:szCs w:val="24"/>
          <w:highlight w:val="none"/>
          <w:lang w:val="en-US" w:eastAsia="zh-CN"/>
        </w:rPr>
        <w:t>19.98</w:t>
      </w:r>
      <w:r>
        <w:rPr>
          <w:rFonts w:hint="default" w:ascii="Times New Roman" w:hAnsi="Times New Roman" w:eastAsia="仿宋_GB2312" w:cs="Times New Roman"/>
          <w:sz w:val="24"/>
          <w:szCs w:val="24"/>
          <w:highlight w:val="none"/>
          <w:lang w:eastAsia="zh-CN"/>
        </w:rPr>
        <w:t>hm²</w:t>
      </w:r>
      <w:r>
        <w:rPr>
          <w:rFonts w:hint="default" w:ascii="Times New Roman" w:hAnsi="Times New Roman" w:eastAsia="仿宋_GB2312" w:cs="Times New Roman"/>
          <w:sz w:val="24"/>
          <w:szCs w:val="24"/>
          <w:highlight w:val="none"/>
        </w:rPr>
        <w:t>，通过</w:t>
      </w:r>
      <w:r>
        <w:rPr>
          <w:rFonts w:hint="eastAsia" w:eastAsia="仿宋_GB2312" w:cs="Times New Roman"/>
          <w:sz w:val="24"/>
          <w:szCs w:val="24"/>
          <w:highlight w:val="none"/>
          <w:lang w:val="en-US" w:eastAsia="zh-CN"/>
        </w:rPr>
        <w:t>分析计算，</w:t>
      </w:r>
      <w:r>
        <w:rPr>
          <w:rFonts w:hint="default" w:ascii="Times New Roman" w:hAnsi="Times New Roman" w:eastAsia="仿宋_GB2312" w:cs="Times New Roman"/>
          <w:sz w:val="24"/>
          <w:szCs w:val="24"/>
          <w:highlight w:val="none"/>
        </w:rPr>
        <w:t>建设过程可能产生土壤流失总量为</w:t>
      </w:r>
      <w:r>
        <w:rPr>
          <w:rFonts w:hint="eastAsia" w:eastAsia="仿宋_GB2312" w:cs="Times New Roman"/>
          <w:sz w:val="24"/>
          <w:szCs w:val="24"/>
          <w:highlight w:val="none"/>
          <w:lang w:eastAsia="zh-CN"/>
        </w:rPr>
        <w:t>1434.59</w:t>
      </w:r>
      <w:r>
        <w:rPr>
          <w:rFonts w:hint="default" w:ascii="Times New Roman" w:hAnsi="Times New Roman" w:eastAsia="仿宋_GB2312" w:cs="Times New Roman"/>
          <w:sz w:val="24"/>
          <w:szCs w:val="24"/>
          <w:highlight w:val="none"/>
        </w:rPr>
        <w:t>t，新增土壤流失量为</w:t>
      </w:r>
      <w:r>
        <w:rPr>
          <w:rFonts w:hint="eastAsia" w:eastAsia="仿宋_GB2312" w:cs="Times New Roman"/>
          <w:sz w:val="24"/>
          <w:szCs w:val="24"/>
          <w:highlight w:val="none"/>
          <w:lang w:eastAsia="zh-CN"/>
        </w:rPr>
        <w:t>1270.76</w:t>
      </w:r>
      <w:r>
        <w:rPr>
          <w:rFonts w:hint="default" w:ascii="Times New Roman" w:hAnsi="Times New Roman" w:eastAsia="仿宋_GB2312" w:cs="Times New Roman"/>
          <w:sz w:val="24"/>
          <w:szCs w:val="24"/>
          <w:highlight w:val="none"/>
        </w:rPr>
        <w:t>t，水土流失重点时段为施工期</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水土流失重点区</w:t>
      </w:r>
      <w:r>
        <w:rPr>
          <w:rFonts w:hint="default" w:ascii="Times New Roman" w:hAnsi="Times New Roman" w:eastAsia="仿宋_GB2312" w:cs="Times New Roman"/>
          <w:bCs/>
          <w:sz w:val="24"/>
          <w:highlight w:val="none"/>
        </w:rPr>
        <w:t>域为</w:t>
      </w:r>
      <w:r>
        <w:rPr>
          <w:rFonts w:hint="eastAsia" w:eastAsia="仿宋_GB2312" w:cs="Times New Roman"/>
          <w:bCs/>
          <w:sz w:val="24"/>
          <w:highlight w:val="none"/>
          <w:lang w:val="en-US" w:eastAsia="zh-CN"/>
        </w:rPr>
        <w:t>工程建设区中的</w:t>
      </w:r>
      <w:r>
        <w:rPr>
          <w:rFonts w:hint="default" w:ascii="Times New Roman" w:hAnsi="Times New Roman" w:eastAsia="仿宋_GB2312" w:cs="Times New Roman"/>
          <w:bCs/>
          <w:sz w:val="24"/>
          <w:highlight w:val="none"/>
          <w:lang w:val="en-US" w:eastAsia="zh-CN"/>
        </w:rPr>
        <w:t>建构筑物区</w:t>
      </w:r>
      <w:r>
        <w:rPr>
          <w:rFonts w:hint="default" w:ascii="Times New Roman" w:hAnsi="Times New Roman" w:eastAsia="仿宋_GB2312" w:cs="Times New Roman"/>
          <w:bCs/>
          <w:sz w:val="24"/>
          <w:highlight w:val="none"/>
        </w:rPr>
        <w:t>。</w:t>
      </w:r>
      <w:r>
        <w:rPr>
          <w:rFonts w:hint="default" w:ascii="Times New Roman" w:hAnsi="Times New Roman" w:eastAsia="仿宋_GB2312" w:cs="Times New Roman"/>
          <w:bCs/>
          <w:sz w:val="24"/>
          <w:highlight w:val="none"/>
          <w:lang w:eastAsia="zh-CN"/>
        </w:rPr>
        <w:t>本期工程</w:t>
      </w:r>
      <w:r>
        <w:rPr>
          <w:rFonts w:hint="default" w:ascii="Times New Roman" w:hAnsi="Times New Roman" w:eastAsia="仿宋_GB2312" w:cs="Times New Roman"/>
          <w:bCs/>
          <w:sz w:val="24"/>
          <w:highlight w:val="none"/>
        </w:rPr>
        <w:t>建设施工时大量机械开挖，加剧了项目区水土流失，工程建设过程中若不采取水土保持措施，水土流失将对区域生态环境等产生不同程度的影响。</w:t>
      </w:r>
    </w:p>
    <w:p>
      <w:pPr>
        <w:pStyle w:val="5"/>
        <w:bidi w:val="0"/>
        <w:rPr>
          <w:rFonts w:hint="default" w:ascii="Times New Roman" w:hAnsi="Times New Roman" w:cs="Times New Roman"/>
        </w:rPr>
      </w:pPr>
      <w:bookmarkStart w:id="29" w:name="_Toc387325508"/>
      <w:bookmarkStart w:id="30" w:name="_Toc30683"/>
      <w:bookmarkStart w:id="31" w:name="_Toc5206"/>
      <w:bookmarkStart w:id="32" w:name="_Toc18445"/>
      <w:r>
        <w:rPr>
          <w:rFonts w:hint="default" w:ascii="Times New Roman" w:hAnsi="Times New Roman" w:cs="Times New Roman"/>
        </w:rPr>
        <w:t>1.8水土</w:t>
      </w:r>
      <w:bookmarkEnd w:id="29"/>
      <w:r>
        <w:rPr>
          <w:rFonts w:hint="default" w:ascii="Times New Roman" w:hAnsi="Times New Roman" w:cs="Times New Roman"/>
        </w:rPr>
        <w:t>保持措施布设成果</w:t>
      </w:r>
      <w:bookmarkEnd w:id="30"/>
      <w:bookmarkEnd w:id="31"/>
      <w:bookmarkEnd w:id="32"/>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根据水土流失防治责任范围内地貌类型、主体工程布局、施工工艺以及水土流失特点等，</w:t>
      </w:r>
      <w:r>
        <w:rPr>
          <w:rFonts w:hint="default" w:ascii="Times New Roman" w:hAnsi="Times New Roman" w:eastAsia="仿宋_GB2312" w:cs="Times New Roman"/>
          <w:sz w:val="24"/>
          <w:szCs w:val="24"/>
          <w:lang w:eastAsia="zh-CN"/>
        </w:rPr>
        <w:t>本期工程</w:t>
      </w:r>
      <w:r>
        <w:rPr>
          <w:rFonts w:hint="default" w:ascii="Times New Roman" w:hAnsi="Times New Roman" w:eastAsia="仿宋_GB2312" w:cs="Times New Roman"/>
          <w:sz w:val="24"/>
          <w:szCs w:val="24"/>
        </w:rPr>
        <w:t>划分为</w:t>
      </w:r>
      <w:r>
        <w:rPr>
          <w:rFonts w:hint="default" w:ascii="Times New Roman" w:hAnsi="Times New Roman" w:eastAsia="仿宋_GB2312" w:cs="Times New Roman"/>
          <w:sz w:val="24"/>
          <w:szCs w:val="24"/>
          <w:lang w:val="en-US" w:eastAsia="zh-CN"/>
        </w:rPr>
        <w:t>工程建设区1</w:t>
      </w:r>
      <w:r>
        <w:rPr>
          <w:rFonts w:hint="default" w:ascii="Times New Roman" w:hAnsi="Times New Roman" w:eastAsia="仿宋_GB2312" w:cs="Times New Roman"/>
          <w:sz w:val="24"/>
          <w:szCs w:val="24"/>
        </w:rPr>
        <w:t>个防治分区。</w:t>
      </w:r>
      <w:r>
        <w:rPr>
          <w:rFonts w:hint="eastAsia" w:eastAsia="仿宋_GB2312" w:cs="Times New Roman"/>
          <w:sz w:val="24"/>
          <w:szCs w:val="24"/>
          <w:lang w:val="en-US" w:eastAsia="zh-CN"/>
        </w:rPr>
        <w:t>根据</w:t>
      </w:r>
      <w:r>
        <w:rPr>
          <w:rFonts w:hint="eastAsia" w:eastAsia="仿宋_GB2312" w:cs="Times New Roman"/>
          <w:color w:val="auto"/>
          <w:sz w:val="24"/>
          <w:szCs w:val="24"/>
          <w:lang w:val="en-US" w:eastAsia="zh-CN"/>
        </w:rPr>
        <w:t>《</w:t>
      </w:r>
      <w:r>
        <w:rPr>
          <w:rFonts w:hint="default" w:eastAsia="仿宋_GB2312"/>
          <w:sz w:val="24"/>
          <w:highlight w:val="none"/>
          <w:lang w:val="en-US" w:eastAsia="zh-CN"/>
        </w:rPr>
        <w:t>吉林省水利厅关于对长春国际物流经济开发区新兴建材产业园区建设项目水土保持方案编制报批有关情况的意见</w:t>
      </w:r>
      <w:r>
        <w:rPr>
          <w:rFonts w:hint="eastAsia" w:eastAsia="仿宋_GB2312" w:cs="Times New Roman"/>
          <w:color w:val="auto"/>
          <w:sz w:val="24"/>
          <w:szCs w:val="24"/>
          <w:lang w:val="en-US" w:eastAsia="zh-CN"/>
        </w:rPr>
        <w:t>》，并经咨询</w:t>
      </w:r>
      <w:r>
        <w:rPr>
          <w:rFonts w:hint="eastAsia" w:eastAsia="仿宋_GB2312" w:cs="Times New Roman"/>
          <w:sz w:val="24"/>
          <w:szCs w:val="24"/>
          <w:lang w:val="en-US" w:eastAsia="zh-CN"/>
        </w:rPr>
        <w:t>水行政主管部门帮助指导，本方案只针对B地块水土保持措施进行具体设计，</w:t>
      </w:r>
      <w:r>
        <w:rPr>
          <w:rFonts w:hint="default" w:ascii="Times New Roman" w:hAnsi="Times New Roman" w:eastAsia="仿宋_GB2312" w:cs="Times New Roman"/>
          <w:sz w:val="24"/>
          <w:szCs w:val="24"/>
        </w:rPr>
        <w:t>水土保持措施包括工程措施、植物措施及临时措施。防治措施布设如下：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主体工程在</w:t>
      </w:r>
      <w:r>
        <w:rPr>
          <w:rFonts w:hint="default" w:ascii="Times New Roman" w:hAnsi="Times New Roman" w:eastAsia="仿宋_GB2312" w:cs="Times New Roman"/>
          <w:sz w:val="24"/>
          <w:szCs w:val="24"/>
          <w:lang w:val="en-US" w:eastAsia="zh-CN"/>
        </w:rPr>
        <w:t>施工期</w:t>
      </w:r>
      <w:r>
        <w:rPr>
          <w:rFonts w:hint="default" w:ascii="Times New Roman" w:hAnsi="Times New Roman" w:eastAsia="仿宋_GB2312" w:cs="Times New Roman"/>
          <w:sz w:val="24"/>
          <w:szCs w:val="24"/>
        </w:rPr>
        <w:t>沿道路布设排水雨水管线和</w:t>
      </w:r>
      <w:r>
        <w:rPr>
          <w:rFonts w:hint="eastAsia" w:eastAsia="仿宋_GB2312" w:cs="Times New Roman"/>
          <w:sz w:val="24"/>
          <w:szCs w:val="24"/>
          <w:lang w:eastAsia="zh-CN"/>
        </w:rPr>
        <w:t>雨水口，</w:t>
      </w:r>
      <w:r>
        <w:rPr>
          <w:rFonts w:hint="default" w:ascii="Times New Roman" w:hAnsi="Times New Roman" w:eastAsia="仿宋_GB2312" w:cs="Times New Roman"/>
          <w:bCs/>
          <w:color w:val="auto"/>
          <w:sz w:val="24"/>
          <w:szCs w:val="24"/>
          <w:highlight w:val="none"/>
          <w:lang w:val="en-US" w:eastAsia="zh-CN"/>
        </w:rPr>
        <w:t>对基础开挖土方进行密目网苫盖防护。</w:t>
      </w:r>
      <w:r>
        <w:rPr>
          <w:rFonts w:hint="default" w:ascii="Times New Roman" w:hAnsi="Times New Roman" w:eastAsia="仿宋_GB2312" w:cs="Times New Roman"/>
          <w:sz w:val="24"/>
          <w:szCs w:val="24"/>
        </w:rPr>
        <w:t>主体建筑物施工结束后，在绿化区域先进行</w:t>
      </w:r>
      <w:r>
        <w:rPr>
          <w:rFonts w:hint="default" w:ascii="Times New Roman" w:hAnsi="Times New Roman" w:eastAsia="仿宋_GB2312" w:cs="Times New Roman"/>
          <w:sz w:val="24"/>
          <w:szCs w:val="24"/>
          <w:lang w:val="en-US" w:eastAsia="zh-CN"/>
        </w:rPr>
        <w:t>绿化用土</w:t>
      </w:r>
      <w:r>
        <w:rPr>
          <w:rFonts w:hint="default" w:ascii="Times New Roman" w:hAnsi="Times New Roman" w:eastAsia="仿宋_GB2312" w:cs="Times New Roman"/>
          <w:sz w:val="24"/>
          <w:szCs w:val="24"/>
        </w:rPr>
        <w:t>回覆</w:t>
      </w:r>
      <w:r>
        <w:rPr>
          <w:rFonts w:hint="eastAsia" w:eastAsia="仿宋_GB2312" w:cs="Times New Roman"/>
          <w:sz w:val="24"/>
          <w:szCs w:val="24"/>
          <w:lang w:eastAsia="zh-CN"/>
        </w:rPr>
        <w:t>，</w:t>
      </w:r>
      <w:r>
        <w:rPr>
          <w:rFonts w:hint="default" w:ascii="Times New Roman" w:hAnsi="Times New Roman" w:eastAsia="仿宋_GB2312" w:cs="Times New Roman"/>
          <w:bCs/>
          <w:color w:val="auto"/>
          <w:sz w:val="24"/>
          <w:szCs w:val="24"/>
          <w:highlight w:val="none"/>
          <w:lang w:val="en-US" w:eastAsia="zh-CN"/>
        </w:rPr>
        <w:t>回覆后进行全面整地</w:t>
      </w:r>
      <w:r>
        <w:rPr>
          <w:rFonts w:hint="default" w:ascii="Times New Roman" w:hAnsi="Times New Roman" w:eastAsia="仿宋_GB2312" w:cs="Times New Roman"/>
          <w:sz w:val="24"/>
          <w:szCs w:val="24"/>
        </w:rPr>
        <w:t>，采取栽植乔灌木及撒播种草方式进行绿化。</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工程措施：雨水排水管</w:t>
      </w:r>
      <w:r>
        <w:rPr>
          <w:rFonts w:hint="eastAsia" w:eastAsia="仿宋_GB2312" w:cs="Times New Roman"/>
          <w:sz w:val="24"/>
          <w:szCs w:val="24"/>
          <w:highlight w:val="none"/>
          <w:lang w:val="en-US" w:eastAsia="zh-CN"/>
        </w:rPr>
        <w:t>2600</w:t>
      </w:r>
      <w:r>
        <w:rPr>
          <w:rFonts w:hint="default" w:ascii="Times New Roman" w:hAnsi="Times New Roman" w:eastAsia="仿宋_GB2312" w:cs="Times New Roman"/>
          <w:sz w:val="24"/>
          <w:szCs w:val="24"/>
          <w:highlight w:val="none"/>
        </w:rPr>
        <w:t>m、</w:t>
      </w:r>
      <w:r>
        <w:rPr>
          <w:rFonts w:hint="eastAsia" w:eastAsia="仿宋_GB2312" w:cs="Times New Roman"/>
          <w:sz w:val="24"/>
          <w:szCs w:val="24"/>
          <w:highlight w:val="none"/>
          <w:lang w:eastAsia="zh-CN"/>
        </w:rPr>
        <w:t>雨水口</w:t>
      </w:r>
      <w:r>
        <w:rPr>
          <w:rFonts w:hint="eastAsia" w:eastAsia="仿宋_GB2312" w:cs="Times New Roman"/>
          <w:sz w:val="24"/>
          <w:szCs w:val="24"/>
          <w:highlight w:val="none"/>
          <w:lang w:val="en-US" w:eastAsia="zh-CN"/>
        </w:rPr>
        <w:t>260</w:t>
      </w:r>
      <w:r>
        <w:rPr>
          <w:rFonts w:hint="default" w:ascii="Times New Roman" w:hAnsi="Times New Roman" w:eastAsia="仿宋_GB2312" w:cs="Times New Roman"/>
          <w:sz w:val="24"/>
          <w:szCs w:val="24"/>
          <w:highlight w:val="none"/>
        </w:rPr>
        <w:t>个</w:t>
      </w:r>
      <w:r>
        <w:rPr>
          <w:rFonts w:hint="eastAsia" w:eastAsia="仿宋_GB2312" w:cs="Times New Roman"/>
          <w:sz w:val="24"/>
          <w:szCs w:val="24"/>
          <w:highlight w:val="none"/>
          <w:lang w:eastAsia="zh-CN"/>
        </w:rPr>
        <w:t>（</w:t>
      </w:r>
      <w:r>
        <w:rPr>
          <w:rFonts w:hint="eastAsia" w:eastAsia="仿宋_GB2312" w:cs="Times New Roman"/>
          <w:sz w:val="24"/>
          <w:szCs w:val="24"/>
          <w:highlight w:val="none"/>
          <w:lang w:val="en-US" w:eastAsia="zh-CN"/>
        </w:rPr>
        <w:t>计划实施时间：2024年4月-2024年7月</w:t>
      </w:r>
      <w:r>
        <w:rPr>
          <w:rFonts w:hint="eastAsia"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绿化</w:t>
      </w:r>
      <w:r>
        <w:rPr>
          <w:rFonts w:hint="default" w:ascii="Times New Roman" w:hAnsi="Times New Roman" w:eastAsia="仿宋_GB2312" w:cs="Times New Roman"/>
          <w:sz w:val="24"/>
          <w:szCs w:val="24"/>
          <w:highlight w:val="none"/>
          <w:lang w:val="en-US" w:eastAsia="zh-CN"/>
        </w:rPr>
        <w:t>用土</w:t>
      </w:r>
      <w:r>
        <w:rPr>
          <w:rFonts w:hint="default" w:ascii="Times New Roman" w:hAnsi="Times New Roman" w:eastAsia="仿宋_GB2312" w:cs="Times New Roman"/>
          <w:sz w:val="24"/>
          <w:szCs w:val="24"/>
          <w:highlight w:val="none"/>
        </w:rPr>
        <w:t>回覆</w:t>
      </w:r>
      <w:r>
        <w:rPr>
          <w:rFonts w:hint="eastAsia" w:eastAsia="仿宋_GB2312" w:cs="Times New Roman"/>
          <w:sz w:val="24"/>
          <w:szCs w:val="24"/>
          <w:highlight w:val="none"/>
          <w:lang w:val="en-US" w:eastAsia="zh-CN"/>
        </w:rPr>
        <w:t>1.20</w:t>
      </w:r>
      <w:r>
        <w:rPr>
          <w:rFonts w:hint="default" w:ascii="Times New Roman" w:hAnsi="Times New Roman" w:eastAsia="仿宋_GB2312" w:cs="Times New Roman"/>
          <w:sz w:val="24"/>
          <w:szCs w:val="24"/>
          <w:highlight w:val="none"/>
          <w:lang w:val="en-US" w:eastAsia="zh-CN"/>
        </w:rPr>
        <w:t>万</w:t>
      </w:r>
      <w:r>
        <w:rPr>
          <w:rFonts w:hint="default" w:ascii="Times New Roman" w:hAnsi="Times New Roman" w:eastAsia="仿宋_GB2312" w:cs="Times New Roman"/>
          <w:sz w:val="24"/>
          <w:szCs w:val="24"/>
          <w:highlight w:val="none"/>
          <w:lang w:eastAsia="zh-CN"/>
        </w:rPr>
        <w:t>m³</w:t>
      </w:r>
      <w:r>
        <w:rPr>
          <w:rFonts w:hint="eastAsia" w:eastAsia="仿宋_GB2312" w:cs="Times New Roman"/>
          <w:sz w:val="24"/>
          <w:szCs w:val="24"/>
          <w:highlight w:val="none"/>
          <w:lang w:eastAsia="zh-CN"/>
        </w:rPr>
        <w:t>（</w:t>
      </w:r>
      <w:r>
        <w:rPr>
          <w:rFonts w:hint="eastAsia" w:eastAsia="仿宋_GB2312" w:cs="Times New Roman"/>
          <w:sz w:val="24"/>
          <w:szCs w:val="24"/>
          <w:highlight w:val="none"/>
          <w:lang w:val="en-US" w:eastAsia="zh-CN"/>
        </w:rPr>
        <w:t>计划实施时间：2024年8月-2024年9月</w:t>
      </w:r>
      <w:r>
        <w:rPr>
          <w:rFonts w:hint="eastAsia"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全面整地</w:t>
      </w:r>
      <w:r>
        <w:rPr>
          <w:rFonts w:hint="eastAsia" w:eastAsia="仿宋_GB2312" w:cs="Times New Roman"/>
          <w:sz w:val="24"/>
          <w:szCs w:val="24"/>
          <w:highlight w:val="none"/>
          <w:lang w:val="en-US" w:eastAsia="zh-CN"/>
        </w:rPr>
        <w:t>3.99</w:t>
      </w:r>
      <w:r>
        <w:rPr>
          <w:rFonts w:hint="default" w:ascii="Times New Roman" w:hAnsi="Times New Roman" w:eastAsia="仿宋_GB2312" w:cs="Times New Roman"/>
          <w:sz w:val="24"/>
          <w:szCs w:val="24"/>
          <w:highlight w:val="none"/>
          <w:lang w:eastAsia="zh-CN"/>
        </w:rPr>
        <w:t>hm²</w:t>
      </w:r>
      <w:r>
        <w:rPr>
          <w:rFonts w:hint="eastAsia" w:eastAsia="仿宋_GB2312" w:cs="Times New Roman"/>
          <w:sz w:val="24"/>
          <w:szCs w:val="24"/>
          <w:highlight w:val="none"/>
          <w:lang w:eastAsia="zh-CN"/>
        </w:rPr>
        <w:t>（</w:t>
      </w:r>
      <w:r>
        <w:rPr>
          <w:rFonts w:hint="eastAsia" w:eastAsia="仿宋_GB2312" w:cs="Times New Roman"/>
          <w:sz w:val="24"/>
          <w:szCs w:val="24"/>
          <w:highlight w:val="none"/>
          <w:lang w:val="en-US" w:eastAsia="zh-CN"/>
        </w:rPr>
        <w:t>计划实施时间：2024年8月-2024年9月</w:t>
      </w:r>
      <w:r>
        <w:rPr>
          <w:rFonts w:hint="eastAsia"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植物措施：</w:t>
      </w:r>
      <w:r>
        <w:rPr>
          <w:rFonts w:hint="default" w:ascii="Times New Roman" w:hAnsi="Times New Roman" w:eastAsia="仿宋_GB2312" w:cs="Times New Roman"/>
          <w:sz w:val="24"/>
          <w:szCs w:val="24"/>
          <w:highlight w:val="none"/>
          <w:lang w:val="en-US" w:eastAsia="zh-CN"/>
        </w:rPr>
        <w:t>绿化面积</w:t>
      </w:r>
      <w:r>
        <w:rPr>
          <w:rFonts w:hint="eastAsia" w:eastAsia="仿宋_GB2312" w:cs="Times New Roman"/>
          <w:sz w:val="24"/>
          <w:szCs w:val="24"/>
          <w:highlight w:val="none"/>
          <w:lang w:eastAsia="zh-CN"/>
        </w:rPr>
        <w:t>39933.28</w:t>
      </w:r>
      <w:r>
        <w:rPr>
          <w:rFonts w:hint="default" w:ascii="Times New Roman" w:hAnsi="Times New Roman" w:eastAsia="仿宋_GB2312" w:cs="Times New Roman"/>
          <w:sz w:val="24"/>
          <w:szCs w:val="24"/>
          <w:highlight w:val="none"/>
        </w:rPr>
        <w:t>m²</w:t>
      </w:r>
      <w:r>
        <w:rPr>
          <w:rFonts w:hint="eastAsia" w:eastAsia="仿宋_GB2312" w:cs="Times New Roman"/>
          <w:sz w:val="24"/>
          <w:szCs w:val="24"/>
          <w:highlight w:val="none"/>
          <w:lang w:eastAsia="zh-CN"/>
        </w:rPr>
        <w:t>（</w:t>
      </w:r>
      <w:r>
        <w:rPr>
          <w:rFonts w:hint="eastAsia" w:eastAsia="仿宋_GB2312" w:cs="Times New Roman"/>
          <w:sz w:val="24"/>
          <w:szCs w:val="24"/>
          <w:highlight w:val="none"/>
          <w:lang w:val="en-US" w:eastAsia="zh-CN"/>
        </w:rPr>
        <w:t>计划实施时间：2024年8月-2024年9月</w:t>
      </w:r>
      <w:r>
        <w:rPr>
          <w:rFonts w:hint="eastAsia"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highlight w:val="none"/>
          <w:lang w:val="en-US" w:eastAsia="zh-CN"/>
        </w:rPr>
      </w:pPr>
      <w:r>
        <w:rPr>
          <w:rFonts w:hint="default" w:ascii="Times New Roman" w:hAnsi="Times New Roman" w:eastAsia="仿宋_GB2312" w:cs="Times New Roman"/>
          <w:sz w:val="24"/>
          <w:szCs w:val="24"/>
          <w:highlight w:val="none"/>
        </w:rPr>
        <w:t>临时措施：密目网苫盖</w:t>
      </w:r>
      <w:r>
        <w:rPr>
          <w:rFonts w:hint="eastAsia" w:eastAsia="仿宋_GB2312" w:cs="Times New Roman"/>
          <w:sz w:val="24"/>
          <w:szCs w:val="24"/>
          <w:highlight w:val="none"/>
          <w:lang w:val="en-US" w:eastAsia="zh-CN"/>
        </w:rPr>
        <w:t>2965</w:t>
      </w:r>
      <w:r>
        <w:rPr>
          <w:rFonts w:hint="default" w:ascii="Times New Roman" w:hAnsi="Times New Roman" w:eastAsia="仿宋_GB2312" w:cs="Times New Roman"/>
          <w:sz w:val="24"/>
          <w:szCs w:val="24"/>
          <w:highlight w:val="none"/>
        </w:rPr>
        <w:t>m²</w:t>
      </w:r>
      <w:r>
        <w:rPr>
          <w:rFonts w:hint="eastAsia" w:eastAsia="仿宋_GB2312" w:cs="Times New Roman"/>
          <w:sz w:val="24"/>
          <w:szCs w:val="24"/>
          <w:highlight w:val="none"/>
          <w:lang w:eastAsia="zh-CN"/>
        </w:rPr>
        <w:t>（</w:t>
      </w:r>
      <w:r>
        <w:rPr>
          <w:rFonts w:hint="eastAsia" w:eastAsia="仿宋_GB2312" w:cs="Times New Roman"/>
          <w:sz w:val="24"/>
          <w:szCs w:val="24"/>
          <w:highlight w:val="none"/>
          <w:lang w:val="en-US" w:eastAsia="zh-CN"/>
        </w:rPr>
        <w:t>计划实施时间：2023年9月-2024年5月</w:t>
      </w:r>
      <w:r>
        <w:rPr>
          <w:rFonts w:hint="eastAsia"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lang w:eastAsia="zh-CN"/>
        </w:rPr>
        <w:t>。</w:t>
      </w:r>
    </w:p>
    <w:p>
      <w:pPr>
        <w:pStyle w:val="5"/>
        <w:bidi w:val="0"/>
        <w:rPr>
          <w:rFonts w:hint="default" w:ascii="Times New Roman" w:hAnsi="Times New Roman" w:cs="Times New Roman"/>
        </w:rPr>
      </w:pPr>
      <w:bookmarkStart w:id="33" w:name="_Toc387325509"/>
      <w:bookmarkStart w:id="34" w:name="_Toc24483"/>
      <w:bookmarkStart w:id="35" w:name="_Toc15924"/>
      <w:bookmarkStart w:id="36" w:name="_Toc28788"/>
      <w:r>
        <w:rPr>
          <w:rFonts w:hint="default" w:ascii="Times New Roman" w:hAnsi="Times New Roman" w:cs="Times New Roman"/>
        </w:rPr>
        <w:t>1.9水土保持监测</w:t>
      </w:r>
      <w:bookmarkEnd w:id="33"/>
      <w:r>
        <w:rPr>
          <w:rFonts w:hint="default" w:ascii="Times New Roman" w:hAnsi="Times New Roman" w:cs="Times New Roman"/>
        </w:rPr>
        <w:t>方案</w:t>
      </w:r>
      <w:bookmarkEnd w:id="34"/>
      <w:bookmarkEnd w:id="35"/>
      <w:bookmarkEnd w:id="36"/>
    </w:p>
    <w:p>
      <w:pPr>
        <w:pageBreakBefore w:val="0"/>
        <w:kinsoku/>
        <w:wordWrap/>
        <w:bidi w:val="0"/>
        <w:spacing w:line="360" w:lineRule="auto"/>
        <w:ind w:firstLine="480" w:firstLineChars="200"/>
        <w:jc w:val="left"/>
        <w:rPr>
          <w:rFonts w:hint="default" w:ascii="Times New Roman" w:hAnsi="Times New Roman" w:eastAsia="仿宋_GB2312" w:cs="Times New Roman"/>
          <w:bCs/>
          <w:sz w:val="24"/>
          <w:highlight w:val="none"/>
        </w:rPr>
      </w:pPr>
      <w:r>
        <w:rPr>
          <w:rFonts w:hint="eastAsia" w:eastAsia="仿宋_GB2312" w:cs="Times New Roman"/>
          <w:bCs/>
          <w:color w:val="auto"/>
          <w:sz w:val="24"/>
          <w:lang w:val="en-US" w:eastAsia="zh-CN"/>
        </w:rPr>
        <w:t>按照批准的水土保持方案及其批复意见，将确定的水土流失防治责任范围作为水土保持监测范围。</w:t>
      </w:r>
      <w:r>
        <w:rPr>
          <w:rFonts w:hint="default" w:ascii="Times New Roman" w:hAnsi="Times New Roman" w:eastAsia="仿宋_GB2312" w:cs="Times New Roman"/>
          <w:bCs/>
          <w:color w:val="auto"/>
          <w:sz w:val="24"/>
          <w:lang w:eastAsia="zh-CN"/>
        </w:rPr>
        <w:t>本期项目</w:t>
      </w:r>
      <w:r>
        <w:rPr>
          <w:rFonts w:hint="default" w:ascii="Times New Roman" w:hAnsi="Times New Roman" w:eastAsia="仿宋_GB2312" w:cs="Times New Roman"/>
          <w:bCs/>
          <w:color w:val="auto"/>
          <w:sz w:val="24"/>
        </w:rPr>
        <w:t>的</w:t>
      </w:r>
      <w:r>
        <w:rPr>
          <w:rFonts w:hint="default" w:ascii="Times New Roman" w:hAnsi="Times New Roman" w:eastAsia="仿宋_GB2312" w:cs="Times New Roman"/>
          <w:color w:val="auto"/>
          <w:sz w:val="24"/>
        </w:rPr>
        <w:t>监测分为工程建设区</w:t>
      </w:r>
      <w:r>
        <w:rPr>
          <w:rFonts w:hint="default" w:ascii="Times New Roman" w:hAnsi="Times New Roman" w:eastAsia="仿宋_GB2312" w:cs="Times New Roman"/>
          <w:color w:val="auto"/>
          <w:sz w:val="24"/>
          <w:lang w:val="en-US" w:eastAsia="zh-CN"/>
        </w:rPr>
        <w:t>1</w:t>
      </w:r>
      <w:r>
        <w:rPr>
          <w:rFonts w:hint="default" w:ascii="Times New Roman" w:hAnsi="Times New Roman" w:eastAsia="仿宋_GB2312" w:cs="Times New Roman"/>
          <w:color w:val="auto"/>
          <w:sz w:val="24"/>
        </w:rPr>
        <w:t>个单元进行监测。</w:t>
      </w:r>
      <w:r>
        <w:rPr>
          <w:rFonts w:hint="default" w:ascii="Times New Roman" w:hAnsi="Times New Roman" w:eastAsia="仿宋_GB2312" w:cs="Times New Roman"/>
          <w:bCs/>
          <w:sz w:val="24"/>
          <w:highlight w:val="none"/>
        </w:rPr>
        <w:t>监测内容：包括本底值监测、水土流失自然影响因素监测、扰动土地情况</w:t>
      </w:r>
      <w:r>
        <w:rPr>
          <w:rFonts w:hint="default" w:ascii="Times New Roman" w:hAnsi="Times New Roman" w:eastAsia="仿宋_GB2312" w:cs="Times New Roman"/>
          <w:bCs/>
          <w:sz w:val="24"/>
          <w:highlight w:val="none"/>
          <w:lang w:val="en-US" w:eastAsia="zh-CN"/>
        </w:rPr>
        <w:t>监测</w:t>
      </w:r>
      <w:r>
        <w:rPr>
          <w:rFonts w:hint="default" w:ascii="Times New Roman" w:hAnsi="Times New Roman" w:eastAsia="仿宋_GB2312" w:cs="Times New Roman"/>
          <w:bCs/>
          <w:sz w:val="24"/>
          <w:highlight w:val="none"/>
        </w:rPr>
        <w:t>、水土流失状况</w:t>
      </w:r>
      <w:r>
        <w:rPr>
          <w:rFonts w:hint="default" w:ascii="Times New Roman" w:hAnsi="Times New Roman" w:eastAsia="仿宋_GB2312" w:cs="Times New Roman"/>
          <w:bCs/>
          <w:sz w:val="24"/>
          <w:highlight w:val="none"/>
          <w:lang w:val="en-US" w:eastAsia="zh-CN"/>
        </w:rPr>
        <w:t>监测</w:t>
      </w:r>
      <w:r>
        <w:rPr>
          <w:rFonts w:hint="default" w:ascii="Times New Roman" w:hAnsi="Times New Roman" w:eastAsia="仿宋_GB2312" w:cs="Times New Roman"/>
          <w:bCs/>
          <w:sz w:val="24"/>
          <w:highlight w:val="none"/>
        </w:rPr>
        <w:t>、水土流失防治成效</w:t>
      </w:r>
      <w:r>
        <w:rPr>
          <w:rFonts w:hint="default" w:ascii="Times New Roman" w:hAnsi="Times New Roman" w:eastAsia="仿宋_GB2312" w:cs="Times New Roman"/>
          <w:bCs/>
          <w:sz w:val="24"/>
          <w:highlight w:val="none"/>
          <w:lang w:val="en-US" w:eastAsia="zh-CN"/>
        </w:rPr>
        <w:t>和</w:t>
      </w:r>
      <w:r>
        <w:rPr>
          <w:rFonts w:hint="default" w:ascii="Times New Roman" w:hAnsi="Times New Roman" w:eastAsia="仿宋_GB2312" w:cs="Times New Roman"/>
          <w:bCs/>
          <w:sz w:val="24"/>
          <w:highlight w:val="none"/>
        </w:rPr>
        <w:t>水土流失危害监测等。</w:t>
      </w:r>
    </w:p>
    <w:p>
      <w:pPr>
        <w:pageBreakBefore w:val="0"/>
        <w:kinsoku/>
        <w:wordWrap/>
        <w:bidi w:val="0"/>
        <w:spacing w:line="360" w:lineRule="auto"/>
        <w:ind w:firstLine="480" w:firstLineChars="200"/>
        <w:jc w:val="left"/>
        <w:rPr>
          <w:rFonts w:hint="default" w:ascii="Times New Roman" w:hAnsi="Times New Roman" w:cs="Times New Roman"/>
        </w:rPr>
      </w:pPr>
      <w:r>
        <w:rPr>
          <w:rFonts w:hint="default" w:ascii="Times New Roman" w:hAnsi="Times New Roman" w:eastAsia="仿宋_GB2312" w:cs="Times New Roman"/>
          <w:color w:val="auto"/>
          <w:sz w:val="24"/>
        </w:rPr>
        <w:t>本方案确定项目总的监测时段为</w:t>
      </w:r>
      <w:r>
        <w:rPr>
          <w:rFonts w:hint="eastAsia" w:eastAsia="仿宋_GB2312" w:cs="Times New Roman"/>
          <w:color w:val="auto"/>
          <w:sz w:val="24"/>
          <w:lang w:eastAsia="zh-CN"/>
        </w:rPr>
        <w:t>2023年7月</w:t>
      </w:r>
      <w:r>
        <w:rPr>
          <w:rFonts w:hint="default" w:ascii="Times New Roman" w:hAnsi="Times New Roman" w:eastAsia="仿宋_GB2312" w:cs="Times New Roman"/>
          <w:color w:val="auto"/>
          <w:sz w:val="24"/>
        </w:rPr>
        <w:t>至202</w:t>
      </w:r>
      <w:r>
        <w:rPr>
          <w:rFonts w:hint="eastAsia" w:eastAsia="仿宋_GB2312" w:cs="Times New Roman"/>
          <w:color w:val="auto"/>
          <w:sz w:val="24"/>
          <w:lang w:val="en-US" w:eastAsia="zh-CN"/>
        </w:rPr>
        <w:t>5</w:t>
      </w:r>
      <w:r>
        <w:rPr>
          <w:rFonts w:hint="default" w:ascii="Times New Roman" w:hAnsi="Times New Roman" w:eastAsia="仿宋_GB2312" w:cs="Times New Roman"/>
          <w:color w:val="auto"/>
          <w:sz w:val="24"/>
        </w:rPr>
        <w:t>年12月</w:t>
      </w:r>
      <w:r>
        <w:rPr>
          <w:rFonts w:hint="default" w:ascii="Times New Roman" w:hAnsi="Times New Roman" w:eastAsia="仿宋_GB2312" w:cs="Times New Roman"/>
          <w:bCs/>
          <w:color w:val="auto"/>
          <w:sz w:val="24"/>
        </w:rPr>
        <w:t>水保持监测采用实地调查量测、地面观测及无人机遥感监测相结合的监测方法，根据项目区特点，共设立1个水土保持监测点位</w:t>
      </w:r>
      <w:r>
        <w:rPr>
          <w:rFonts w:hint="default" w:ascii="Times New Roman" w:hAnsi="Times New Roman" w:eastAsia="仿宋_GB2312" w:cs="Times New Roman"/>
          <w:bCs/>
          <w:color w:val="auto"/>
          <w:sz w:val="24"/>
          <w:lang w:eastAsia="zh-CN"/>
        </w:rPr>
        <w:t>。</w:t>
      </w:r>
    </w:p>
    <w:p>
      <w:pPr>
        <w:pStyle w:val="5"/>
        <w:bidi w:val="0"/>
        <w:rPr>
          <w:rFonts w:hint="default" w:ascii="Times New Roman" w:hAnsi="Times New Roman" w:cs="Times New Roman"/>
        </w:rPr>
      </w:pPr>
      <w:bookmarkStart w:id="37" w:name="_Toc387325510"/>
      <w:bookmarkStart w:id="38" w:name="_Toc17503"/>
      <w:bookmarkStart w:id="39" w:name="_Toc5001"/>
      <w:bookmarkStart w:id="40" w:name="_Toc27209"/>
      <w:r>
        <w:rPr>
          <w:rFonts w:hint="default" w:ascii="Times New Roman" w:hAnsi="Times New Roman" w:cs="Times New Roman"/>
        </w:rPr>
        <w:t>1.10水土保持投资及效益分析</w:t>
      </w:r>
      <w:bookmarkEnd w:id="37"/>
      <w:r>
        <w:rPr>
          <w:rFonts w:hint="default" w:ascii="Times New Roman" w:hAnsi="Times New Roman" w:cs="Times New Roman"/>
        </w:rPr>
        <w:t>成果</w:t>
      </w:r>
      <w:bookmarkEnd w:id="38"/>
      <w:bookmarkEnd w:id="39"/>
      <w:bookmarkEnd w:id="40"/>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bookmarkStart w:id="41" w:name="_Toc26973"/>
      <w:bookmarkStart w:id="42" w:name="_Toc387325511"/>
      <w:bookmarkStart w:id="43" w:name="_Toc19869"/>
      <w:r>
        <w:rPr>
          <w:rFonts w:hint="default" w:ascii="Times New Roman" w:hAnsi="Times New Roman" w:eastAsia="仿宋_GB2312" w:cs="Times New Roman"/>
          <w:sz w:val="24"/>
          <w:szCs w:val="24"/>
          <w:highlight w:val="none"/>
        </w:rPr>
        <w:t>水土保持总投资为</w:t>
      </w:r>
      <w:r>
        <w:rPr>
          <w:rFonts w:hint="eastAsia" w:eastAsia="仿宋_GB2312" w:cs="Times New Roman"/>
          <w:sz w:val="24"/>
          <w:szCs w:val="24"/>
          <w:highlight w:val="none"/>
          <w:lang w:eastAsia="zh-CN"/>
        </w:rPr>
        <w:t>842.14</w:t>
      </w:r>
      <w:r>
        <w:rPr>
          <w:rFonts w:hint="default" w:ascii="Times New Roman" w:hAnsi="Times New Roman" w:eastAsia="仿宋_GB2312" w:cs="Times New Roman"/>
          <w:sz w:val="24"/>
          <w:szCs w:val="24"/>
          <w:highlight w:val="none"/>
        </w:rPr>
        <w:t>万元，其中：工程措施投资</w:t>
      </w:r>
      <w:r>
        <w:rPr>
          <w:rFonts w:hint="eastAsia" w:eastAsia="仿宋_GB2312" w:cs="Times New Roman"/>
          <w:sz w:val="24"/>
          <w:szCs w:val="24"/>
          <w:highlight w:val="none"/>
          <w:lang w:eastAsia="zh-CN"/>
        </w:rPr>
        <w:t>285.61</w:t>
      </w:r>
      <w:r>
        <w:rPr>
          <w:rFonts w:hint="default" w:ascii="Times New Roman" w:hAnsi="Times New Roman" w:eastAsia="仿宋_GB2312" w:cs="Times New Roman"/>
          <w:sz w:val="24"/>
          <w:szCs w:val="24"/>
          <w:highlight w:val="none"/>
        </w:rPr>
        <w:t>万元、植物措施投资</w:t>
      </w:r>
      <w:r>
        <w:rPr>
          <w:rFonts w:hint="eastAsia" w:eastAsia="仿宋_GB2312" w:cs="Times New Roman"/>
          <w:sz w:val="24"/>
          <w:szCs w:val="24"/>
          <w:highlight w:val="none"/>
          <w:lang w:eastAsia="zh-CN"/>
        </w:rPr>
        <w:t>479.20</w:t>
      </w:r>
      <w:r>
        <w:rPr>
          <w:rFonts w:hint="default" w:ascii="Times New Roman" w:hAnsi="Times New Roman" w:eastAsia="仿宋_GB2312" w:cs="Times New Roman"/>
          <w:sz w:val="24"/>
          <w:szCs w:val="24"/>
          <w:highlight w:val="none"/>
        </w:rPr>
        <w:t>万元、临时措施投资</w:t>
      </w:r>
      <w:r>
        <w:rPr>
          <w:rFonts w:hint="eastAsia" w:eastAsia="仿宋_GB2312" w:cs="Times New Roman"/>
          <w:sz w:val="24"/>
          <w:szCs w:val="24"/>
          <w:highlight w:val="none"/>
          <w:lang w:val="en-US" w:eastAsia="zh-CN"/>
        </w:rPr>
        <w:t>3.34</w:t>
      </w:r>
      <w:r>
        <w:rPr>
          <w:rFonts w:hint="default" w:ascii="Times New Roman" w:hAnsi="Times New Roman" w:eastAsia="仿宋_GB2312" w:cs="Times New Roman"/>
          <w:sz w:val="24"/>
          <w:szCs w:val="24"/>
          <w:highlight w:val="none"/>
        </w:rPr>
        <w:t>万元、独立费用</w:t>
      </w:r>
      <w:r>
        <w:rPr>
          <w:rFonts w:hint="eastAsia" w:eastAsia="仿宋_GB2312" w:cs="Times New Roman"/>
          <w:sz w:val="24"/>
          <w:szCs w:val="24"/>
          <w:highlight w:val="none"/>
          <w:lang w:val="en-US" w:eastAsia="zh-CN"/>
        </w:rPr>
        <w:t>69.67</w:t>
      </w:r>
      <w:r>
        <w:rPr>
          <w:rFonts w:hint="default" w:ascii="Times New Roman" w:hAnsi="Times New Roman" w:eastAsia="仿宋_GB2312" w:cs="Times New Roman"/>
          <w:sz w:val="24"/>
          <w:szCs w:val="24"/>
          <w:highlight w:val="none"/>
        </w:rPr>
        <w:t>万元（其中建设管理费</w:t>
      </w:r>
      <w:r>
        <w:rPr>
          <w:rFonts w:hint="eastAsia" w:eastAsia="仿宋_GB2312" w:cs="Times New Roman"/>
          <w:sz w:val="24"/>
          <w:szCs w:val="24"/>
          <w:highlight w:val="none"/>
          <w:lang w:val="en-US" w:eastAsia="zh-CN"/>
        </w:rPr>
        <w:t>0.05</w:t>
      </w:r>
      <w:r>
        <w:rPr>
          <w:rFonts w:hint="default" w:ascii="Times New Roman" w:hAnsi="Times New Roman" w:eastAsia="仿宋_GB2312" w:cs="Times New Roman"/>
          <w:sz w:val="24"/>
          <w:szCs w:val="24"/>
          <w:highlight w:val="none"/>
        </w:rPr>
        <w:t>万元、水土保持监理费</w:t>
      </w:r>
      <w:r>
        <w:rPr>
          <w:rFonts w:hint="eastAsia" w:eastAsia="仿宋_GB2312" w:cs="Times New Roman"/>
          <w:sz w:val="24"/>
          <w:szCs w:val="24"/>
          <w:highlight w:val="none"/>
          <w:lang w:val="en-US" w:eastAsia="zh-CN"/>
        </w:rPr>
        <w:t>16</w:t>
      </w:r>
      <w:r>
        <w:rPr>
          <w:rFonts w:hint="default" w:ascii="Times New Roman" w:hAnsi="Times New Roman" w:eastAsia="仿宋_GB2312" w:cs="Times New Roman"/>
          <w:sz w:val="24"/>
          <w:szCs w:val="24"/>
          <w:highlight w:val="none"/>
        </w:rPr>
        <w:t>万元、水土保持监测费</w:t>
      </w:r>
      <w:r>
        <w:rPr>
          <w:rFonts w:hint="eastAsia" w:eastAsia="仿宋_GB2312" w:cs="Times New Roman"/>
          <w:sz w:val="24"/>
          <w:szCs w:val="24"/>
          <w:highlight w:val="none"/>
          <w:lang w:val="en-US" w:eastAsia="zh-CN"/>
        </w:rPr>
        <w:t>15.62</w:t>
      </w:r>
      <w:r>
        <w:rPr>
          <w:rFonts w:hint="default" w:ascii="Times New Roman" w:hAnsi="Times New Roman" w:eastAsia="仿宋_GB2312" w:cs="Times New Roman"/>
          <w:sz w:val="24"/>
          <w:szCs w:val="24"/>
          <w:highlight w:val="none"/>
        </w:rPr>
        <w:t>万元、科研勘测设计费</w:t>
      </w:r>
      <w:r>
        <w:rPr>
          <w:rFonts w:hint="eastAsia" w:eastAsia="仿宋_GB2312" w:cs="Times New Roman"/>
          <w:sz w:val="24"/>
          <w:szCs w:val="24"/>
          <w:highlight w:val="none"/>
          <w:lang w:val="en-US" w:eastAsia="zh-CN"/>
        </w:rPr>
        <w:t>20</w:t>
      </w:r>
      <w:r>
        <w:rPr>
          <w:rFonts w:hint="default" w:ascii="Times New Roman" w:hAnsi="Times New Roman" w:eastAsia="仿宋_GB2312" w:cs="Times New Roman"/>
          <w:sz w:val="24"/>
          <w:szCs w:val="24"/>
          <w:highlight w:val="none"/>
        </w:rPr>
        <w:t>万元、水土保持设施验收费</w:t>
      </w:r>
      <w:r>
        <w:rPr>
          <w:rFonts w:hint="eastAsia" w:eastAsia="仿宋_GB2312" w:cs="Times New Roman"/>
          <w:sz w:val="24"/>
          <w:szCs w:val="24"/>
          <w:highlight w:val="none"/>
          <w:lang w:val="en-US" w:eastAsia="zh-CN"/>
        </w:rPr>
        <w:t>18</w:t>
      </w:r>
      <w:r>
        <w:rPr>
          <w:rFonts w:hint="default" w:ascii="Times New Roman" w:hAnsi="Times New Roman" w:eastAsia="仿宋_GB2312" w:cs="Times New Roman"/>
          <w:sz w:val="24"/>
          <w:szCs w:val="24"/>
          <w:highlight w:val="none"/>
        </w:rPr>
        <w:t>万元）、基本预备费</w:t>
      </w:r>
      <w:r>
        <w:rPr>
          <w:rFonts w:hint="eastAsia" w:eastAsia="仿宋_GB2312" w:cs="Times New Roman"/>
          <w:sz w:val="24"/>
          <w:szCs w:val="24"/>
          <w:highlight w:val="none"/>
          <w:lang w:val="en-US" w:eastAsia="zh-CN"/>
        </w:rPr>
        <w:t>4.33</w:t>
      </w:r>
      <w:r>
        <w:rPr>
          <w:rFonts w:hint="default" w:ascii="Times New Roman" w:hAnsi="Times New Roman" w:eastAsia="仿宋_GB2312" w:cs="Times New Roman"/>
          <w:sz w:val="24"/>
          <w:szCs w:val="24"/>
          <w:highlight w:val="none"/>
        </w:rPr>
        <w:t>万元</w:t>
      </w:r>
      <w:r>
        <w:rPr>
          <w:rFonts w:hint="eastAsia" w:eastAsia="仿宋_GB2312" w:cs="Times New Roman"/>
          <w:sz w:val="24"/>
          <w:szCs w:val="24"/>
          <w:highlight w:val="none"/>
          <w:lang w:eastAsia="zh-CN"/>
        </w:rPr>
        <w:t>。</w:t>
      </w:r>
      <w:r>
        <w:rPr>
          <w:rFonts w:hint="eastAsia" w:eastAsia="仿宋_GB2312" w:cs="Times New Roman"/>
          <w:sz w:val="24"/>
          <w:szCs w:val="24"/>
          <w:highlight w:val="none"/>
          <w:lang w:val="en-US" w:eastAsia="zh-CN"/>
        </w:rPr>
        <w:t>在《</w:t>
      </w:r>
      <w:r>
        <w:rPr>
          <w:rFonts w:hint="default" w:ascii="Times New Roman" w:hAnsi="Times New Roman" w:eastAsia="仿宋_GB2312" w:cs="Times New Roman"/>
          <w:snapToGrid w:val="0"/>
          <w:kern w:val="0"/>
          <w:sz w:val="24"/>
          <w:highlight w:val="none"/>
          <w:lang w:eastAsia="zh-CN"/>
        </w:rPr>
        <w:t>长春国际物流经济开发区新兴建材产业园区建设项目水土保持方案报告书</w:t>
      </w:r>
      <w:r>
        <w:rPr>
          <w:rFonts w:hint="eastAsia" w:eastAsia="仿宋_GB2312" w:cs="Times New Roman"/>
          <w:sz w:val="24"/>
          <w:szCs w:val="24"/>
          <w:highlight w:val="none"/>
          <w:lang w:val="en-US" w:eastAsia="zh-CN"/>
        </w:rPr>
        <w:t>》中已计列B地块水土保持补偿费，并按要求</w:t>
      </w:r>
      <w:r>
        <w:rPr>
          <w:rFonts w:hint="default" w:ascii="Times New Roman" w:hAnsi="Times New Roman" w:eastAsia="仿宋_GB2312" w:cs="Times New Roman"/>
          <w:color w:val="auto"/>
          <w:sz w:val="24"/>
          <w:szCs w:val="24"/>
          <w:lang w:val="en-US" w:eastAsia="zh-CN"/>
        </w:rPr>
        <w:t>一次性缴纳完整项目的水土保持补偿费</w:t>
      </w:r>
      <w:r>
        <w:rPr>
          <w:rFonts w:hint="eastAsia" w:ascii="Times New Roman" w:hAnsi="Times New Roman" w:eastAsia="仿宋_GB2312" w:cs="Times New Roman"/>
          <w:color w:val="auto"/>
          <w:sz w:val="24"/>
          <w:szCs w:val="24"/>
          <w:lang w:val="en-US" w:eastAsia="zh-CN"/>
        </w:rPr>
        <w:t>，故本方案不再重复计列</w:t>
      </w:r>
      <w:r>
        <w:rPr>
          <w:rFonts w:hint="default" w:ascii="Times New Roman" w:hAnsi="Times New Roman" w:eastAsia="仿宋_GB2312" w:cs="Times New Roman"/>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lang w:val="en-US" w:eastAsia="zh-CN"/>
        </w:rPr>
        <w:t>本期工程占地面积</w:t>
      </w:r>
      <w:r>
        <w:rPr>
          <w:rFonts w:hint="eastAsia" w:eastAsia="仿宋_GB2312" w:cs="Times New Roman"/>
          <w:sz w:val="24"/>
          <w:szCs w:val="24"/>
          <w:highlight w:val="none"/>
          <w:lang w:eastAsia="zh-CN"/>
        </w:rPr>
        <w:t>19.98</w:t>
      </w:r>
      <w:r>
        <w:rPr>
          <w:rFonts w:hint="default" w:ascii="Times New Roman" w:hAnsi="Times New Roman" w:eastAsia="仿宋_GB2312" w:cs="Times New Roman"/>
          <w:sz w:val="24"/>
          <w:szCs w:val="24"/>
          <w:highlight w:val="none"/>
        </w:rPr>
        <w:t>hm²，</w:t>
      </w:r>
      <w:r>
        <w:rPr>
          <w:rFonts w:hint="default" w:ascii="Times New Roman" w:hAnsi="Times New Roman" w:eastAsia="仿宋_GB2312" w:cs="Times New Roman"/>
          <w:sz w:val="24"/>
          <w:szCs w:val="24"/>
          <w:highlight w:val="none"/>
          <w:lang w:val="en-US" w:eastAsia="zh-CN"/>
        </w:rPr>
        <w:t>本期工程建设共</w:t>
      </w:r>
      <w:r>
        <w:rPr>
          <w:rFonts w:hint="default" w:ascii="Times New Roman" w:hAnsi="Times New Roman" w:eastAsia="仿宋_GB2312" w:cs="Times New Roman"/>
          <w:sz w:val="24"/>
          <w:szCs w:val="24"/>
          <w:highlight w:val="none"/>
        </w:rPr>
        <w:t>扰动</w:t>
      </w:r>
      <w:r>
        <w:rPr>
          <w:rFonts w:hint="default" w:ascii="Times New Roman" w:hAnsi="Times New Roman" w:eastAsia="仿宋_GB2312" w:cs="Times New Roman"/>
          <w:sz w:val="24"/>
          <w:szCs w:val="24"/>
          <w:highlight w:val="none"/>
          <w:lang w:val="en-US" w:eastAsia="zh-CN"/>
        </w:rPr>
        <w:t>地表</w:t>
      </w:r>
      <w:r>
        <w:rPr>
          <w:rFonts w:hint="default" w:ascii="Times New Roman" w:hAnsi="Times New Roman" w:eastAsia="仿宋_GB2312" w:cs="Times New Roman"/>
          <w:sz w:val="24"/>
          <w:szCs w:val="24"/>
          <w:highlight w:val="none"/>
        </w:rPr>
        <w:t>面积为</w:t>
      </w:r>
      <w:r>
        <w:rPr>
          <w:rFonts w:hint="eastAsia" w:eastAsia="仿宋_GB2312" w:cs="Times New Roman"/>
          <w:sz w:val="24"/>
          <w:szCs w:val="24"/>
          <w:highlight w:val="none"/>
          <w:lang w:eastAsia="zh-CN"/>
        </w:rPr>
        <w:t>19.98</w:t>
      </w:r>
      <w:r>
        <w:rPr>
          <w:rFonts w:hint="default" w:ascii="Times New Roman" w:hAnsi="Times New Roman" w:eastAsia="仿宋_GB2312" w:cs="Times New Roman"/>
          <w:sz w:val="24"/>
          <w:szCs w:val="24"/>
          <w:highlight w:val="none"/>
        </w:rPr>
        <w:t>hm²，</w:t>
      </w:r>
      <w:r>
        <w:rPr>
          <w:rFonts w:hint="default" w:ascii="Times New Roman" w:hAnsi="Times New Roman" w:eastAsia="仿宋_GB2312" w:cs="Times New Roman"/>
          <w:sz w:val="24"/>
          <w:szCs w:val="24"/>
          <w:highlight w:val="none"/>
          <w:lang w:val="en-US" w:eastAsia="zh-CN"/>
        </w:rPr>
        <w:t>设计水平面达标的</w:t>
      </w:r>
      <w:r>
        <w:rPr>
          <w:rFonts w:hint="default" w:ascii="Times New Roman" w:hAnsi="Times New Roman" w:eastAsia="仿宋_GB2312" w:cs="Times New Roman"/>
          <w:sz w:val="24"/>
          <w:szCs w:val="24"/>
          <w:highlight w:val="none"/>
        </w:rPr>
        <w:t>水土流失</w:t>
      </w:r>
      <w:r>
        <w:rPr>
          <w:rFonts w:hint="eastAsia" w:eastAsia="仿宋_GB2312" w:cs="Times New Roman"/>
          <w:sz w:val="24"/>
          <w:szCs w:val="24"/>
          <w:highlight w:val="none"/>
          <w:lang w:val="en-US" w:eastAsia="zh-CN"/>
        </w:rPr>
        <w:t>治理</w:t>
      </w:r>
      <w:r>
        <w:rPr>
          <w:rFonts w:hint="default" w:ascii="Times New Roman" w:hAnsi="Times New Roman" w:eastAsia="仿宋_GB2312" w:cs="Times New Roman"/>
          <w:sz w:val="24"/>
          <w:szCs w:val="24"/>
          <w:highlight w:val="none"/>
        </w:rPr>
        <w:t>面积为</w:t>
      </w:r>
      <w:r>
        <w:rPr>
          <w:rFonts w:hint="eastAsia" w:eastAsia="仿宋_GB2312" w:cs="Times New Roman"/>
          <w:sz w:val="24"/>
          <w:szCs w:val="24"/>
          <w:highlight w:val="none"/>
          <w:lang w:val="en-US" w:eastAsia="zh-CN"/>
        </w:rPr>
        <w:t>19.78</w:t>
      </w:r>
      <w:r>
        <w:rPr>
          <w:rFonts w:hint="default" w:ascii="Times New Roman" w:hAnsi="Times New Roman" w:eastAsia="仿宋_GB2312" w:cs="Times New Roman"/>
          <w:sz w:val="24"/>
          <w:szCs w:val="24"/>
          <w:highlight w:val="none"/>
        </w:rPr>
        <w:t>hm²</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highlight w:val="none"/>
        </w:rPr>
        <w:t>可恢复林草植被面积</w:t>
      </w:r>
      <w:r>
        <w:rPr>
          <w:rFonts w:hint="eastAsia" w:eastAsia="仿宋_GB2312" w:cs="Times New Roman"/>
          <w:sz w:val="24"/>
          <w:highlight w:val="none"/>
          <w:lang w:val="en-US" w:eastAsia="zh-CN"/>
        </w:rPr>
        <w:t>3.99</w:t>
      </w:r>
      <w:r>
        <w:rPr>
          <w:rFonts w:hint="default" w:ascii="Times New Roman" w:hAnsi="Times New Roman" w:eastAsia="仿宋_GB2312" w:cs="Times New Roman"/>
          <w:sz w:val="24"/>
          <w:highlight w:val="none"/>
        </w:rPr>
        <w:t>hm</w:t>
      </w:r>
      <w:r>
        <w:rPr>
          <w:rFonts w:hint="default" w:ascii="Times New Roman" w:hAnsi="Times New Roman" w:eastAsia="仿宋_GB2312" w:cs="Times New Roman"/>
          <w:sz w:val="24"/>
          <w:highlight w:val="none"/>
          <w:vertAlign w:val="superscript"/>
        </w:rPr>
        <w:t>2</w:t>
      </w:r>
      <w:r>
        <w:rPr>
          <w:rFonts w:hint="default" w:ascii="Times New Roman" w:hAnsi="Times New Roman" w:eastAsia="仿宋_GB2312" w:cs="Times New Roman"/>
          <w:sz w:val="24"/>
          <w:highlight w:val="none"/>
        </w:rPr>
        <w:t>，林草植被面积</w:t>
      </w:r>
      <w:r>
        <w:rPr>
          <w:rFonts w:hint="eastAsia" w:eastAsia="仿宋_GB2312" w:cs="Times New Roman"/>
          <w:sz w:val="24"/>
          <w:highlight w:val="none"/>
          <w:lang w:val="en-US" w:eastAsia="zh-CN"/>
        </w:rPr>
        <w:t>3.95</w:t>
      </w:r>
      <w:r>
        <w:rPr>
          <w:rFonts w:hint="default" w:ascii="Times New Roman" w:hAnsi="Times New Roman" w:eastAsia="仿宋_GB2312" w:cs="Times New Roman"/>
          <w:sz w:val="24"/>
          <w:highlight w:val="none"/>
        </w:rPr>
        <w:t>hm</w:t>
      </w:r>
      <w:r>
        <w:rPr>
          <w:rFonts w:hint="default" w:ascii="Times New Roman" w:hAnsi="Times New Roman" w:eastAsia="仿宋_GB2312" w:cs="Times New Roman"/>
          <w:sz w:val="24"/>
          <w:highlight w:val="none"/>
          <w:vertAlign w:val="superscript"/>
        </w:rPr>
        <w:t>2</w:t>
      </w:r>
      <w:r>
        <w:rPr>
          <w:rFonts w:hint="default" w:ascii="Times New Roman" w:hAnsi="Times New Roman" w:eastAsia="仿宋_GB2312" w:cs="Times New Roman"/>
          <w:sz w:val="24"/>
          <w:szCs w:val="24"/>
          <w:highlight w:val="none"/>
        </w:rPr>
        <w:t>。</w:t>
      </w:r>
      <w:r>
        <w:rPr>
          <w:rFonts w:hint="default" w:ascii="Times New Roman" w:hAnsi="Times New Roman" w:eastAsia="仿宋_GB2312" w:cs="Times New Roman"/>
          <w:sz w:val="24"/>
          <w:szCs w:val="24"/>
          <w:highlight w:val="none"/>
          <w:lang w:val="en-US" w:eastAsia="zh-CN"/>
        </w:rPr>
        <w:t>水土保持方案实施后，</w:t>
      </w:r>
      <w:r>
        <w:rPr>
          <w:rFonts w:hint="default" w:ascii="Times New Roman" w:hAnsi="Times New Roman" w:eastAsia="仿宋_GB2312" w:cs="Times New Roman"/>
          <w:sz w:val="24"/>
          <w:szCs w:val="24"/>
          <w:highlight w:val="none"/>
        </w:rPr>
        <w:t>减少水土流失量</w:t>
      </w:r>
      <w:r>
        <w:rPr>
          <w:rFonts w:hint="eastAsia" w:eastAsia="仿宋_GB2312" w:cs="Times New Roman"/>
          <w:sz w:val="24"/>
          <w:szCs w:val="24"/>
          <w:highlight w:val="none"/>
          <w:lang w:eastAsia="zh-CN"/>
        </w:rPr>
        <w:t>1101.10</w:t>
      </w:r>
      <w:r>
        <w:rPr>
          <w:rFonts w:hint="default" w:ascii="Times New Roman" w:hAnsi="Times New Roman" w:eastAsia="仿宋_GB2312" w:cs="Times New Roman"/>
          <w:sz w:val="24"/>
          <w:szCs w:val="24"/>
          <w:highlight w:val="none"/>
        </w:rPr>
        <w:t>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通过实施本方案，</w:t>
      </w:r>
      <w:r>
        <w:rPr>
          <w:rFonts w:hint="eastAsia" w:eastAsia="仿宋_GB2312" w:cs="Times New Roman"/>
          <w:sz w:val="24"/>
          <w:szCs w:val="24"/>
          <w:highlight w:val="none"/>
          <w:lang w:val="en-US" w:eastAsia="zh-CN"/>
        </w:rPr>
        <w:t>项目水土流失</w:t>
      </w:r>
      <w:r>
        <w:rPr>
          <w:rFonts w:hint="default" w:ascii="Times New Roman" w:hAnsi="Times New Roman" w:eastAsia="仿宋_GB2312" w:cs="Times New Roman"/>
          <w:sz w:val="24"/>
          <w:szCs w:val="24"/>
          <w:highlight w:val="none"/>
          <w:lang w:val="en-US" w:eastAsia="zh-CN"/>
        </w:rPr>
        <w:t>防治责任范围内水土流失治理度为99%；土壤流失</w:t>
      </w:r>
      <w:r>
        <w:rPr>
          <w:rFonts w:hint="default" w:ascii="Times New Roman" w:hAnsi="Times New Roman" w:eastAsia="仿宋_GB2312" w:cs="Times New Roman"/>
          <w:sz w:val="24"/>
          <w:szCs w:val="24"/>
          <w:highlight w:val="none"/>
          <w:lang w:val="en-US" w:eastAsia="zh-CN"/>
        </w:rPr>
        <mc:AlternateContent>
          <mc:Choice Requires="wps">
            <w:drawing>
              <wp:anchor distT="0" distB="0" distL="114300" distR="114300" simplePos="0" relativeHeight="251678720" behindDoc="0" locked="0" layoutInCell="0" allowOverlap="1">
                <wp:simplePos x="0" y="0"/>
                <wp:positionH relativeFrom="page">
                  <wp:posOffset>1141095</wp:posOffset>
                </wp:positionH>
                <wp:positionV relativeFrom="page">
                  <wp:posOffset>715010</wp:posOffset>
                </wp:positionV>
                <wp:extent cx="5278755" cy="9525"/>
                <wp:effectExtent l="0" t="0" r="0" b="0"/>
                <wp:wrapNone/>
                <wp:docPr id="77" name="任意多边形 815"/>
                <wp:cNvGraphicFramePr/>
                <a:graphic xmlns:a="http://schemas.openxmlformats.org/drawingml/2006/main">
                  <a:graphicData uri="http://schemas.microsoft.com/office/word/2010/wordprocessingShape">
                    <wps:wsp>
                      <wps:cNvSpPr/>
                      <wps:spPr>
                        <a:xfrm>
                          <a:off x="0" y="0"/>
                          <a:ext cx="5278755" cy="9525"/>
                        </a:xfrm>
                        <a:custGeom>
                          <a:avLst/>
                          <a:gdLst/>
                          <a:ahLst/>
                          <a:cxnLst/>
                          <a:pathLst>
                            <a:path w="8312" h="15">
                              <a:moveTo>
                                <a:pt x="0" y="0"/>
                              </a:moveTo>
                              <a:lnTo>
                                <a:pt x="8312" y="0"/>
                              </a:lnTo>
                              <a:lnTo>
                                <a:pt x="8312" y="14"/>
                              </a:lnTo>
                              <a:lnTo>
                                <a:pt x="0" y="14"/>
                              </a:lnTo>
                              <a:lnTo>
                                <a:pt x="0" y="0"/>
                              </a:lnTo>
                              <a:close/>
                            </a:path>
                          </a:pathLst>
                        </a:custGeom>
                        <a:solidFill>
                          <a:srgbClr val="000000"/>
                        </a:solidFill>
                        <a:ln>
                          <a:noFill/>
                        </a:ln>
                      </wps:spPr>
                      <wps:bodyPr wrap="square" upright="1"/>
                    </wps:wsp>
                  </a:graphicData>
                </a:graphic>
              </wp:anchor>
            </w:drawing>
          </mc:Choice>
          <mc:Fallback>
            <w:pict>
              <v:shape id="任意多边形 815" o:spid="_x0000_s1026" o:spt="100" style="position:absolute;left:0pt;margin-left:89.85pt;margin-top:56.3pt;height:0.75pt;width:415.65pt;mso-position-horizontal-relative:page;mso-position-vertical-relative:page;z-index:251678720;mso-width-relative:page;mso-height-relative:page;" fillcolor="#000000" filled="t" stroked="f" coordsize="8312,15" o:allowincell="f" o:gfxdata="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ME95odkAAAAM&#10;AQAADwAAAAAAAAABACAAAAAiAAAAZHJzL2Rvd25yZXYueG1sUEsBAhQAFAAAAAgAh07iQD7IL6cb&#10;AgAAjAQAAA4AAAAAAAAAAQAgAAAAKAEAAGRycy9lMm9Eb2MueG1sUEsFBgAAAAAGAAYAWQEAALUF&#10;AAAAAA==&#10;" path="m0,0l8312,0,8312,14,0,14,0,0xe">
                <v:fill on="t" focussize="0,0"/>
                <v:stroke on="f"/>
                <v:imagedata o:title=""/>
                <o:lock v:ext="edit" aspectratio="f"/>
              </v:shape>
            </w:pict>
          </mc:Fallback>
        </mc:AlternateContent>
      </w:r>
      <w:r>
        <w:rPr>
          <w:rFonts w:hint="default" w:ascii="Times New Roman" w:hAnsi="Times New Roman" w:eastAsia="仿宋_GB2312" w:cs="Times New Roman"/>
          <w:sz w:val="24"/>
          <w:szCs w:val="24"/>
          <w:highlight w:val="none"/>
          <w:lang w:val="en-US" w:eastAsia="zh-CN"/>
        </w:rPr>
        <w:t>控制比为1.0；林草植被恢复率为98</w:t>
      </w:r>
      <w:r>
        <w:rPr>
          <w:rFonts w:hint="eastAsia" w:eastAsia="仿宋_GB2312" w:cs="Times New Roman"/>
          <w:sz w:val="24"/>
          <w:szCs w:val="24"/>
          <w:highlight w:val="none"/>
          <w:lang w:val="en-US" w:eastAsia="zh-CN"/>
        </w:rPr>
        <w:t>.57</w:t>
      </w:r>
      <w:r>
        <w:rPr>
          <w:rFonts w:hint="default" w:ascii="Times New Roman" w:hAnsi="Times New Roman" w:eastAsia="仿宋_GB2312" w:cs="Times New Roman"/>
          <w:sz w:val="24"/>
          <w:szCs w:val="24"/>
          <w:highlight w:val="none"/>
          <w:lang w:val="en-US" w:eastAsia="zh-CN"/>
        </w:rPr>
        <w:t>%；</w:t>
      </w:r>
      <w:r>
        <w:rPr>
          <w:rFonts w:hint="default" w:ascii="Times New Roman" w:hAnsi="Times New Roman" w:eastAsia="仿宋_GB2312" w:cs="Times New Roman"/>
          <w:sz w:val="24"/>
          <w:szCs w:val="28"/>
          <w:highlight w:val="none"/>
        </w:rPr>
        <w:t>渣土防护率达到</w:t>
      </w:r>
      <w:r>
        <w:rPr>
          <w:rFonts w:hint="default" w:ascii="Times New Roman" w:hAnsi="Times New Roman" w:eastAsia="仿宋_GB2312" w:cs="Times New Roman"/>
          <w:sz w:val="24"/>
          <w:szCs w:val="28"/>
          <w:highlight w:val="none"/>
          <w:lang w:val="en-US" w:eastAsia="zh-CN"/>
        </w:rPr>
        <w:t>98</w:t>
      </w:r>
      <w:r>
        <w:rPr>
          <w:rFonts w:hint="default" w:ascii="Times New Roman" w:hAnsi="Times New Roman" w:eastAsia="仿宋_GB2312" w:cs="Times New Roman"/>
          <w:sz w:val="24"/>
          <w:szCs w:val="28"/>
          <w:highlight w:val="none"/>
        </w:rPr>
        <w:t>%，</w:t>
      </w:r>
      <w:r>
        <w:rPr>
          <w:rFonts w:hint="default" w:ascii="Times New Roman" w:hAnsi="Times New Roman" w:eastAsia="仿宋_GB2312" w:cs="Times New Roman"/>
          <w:sz w:val="24"/>
          <w:szCs w:val="24"/>
          <w:highlight w:val="none"/>
          <w:lang w:val="en-US" w:eastAsia="zh-CN"/>
        </w:rPr>
        <w:t>林草覆盖率为19</w:t>
      </w:r>
      <w:r>
        <w:rPr>
          <w:rFonts w:hint="eastAsia" w:eastAsia="仿宋_GB2312" w:cs="Times New Roman"/>
          <w:sz w:val="24"/>
          <w:szCs w:val="24"/>
          <w:highlight w:val="none"/>
          <w:lang w:val="en-US" w:eastAsia="zh-CN"/>
        </w:rPr>
        <w:t>.77</w:t>
      </w:r>
      <w:r>
        <w:rPr>
          <w:rFonts w:hint="default" w:ascii="Times New Roman" w:hAnsi="Times New Roman" w:eastAsia="仿宋_GB2312" w:cs="Times New Roman"/>
          <w:sz w:val="24"/>
          <w:szCs w:val="24"/>
          <w:highlight w:val="none"/>
          <w:lang w:val="en-US" w:eastAsia="zh-CN"/>
        </w:rPr>
        <w:t>%</w:t>
      </w:r>
      <w:r>
        <w:rPr>
          <w:rFonts w:hint="eastAsia" w:eastAsia="仿宋_GB2312" w:cs="Times New Roman"/>
          <w:sz w:val="24"/>
          <w:szCs w:val="24"/>
          <w:highlight w:val="none"/>
          <w:lang w:val="en-US" w:eastAsia="zh-CN"/>
        </w:rPr>
        <w:t>，</w:t>
      </w:r>
      <w:r>
        <w:rPr>
          <w:rFonts w:hint="default" w:ascii="Times New Roman" w:hAnsi="Times New Roman" w:eastAsia="仿宋_GB2312" w:cs="Times New Roman"/>
          <w:sz w:val="24"/>
          <w:szCs w:val="24"/>
          <w:highlight w:val="none"/>
          <w:lang w:val="en-US" w:eastAsia="zh-CN"/>
        </w:rPr>
        <w:t>均达到防治目标的要求。</w:t>
      </w:r>
    </w:p>
    <w:p>
      <w:pPr>
        <w:pStyle w:val="5"/>
        <w:bidi w:val="0"/>
        <w:rPr>
          <w:rFonts w:hint="default" w:ascii="Times New Roman" w:hAnsi="Times New Roman" w:cs="Times New Roman"/>
        </w:rPr>
      </w:pPr>
      <w:bookmarkStart w:id="44" w:name="_Toc951"/>
      <w:r>
        <w:rPr>
          <w:rFonts w:hint="default" w:ascii="Times New Roman" w:hAnsi="Times New Roman" w:cs="Times New Roman"/>
        </w:rPr>
        <w:t>1.11结论</w:t>
      </w:r>
      <w:bookmarkEnd w:id="41"/>
      <w:bookmarkEnd w:id="42"/>
      <w:bookmarkEnd w:id="43"/>
      <w:bookmarkEnd w:id="44"/>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通过水土保持的分析论证，</w:t>
      </w:r>
      <w:r>
        <w:rPr>
          <w:rFonts w:hint="default" w:ascii="Times New Roman" w:hAnsi="Times New Roman" w:eastAsia="仿宋_GB2312" w:cs="Times New Roman"/>
          <w:sz w:val="24"/>
          <w:szCs w:val="24"/>
          <w:highlight w:val="none"/>
          <w:lang w:eastAsia="zh-CN"/>
        </w:rPr>
        <w:t>本期工程</w:t>
      </w:r>
      <w:r>
        <w:rPr>
          <w:rFonts w:hint="default" w:ascii="Times New Roman" w:hAnsi="Times New Roman" w:eastAsia="仿宋_GB2312" w:cs="Times New Roman"/>
          <w:sz w:val="24"/>
          <w:szCs w:val="24"/>
          <w:highlight w:val="none"/>
        </w:rPr>
        <w:t>在工程选址（线）、建设方案符合水土保持相关要求，建设和运行过程中建设单位实施一系列的水土保持措施后，能有效防止新增水土流失，实现项目区环境的恢复和改善。从水土保持角度分析，项目建设是可行的。工程建设过程中从水土保持的角度就工程设计、施工和建设管理提出如下要求：</w:t>
      </w:r>
    </w:p>
    <w:p>
      <w:pPr>
        <w:spacing w:line="360" w:lineRule="auto"/>
        <w:ind w:firstLine="482"/>
        <w:rPr>
          <w:rFonts w:hint="eastAsia" w:ascii="Times New Roman" w:hAnsi="Times New Roman" w:eastAsia="仿宋_GB2312" w:cs="Times New Roman"/>
          <w:bCs/>
          <w:sz w:val="24"/>
          <w:szCs w:val="24"/>
          <w:highlight w:val="none"/>
        </w:rPr>
      </w:pPr>
      <w:r>
        <w:rPr>
          <w:rFonts w:hint="default" w:ascii="Times New Roman" w:hAnsi="Times New Roman" w:eastAsia="仿宋_GB2312" w:cs="Times New Roman"/>
          <w:sz w:val="24"/>
          <w:szCs w:val="24"/>
          <w:highlight w:val="none"/>
        </w:rPr>
        <w:t>（1）</w:t>
      </w:r>
      <w:r>
        <w:rPr>
          <w:rFonts w:hint="eastAsia" w:ascii="Times New Roman" w:hAnsi="Times New Roman" w:eastAsia="仿宋_GB2312" w:cs="Times New Roman"/>
          <w:bCs/>
          <w:sz w:val="24"/>
          <w:szCs w:val="24"/>
          <w:highlight w:val="none"/>
        </w:rPr>
        <w:t>建设单位应当严格落实人为水土流失防治的主体责任，在项目建设中全面落实《中华人民共和国水土保持法》《中华人民共和国黑土地保护法》等规定要求，及时</w:t>
      </w:r>
      <w:r>
        <w:rPr>
          <w:rFonts w:hint="eastAsia" w:ascii="Times New Roman" w:hAnsi="Times New Roman" w:eastAsia="仿宋_GB2312" w:cs="Times New Roman"/>
          <w:bCs/>
          <w:sz w:val="24"/>
          <w:szCs w:val="24"/>
          <w:highlight w:val="none"/>
          <w:lang w:val="en-US" w:eastAsia="zh-CN"/>
        </w:rPr>
        <w:t>足额</w:t>
      </w:r>
      <w:r>
        <w:rPr>
          <w:rFonts w:hint="eastAsia" w:ascii="Times New Roman" w:hAnsi="Times New Roman" w:eastAsia="仿宋_GB2312" w:cs="Times New Roman"/>
          <w:bCs/>
          <w:sz w:val="24"/>
          <w:szCs w:val="24"/>
          <w:highlight w:val="none"/>
        </w:rPr>
        <w:t>缴纳水土保持补偿费</w:t>
      </w:r>
      <w:r>
        <w:rPr>
          <w:rFonts w:hint="eastAsia" w:ascii="Times New Roman" w:hAnsi="Times New Roman" w:eastAsia="仿宋_GB2312" w:cs="Times New Roman"/>
          <w:bCs/>
          <w:sz w:val="24"/>
          <w:szCs w:val="24"/>
          <w:highlight w:val="none"/>
          <w:lang w:eastAsia="zh-CN"/>
        </w:rPr>
        <w:t>，</w:t>
      </w:r>
      <w:r>
        <w:rPr>
          <w:rFonts w:hint="eastAsia" w:ascii="Times New Roman" w:hAnsi="Times New Roman" w:eastAsia="仿宋_GB2312" w:cs="Times New Roman"/>
          <w:bCs/>
          <w:sz w:val="24"/>
          <w:szCs w:val="24"/>
          <w:highlight w:val="none"/>
          <w:lang w:val="en-US" w:eastAsia="zh-CN"/>
        </w:rPr>
        <w:t>切实加强全过程水土保持管理，认真做好水土保持相关工作</w:t>
      </w:r>
      <w:r>
        <w:rPr>
          <w:rFonts w:hint="eastAsia" w:ascii="Times New Roman" w:hAnsi="Times New Roman" w:eastAsia="仿宋_GB2312" w:cs="Times New Roman"/>
          <w:bCs/>
          <w:sz w:val="24"/>
          <w:szCs w:val="24"/>
          <w:highlight w:val="none"/>
          <w:lang w:eastAsia="zh-CN"/>
        </w:rPr>
        <w:t>。</w:t>
      </w:r>
      <w:r>
        <w:rPr>
          <w:rFonts w:hint="eastAsia" w:ascii="Times New Roman" w:hAnsi="Times New Roman" w:eastAsia="仿宋_GB2312" w:cs="Times New Roman"/>
          <w:bCs/>
          <w:sz w:val="24"/>
          <w:szCs w:val="24"/>
          <w:highlight w:val="none"/>
          <w:lang w:val="en-US" w:eastAsia="zh-CN"/>
        </w:rPr>
        <w:t>建设单位在</w:t>
      </w:r>
      <w:r>
        <w:rPr>
          <w:rFonts w:hint="eastAsia" w:ascii="Times New Roman" w:hAnsi="Times New Roman" w:eastAsia="仿宋_GB2312" w:cs="Times New Roman"/>
          <w:bCs/>
          <w:sz w:val="24"/>
          <w:szCs w:val="24"/>
          <w:highlight w:val="none"/>
        </w:rPr>
        <w:t>依据方案落实各项水土保持措施的同时，</w:t>
      </w:r>
      <w:r>
        <w:rPr>
          <w:rFonts w:hint="eastAsia" w:ascii="Times New Roman" w:hAnsi="Times New Roman" w:eastAsia="仿宋_GB2312" w:cs="Times New Roman"/>
          <w:bCs/>
          <w:sz w:val="24"/>
          <w:szCs w:val="24"/>
          <w:highlight w:val="none"/>
          <w:lang w:val="en-US" w:eastAsia="zh-CN"/>
        </w:rPr>
        <w:t>还应</w:t>
      </w:r>
      <w:r>
        <w:rPr>
          <w:rFonts w:hint="eastAsia" w:ascii="Times New Roman" w:hAnsi="Times New Roman" w:eastAsia="仿宋_GB2312" w:cs="Times New Roman"/>
          <w:bCs/>
          <w:sz w:val="24"/>
          <w:szCs w:val="24"/>
          <w:highlight w:val="none"/>
        </w:rPr>
        <w:t>在相关</w:t>
      </w:r>
      <w:r>
        <w:rPr>
          <w:rFonts w:hint="eastAsia" w:ascii="Times New Roman" w:hAnsi="Times New Roman" w:eastAsia="仿宋_GB2312" w:cs="Times New Roman"/>
          <w:bCs/>
          <w:sz w:val="24"/>
          <w:szCs w:val="24"/>
          <w:highlight w:val="none"/>
          <w:lang w:val="en-US" w:eastAsia="zh-CN"/>
        </w:rPr>
        <w:t>行政</w:t>
      </w:r>
      <w:r>
        <w:rPr>
          <w:rFonts w:hint="eastAsia" w:ascii="Times New Roman" w:hAnsi="Times New Roman" w:eastAsia="仿宋_GB2312" w:cs="Times New Roman"/>
          <w:bCs/>
          <w:sz w:val="24"/>
          <w:szCs w:val="24"/>
          <w:highlight w:val="none"/>
        </w:rPr>
        <w:t>部门的监督指导下，按其批准的耕作层土壤剥离实施方案、表土剥离实施方案、土地复垦方案及批复意见，</w:t>
      </w:r>
      <w:r>
        <w:rPr>
          <w:rFonts w:hint="eastAsia" w:ascii="Times New Roman" w:hAnsi="Times New Roman" w:eastAsia="仿宋_GB2312" w:cs="Times New Roman"/>
          <w:bCs/>
          <w:sz w:val="24"/>
          <w:szCs w:val="24"/>
          <w:highlight w:val="none"/>
          <w:lang w:val="en-US" w:eastAsia="zh-CN"/>
        </w:rPr>
        <w:t>切实</w:t>
      </w:r>
      <w:r>
        <w:rPr>
          <w:rFonts w:hint="eastAsia" w:ascii="Times New Roman" w:hAnsi="Times New Roman" w:eastAsia="仿宋_GB2312" w:cs="Times New Roman"/>
          <w:bCs/>
          <w:sz w:val="24"/>
          <w:szCs w:val="24"/>
          <w:highlight w:val="none"/>
        </w:rPr>
        <w:t>做好表土剥离、黑土地保护利用等相关工作，最大限度减少可能造成的水土流失。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eastAsia" w:eastAsia="仿宋_GB2312" w:cs="Times New Roman"/>
          <w:sz w:val="24"/>
          <w:szCs w:val="24"/>
          <w:highlight w:val="none"/>
          <w:lang w:eastAsia="zh-CN"/>
        </w:rPr>
        <w:t>（</w:t>
      </w:r>
      <w:r>
        <w:rPr>
          <w:rFonts w:hint="eastAsia" w:eastAsia="仿宋_GB2312" w:cs="Times New Roman"/>
          <w:sz w:val="24"/>
          <w:szCs w:val="24"/>
          <w:highlight w:val="none"/>
          <w:lang w:val="en-US" w:eastAsia="zh-CN"/>
        </w:rPr>
        <w:t>2</w:t>
      </w:r>
      <w:r>
        <w:rPr>
          <w:rFonts w:hint="eastAsia"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按照本方案对主体工程的水土保持分析评价，优化占地，完善施工组织设计内容</w:t>
      </w:r>
      <w:r>
        <w:rPr>
          <w:rFonts w:hint="eastAsia" w:eastAsia="仿宋_GB2312" w:cs="Times New Roman"/>
          <w:sz w:val="24"/>
          <w:szCs w:val="24"/>
          <w:highlight w:val="none"/>
          <w:lang w:eastAsia="zh-CN"/>
        </w:rPr>
        <w:t>；</w:t>
      </w:r>
      <w:r>
        <w:rPr>
          <w:rFonts w:eastAsia="仿宋_GB2312"/>
          <w:bCs/>
          <w:sz w:val="24"/>
          <w:szCs w:val="24"/>
          <w:highlight w:val="none"/>
        </w:rPr>
        <w:t>在下一阶段应按照</w:t>
      </w:r>
      <w:r>
        <w:rPr>
          <w:rFonts w:hint="eastAsia" w:eastAsia="仿宋_GB2312"/>
          <w:bCs/>
          <w:sz w:val="24"/>
          <w:szCs w:val="24"/>
          <w:highlight w:val="none"/>
          <w:lang w:val="en-US" w:eastAsia="zh-CN"/>
        </w:rPr>
        <w:t>经批准的</w:t>
      </w:r>
      <w:r>
        <w:rPr>
          <w:rFonts w:eastAsia="仿宋_GB2312"/>
          <w:bCs/>
          <w:sz w:val="24"/>
          <w:szCs w:val="24"/>
          <w:highlight w:val="none"/>
        </w:rPr>
        <w:t>方案提出的水</w:t>
      </w:r>
      <w:r>
        <w:rPr>
          <w:rFonts w:eastAsia="仿宋_GB2312"/>
          <w:bCs/>
          <w:sz w:val="24"/>
          <w:szCs w:val="24"/>
        </w:rPr>
        <w:t>土保持措施及有关水土保持工程设计技术要求，结合项目</w:t>
      </w:r>
      <w:r>
        <w:rPr>
          <w:rFonts w:hint="eastAsia" w:eastAsia="仿宋_GB2312"/>
          <w:bCs/>
          <w:sz w:val="24"/>
          <w:szCs w:val="24"/>
          <w:lang w:val="en-US" w:eastAsia="zh-CN"/>
        </w:rPr>
        <w:t>实际</w:t>
      </w:r>
      <w:r>
        <w:rPr>
          <w:rFonts w:hint="eastAsia" w:eastAsia="仿宋_GB2312"/>
          <w:bCs/>
          <w:sz w:val="24"/>
          <w:szCs w:val="24"/>
        </w:rPr>
        <w:t>及时组织开展</w:t>
      </w:r>
      <w:r>
        <w:rPr>
          <w:rFonts w:eastAsia="仿宋_GB2312"/>
          <w:bCs/>
          <w:sz w:val="24"/>
          <w:szCs w:val="24"/>
        </w:rPr>
        <w:t>水土保持后续设计</w:t>
      </w:r>
      <w:r>
        <w:rPr>
          <w:rFonts w:hint="eastAsia" w:eastAsia="仿宋_GB2312"/>
          <w:bCs/>
          <w:sz w:val="24"/>
          <w:szCs w:val="24"/>
          <w:lang w:val="en-US" w:eastAsia="zh-CN"/>
        </w:rPr>
        <w:t>按规定履行报备手续</w:t>
      </w:r>
      <w:r>
        <w:rPr>
          <w:rFonts w:eastAsia="仿宋_GB2312"/>
          <w:bCs/>
          <w:sz w:val="24"/>
          <w:szCs w:val="24"/>
        </w:rPr>
        <w:t>，切实把本方案提出的各项水土保持措施落到实处</w:t>
      </w:r>
      <w:r>
        <w:rPr>
          <w:rFonts w:hint="eastAsia" w:eastAsia="仿宋_GB2312"/>
          <w:bCs/>
          <w:sz w:val="24"/>
          <w:szCs w:val="24"/>
          <w:lang w:eastAsia="zh-CN"/>
        </w:rPr>
        <w:t>；</w:t>
      </w:r>
      <w:r>
        <w:rPr>
          <w:rFonts w:hint="default" w:ascii="Times New Roman" w:hAnsi="Times New Roman" w:eastAsia="仿宋_GB2312" w:cs="Times New Roman"/>
          <w:sz w:val="24"/>
          <w:szCs w:val="24"/>
        </w:rPr>
        <w:t>把水土保持方案投资纳入主体工程下阶段设计中，确保水土保持投资落到实处。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r>
        <w:rPr>
          <w:rFonts w:hint="eastAsia" w:eastAsia="仿宋_GB2312" w:cs="Times New Roman"/>
          <w:sz w:val="24"/>
          <w:szCs w:val="24"/>
          <w:lang w:val="en-US" w:eastAsia="zh-CN"/>
        </w:rPr>
        <w:t>3</w:t>
      </w:r>
      <w:r>
        <w:rPr>
          <w:rFonts w:hint="default" w:ascii="Times New Roman" w:hAnsi="Times New Roman" w:eastAsia="仿宋_GB2312" w:cs="Times New Roman"/>
          <w:sz w:val="24"/>
          <w:szCs w:val="24"/>
        </w:rPr>
        <w:t>）工程建设过程中要落实</w:t>
      </w:r>
      <w:r>
        <w:rPr>
          <w:rFonts w:hint="eastAsia" w:eastAsia="仿宋_GB2312" w:cs="Times New Roman"/>
          <w:sz w:val="24"/>
          <w:szCs w:val="24"/>
          <w:lang w:val="en-US" w:eastAsia="zh-CN"/>
        </w:rPr>
        <w:t>好</w:t>
      </w:r>
      <w:r>
        <w:rPr>
          <w:rFonts w:hint="default" w:ascii="Times New Roman" w:hAnsi="Times New Roman" w:eastAsia="仿宋_GB2312" w:cs="Times New Roman"/>
          <w:sz w:val="24"/>
          <w:szCs w:val="24"/>
        </w:rPr>
        <w:t>水土保持方案和下阶段设计的各项防治措施</w:t>
      </w:r>
      <w:r>
        <w:rPr>
          <w:rFonts w:hint="eastAsia" w:eastAsia="仿宋_GB2312" w:cs="Times New Roman"/>
          <w:sz w:val="24"/>
          <w:szCs w:val="24"/>
          <w:lang w:eastAsia="zh-CN"/>
        </w:rPr>
        <w:t>，</w:t>
      </w:r>
      <w:r>
        <w:rPr>
          <w:rFonts w:hint="eastAsia" w:eastAsia="仿宋_GB2312" w:cs="Times New Roman"/>
          <w:sz w:val="24"/>
          <w:szCs w:val="24"/>
          <w:lang w:val="en-US" w:eastAsia="zh-CN"/>
        </w:rPr>
        <w:t>进一步</w:t>
      </w:r>
      <w:r>
        <w:rPr>
          <w:rFonts w:hint="default" w:ascii="Times New Roman" w:hAnsi="Times New Roman" w:eastAsia="仿宋_GB2312" w:cs="Times New Roman"/>
          <w:sz w:val="24"/>
          <w:szCs w:val="24"/>
        </w:rPr>
        <w:t>优化施工工艺和时序，提高水土资源利用效率，减少地表扰动和植被损坏，及时采取水土保持措施，有效控制可能造成的水土流失。</w:t>
      </w:r>
    </w:p>
    <w:p>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r>
        <w:rPr>
          <w:rFonts w:hint="eastAsia" w:eastAsia="仿宋_GB2312" w:cs="Times New Roman"/>
          <w:sz w:val="24"/>
          <w:szCs w:val="24"/>
          <w:lang w:val="en-US" w:eastAsia="zh-CN"/>
        </w:rPr>
        <w:t>4</w:t>
      </w:r>
      <w:r>
        <w:rPr>
          <w:rFonts w:hint="default" w:ascii="Times New Roman" w:hAnsi="Times New Roman" w:eastAsia="仿宋_GB2312" w:cs="Times New Roman"/>
          <w:sz w:val="24"/>
          <w:szCs w:val="24"/>
        </w:rPr>
        <w:t>）施工单位要严格按照招标合同和水土保持方案的要求，</w:t>
      </w:r>
      <w:r>
        <w:rPr>
          <w:rFonts w:hint="eastAsia" w:ascii="仿宋_GB2312" w:hAnsi="仿宋_GB2312" w:eastAsia="仿宋_GB2312" w:cs="仿宋_GB2312"/>
          <w:bCs/>
        </w:rPr>
        <w:t>规范施工行为，严格控制施工扰动范围</w:t>
      </w:r>
      <w:r>
        <w:rPr>
          <w:rFonts w:hint="eastAsia" w:ascii="仿宋_GB2312" w:hAnsi="仿宋_GB2312" w:eastAsia="仿宋_GB2312" w:cs="仿宋_GB2312"/>
        </w:rPr>
        <w:t>，</w:t>
      </w:r>
      <w:r>
        <w:rPr>
          <w:rFonts w:hint="default" w:ascii="Times New Roman" w:hAnsi="Times New Roman" w:eastAsia="仿宋_GB2312" w:cs="Times New Roman"/>
          <w:sz w:val="24"/>
          <w:szCs w:val="24"/>
        </w:rPr>
        <w:t>不得增大水土流失防治责任范围；要认真贯彻执行“先拦后弃”的原则；按照方案的要求做好各项临时防护措施，尽量避开雨天施工，确实无法避开的应采取有效措施控制水土流失。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lang w:eastAsia="zh-CN"/>
        </w:rPr>
      </w:pPr>
      <w:r>
        <w:rPr>
          <w:rFonts w:hint="default" w:ascii="Times New Roman" w:hAnsi="Times New Roman" w:eastAsia="仿宋_GB2312" w:cs="Times New Roman"/>
          <w:sz w:val="24"/>
          <w:szCs w:val="24"/>
        </w:rPr>
        <w:t>（</w:t>
      </w:r>
      <w:r>
        <w:rPr>
          <w:rFonts w:hint="eastAsia" w:eastAsia="仿宋_GB2312" w:cs="Times New Roman"/>
          <w:sz w:val="24"/>
          <w:szCs w:val="24"/>
          <w:lang w:val="en-US" w:eastAsia="zh-CN"/>
        </w:rPr>
        <w:t>5</w:t>
      </w:r>
      <w:r>
        <w:rPr>
          <w:rFonts w:hint="default" w:ascii="Times New Roman" w:hAnsi="Times New Roman" w:eastAsia="仿宋_GB2312" w:cs="Times New Roman"/>
          <w:sz w:val="24"/>
          <w:szCs w:val="24"/>
        </w:rPr>
        <w:t>）</w:t>
      </w:r>
      <w:r>
        <w:rPr>
          <w:rFonts w:hint="eastAsia" w:eastAsia="仿宋_GB2312" w:cs="Times New Roman"/>
          <w:sz w:val="24"/>
          <w:szCs w:val="24"/>
          <w:lang w:val="en-US" w:eastAsia="zh-CN"/>
        </w:rPr>
        <w:t>坚持落实好水土保持“三同时”制度，水土保持</w:t>
      </w:r>
      <w:r>
        <w:rPr>
          <w:rFonts w:hint="default" w:ascii="Times New Roman" w:hAnsi="Times New Roman" w:eastAsia="仿宋_GB2312" w:cs="Times New Roman"/>
          <w:sz w:val="24"/>
          <w:szCs w:val="24"/>
        </w:rPr>
        <w:t>监理和监测单位要严格按照</w:t>
      </w:r>
      <w:r>
        <w:rPr>
          <w:rFonts w:hint="eastAsia" w:eastAsia="仿宋_GB2312" w:cs="Times New Roman"/>
          <w:sz w:val="24"/>
          <w:szCs w:val="24"/>
          <w:lang w:val="en-US" w:eastAsia="zh-CN"/>
        </w:rPr>
        <w:t>规定开展</w:t>
      </w:r>
      <w:r>
        <w:rPr>
          <w:rFonts w:hint="default" w:ascii="Times New Roman" w:hAnsi="Times New Roman" w:eastAsia="仿宋_GB2312" w:cs="Times New Roman"/>
          <w:sz w:val="24"/>
          <w:szCs w:val="24"/>
        </w:rPr>
        <w:t>监理和监测工作，保障</w:t>
      </w:r>
      <w:r>
        <w:rPr>
          <w:rFonts w:hint="default" w:ascii="Times New Roman" w:hAnsi="Times New Roman" w:eastAsia="仿宋_GB2312" w:cs="Times New Roman"/>
          <w:sz w:val="24"/>
          <w:szCs w:val="24"/>
          <w:lang w:eastAsia="zh-CN"/>
        </w:rPr>
        <w:t>本期工程</w:t>
      </w:r>
      <w:r>
        <w:rPr>
          <w:rFonts w:hint="default" w:ascii="Times New Roman" w:hAnsi="Times New Roman" w:eastAsia="仿宋_GB2312" w:cs="Times New Roman"/>
          <w:sz w:val="24"/>
          <w:szCs w:val="24"/>
        </w:rPr>
        <w:t>水土保持措施的顺利实施</w:t>
      </w:r>
      <w:r>
        <w:rPr>
          <w:rFonts w:hint="eastAsia" w:ascii="Times New Roman" w:hAnsi="Times New Roman" w:eastAsia="仿宋_GB2312" w:cs="Times New Roman"/>
          <w:sz w:val="24"/>
          <w:szCs w:val="24"/>
          <w:lang w:eastAsia="zh-CN"/>
        </w:rPr>
        <w:t>，</w:t>
      </w:r>
      <w:r>
        <w:rPr>
          <w:rFonts w:hint="eastAsia" w:ascii="Times New Roman" w:hAnsi="Times New Roman" w:eastAsia="仿宋_GB2312" w:cs="Times New Roman"/>
          <w:sz w:val="24"/>
          <w:szCs w:val="24"/>
          <w:lang w:val="en-US" w:eastAsia="zh-CN"/>
        </w:rPr>
        <w:t>要严格</w:t>
      </w:r>
      <w:r>
        <w:rPr>
          <w:rFonts w:hint="default" w:ascii="Times New Roman" w:hAnsi="Times New Roman" w:eastAsia="仿宋_GB2312" w:cs="Times New Roman"/>
          <w:sz w:val="24"/>
        </w:rPr>
        <w:t>遵守信用管理规定，分别对其技术成果负责并承担相应责任</w:t>
      </w:r>
      <w:r>
        <w:rPr>
          <w:rFonts w:hint="default" w:ascii="Times New Roman" w:hAnsi="Times New Roman" w:eastAsia="仿宋_GB2312" w:cs="Times New Roman"/>
          <w:sz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w:t>
      </w:r>
      <w:r>
        <w:rPr>
          <w:rFonts w:hint="eastAsia" w:eastAsia="仿宋_GB2312" w:cs="Times New Roman"/>
          <w:sz w:val="24"/>
          <w:szCs w:val="24"/>
          <w:highlight w:val="none"/>
          <w:lang w:val="en-US" w:eastAsia="zh-CN"/>
        </w:rPr>
        <w:t>6</w:t>
      </w:r>
      <w:r>
        <w:rPr>
          <w:rFonts w:hint="default" w:ascii="Times New Roman" w:hAnsi="Times New Roman" w:eastAsia="仿宋_GB2312" w:cs="Times New Roman"/>
          <w:sz w:val="24"/>
          <w:szCs w:val="24"/>
          <w:highlight w:val="none"/>
        </w:rPr>
        <w:t>）工程建成完工后，须开展水土保持设施的验收工作，验收的内容、程序等按《水利部关于加强事中事后监管规范生产建设项目水土保持设施自主验收的通知》（水保〔2017〕365号）和《水利部关于印发生产建设项目水土保持设施自主验收规程（试行）的通知》（办水保〔2018〕133号）要求，水土保持设施验收合格手续作为生产建设项目竣工验收的重要依据之一。根据相关法律法规，对验收不合格的项目，主体工程不得投入运行。建设单位应在水土保持设施验收合格后，及时在其官方网站或者其他公众知悉的网站公示水土保持设施验收材料，公示时间不得少于</w:t>
      </w:r>
      <w:r>
        <w:rPr>
          <w:rFonts w:hint="eastAsia" w:eastAsia="仿宋_GB2312" w:cs="Times New Roman"/>
          <w:sz w:val="24"/>
          <w:szCs w:val="24"/>
          <w:highlight w:val="none"/>
          <w:lang w:val="en-US" w:eastAsia="zh-CN"/>
        </w:rPr>
        <w:t>20</w:t>
      </w:r>
      <w:r>
        <w:rPr>
          <w:rFonts w:hint="default" w:ascii="Times New Roman" w:hAnsi="Times New Roman" w:eastAsia="仿宋_GB2312" w:cs="Times New Roman"/>
          <w:sz w:val="24"/>
          <w:szCs w:val="24"/>
          <w:highlight w:val="none"/>
        </w:rPr>
        <w:t>个工作日。</w:t>
      </w:r>
    </w:p>
    <w:p>
      <w:pPr>
        <w:pStyle w:val="86"/>
        <w:rPr>
          <w:rFonts w:hint="default"/>
          <w:highlight w:val="none"/>
        </w:rPr>
      </w:pPr>
      <w:r>
        <w:rPr>
          <w:rFonts w:hint="eastAsia" w:ascii="Times New Roman" w:hAnsi="Times New Roman" w:eastAsia="仿宋_GB2312" w:cs="Times New Roman"/>
          <w:bCs/>
          <w:sz w:val="24"/>
          <w:szCs w:val="24"/>
          <w:highlight w:val="none"/>
        </w:rPr>
        <w:t>在项目主体工程完工后，</w:t>
      </w:r>
      <w:r>
        <w:rPr>
          <w:rFonts w:hint="eastAsia" w:ascii="Times New Roman" w:hAnsi="Times New Roman" w:eastAsia="仿宋_GB2312" w:cs="Times New Roman"/>
          <w:bCs/>
          <w:sz w:val="24"/>
          <w:szCs w:val="24"/>
          <w:highlight w:val="none"/>
          <w:lang w:val="en-US" w:eastAsia="zh-CN"/>
        </w:rPr>
        <w:t>应当在项目投产使用或者竣工验收前，自主开展水土保持</w:t>
      </w:r>
      <w:r>
        <w:rPr>
          <w:rFonts w:hint="eastAsia" w:ascii="Times New Roman" w:hAnsi="Times New Roman" w:eastAsia="仿宋_GB2312" w:cs="Times New Roman"/>
          <w:bCs/>
          <w:sz w:val="24"/>
          <w:szCs w:val="24"/>
          <w:highlight w:val="none"/>
        </w:rPr>
        <w:t>设施自主验收，</w:t>
      </w:r>
      <w:r>
        <w:rPr>
          <w:rFonts w:hint="eastAsia" w:ascii="Times New Roman" w:hAnsi="Times New Roman" w:eastAsia="仿宋_GB2312" w:cs="Times New Roman"/>
          <w:bCs/>
          <w:sz w:val="24"/>
          <w:szCs w:val="24"/>
          <w:highlight w:val="none"/>
          <w:lang w:val="en-US" w:eastAsia="zh-CN"/>
        </w:rPr>
        <w:t>按规定完成报备，</w:t>
      </w:r>
      <w:r>
        <w:rPr>
          <w:rFonts w:hint="eastAsia" w:ascii="Times New Roman" w:hAnsi="Times New Roman" w:eastAsia="仿宋_GB2312" w:cs="Times New Roman"/>
          <w:bCs/>
          <w:sz w:val="24"/>
          <w:szCs w:val="24"/>
          <w:highlight w:val="none"/>
        </w:rPr>
        <w:t>向</w:t>
      </w:r>
      <w:r>
        <w:rPr>
          <w:rFonts w:hint="eastAsia" w:ascii="Times New Roman" w:hAnsi="Times New Roman" w:eastAsia="仿宋_GB2312" w:cs="Times New Roman"/>
          <w:bCs/>
          <w:sz w:val="24"/>
          <w:szCs w:val="24"/>
          <w:highlight w:val="none"/>
          <w:lang w:val="en-US" w:eastAsia="zh-CN"/>
        </w:rPr>
        <w:t>水行政主管部门履行</w:t>
      </w:r>
      <w:r>
        <w:rPr>
          <w:rFonts w:hint="eastAsia" w:ascii="Times New Roman" w:hAnsi="Times New Roman" w:eastAsia="仿宋_GB2312" w:cs="Times New Roman"/>
          <w:bCs/>
          <w:sz w:val="24"/>
          <w:szCs w:val="24"/>
          <w:highlight w:val="none"/>
        </w:rPr>
        <w:t>报备</w:t>
      </w:r>
      <w:r>
        <w:rPr>
          <w:rFonts w:hint="eastAsia" w:ascii="Times New Roman" w:hAnsi="Times New Roman" w:eastAsia="仿宋_GB2312" w:cs="Times New Roman"/>
          <w:bCs/>
          <w:sz w:val="24"/>
          <w:szCs w:val="24"/>
          <w:highlight w:val="none"/>
          <w:lang w:val="en-US" w:eastAsia="zh-CN"/>
        </w:rPr>
        <w:t>手续并取得回执</w:t>
      </w:r>
      <w:r>
        <w:rPr>
          <w:rFonts w:hint="eastAsia" w:ascii="Times New Roman" w:hAnsi="Times New Roman" w:eastAsia="仿宋_GB2312" w:cs="Times New Roman"/>
          <w:bCs/>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r>
        <w:rPr>
          <w:rFonts w:hint="eastAsia" w:eastAsia="仿宋_GB2312" w:cs="Times New Roman"/>
          <w:sz w:val="24"/>
          <w:szCs w:val="24"/>
          <w:lang w:val="en-US" w:eastAsia="zh-CN"/>
        </w:rPr>
        <w:t>7</w:t>
      </w:r>
      <w:r>
        <w:rPr>
          <w:rFonts w:hint="default" w:ascii="Times New Roman" w:hAnsi="Times New Roman" w:eastAsia="仿宋_GB2312" w:cs="Times New Roman"/>
          <w:sz w:val="24"/>
          <w:szCs w:val="24"/>
        </w:rPr>
        <w:t>）根据</w:t>
      </w:r>
      <w:r>
        <w:rPr>
          <w:rFonts w:hint="default" w:ascii="Times New Roman" w:hAnsi="Times New Roman" w:eastAsia="仿宋_GB2312" w:cs="Times New Roman"/>
          <w:snapToGrid w:val="0"/>
          <w:color w:val="auto"/>
          <w:sz w:val="24"/>
          <w:szCs w:val="24"/>
        </w:rPr>
        <w:t>《生产建设项目水土保持方案管理办法》（水利部令第53号）</w:t>
      </w:r>
      <w:r>
        <w:rPr>
          <w:rFonts w:hint="default" w:ascii="Times New Roman" w:hAnsi="Times New Roman" w:eastAsia="仿宋_GB2312" w:cs="Times New Roman"/>
          <w:sz w:val="24"/>
          <w:szCs w:val="24"/>
        </w:rPr>
        <w:t>，水土保持方案经批准后，当生产建设项目地点、规模发生重大变化，或项目水土保持方案有关内容发生较大变化时，</w:t>
      </w:r>
      <w:r>
        <w:rPr>
          <w:rFonts w:hint="eastAsia" w:eastAsia="仿宋_GB2312" w:cs="Times New Roman"/>
          <w:sz w:val="24"/>
          <w:szCs w:val="24"/>
          <w:lang w:val="en-US" w:eastAsia="zh-CN"/>
        </w:rPr>
        <w:t>应当编制水土保持方案变更，并</w:t>
      </w:r>
      <w:r>
        <w:rPr>
          <w:rFonts w:hint="default" w:ascii="Times New Roman" w:hAnsi="Times New Roman" w:eastAsia="仿宋_GB2312" w:cs="Times New Roman"/>
          <w:sz w:val="24"/>
          <w:szCs w:val="24"/>
        </w:rPr>
        <w:t>及时</w:t>
      </w:r>
      <w:r>
        <w:rPr>
          <w:rFonts w:hint="eastAsia" w:eastAsia="仿宋_GB2312" w:cs="Times New Roman"/>
          <w:sz w:val="24"/>
          <w:szCs w:val="24"/>
          <w:lang w:val="en-US" w:eastAsia="zh-CN"/>
        </w:rPr>
        <w:t>报</w:t>
      </w:r>
      <w:r>
        <w:rPr>
          <w:rFonts w:hint="default" w:ascii="Times New Roman" w:hAnsi="Times New Roman" w:eastAsia="仿宋_GB2312" w:cs="Times New Roman"/>
          <w:sz w:val="24"/>
          <w:szCs w:val="24"/>
        </w:rPr>
        <w:t>原</w:t>
      </w:r>
      <w:r>
        <w:rPr>
          <w:rFonts w:hint="eastAsia" w:eastAsia="仿宋_GB2312" w:cs="Times New Roman"/>
          <w:sz w:val="24"/>
          <w:szCs w:val="24"/>
          <w:lang w:val="en-US" w:eastAsia="zh-CN"/>
        </w:rPr>
        <w:t>方案</w:t>
      </w:r>
      <w:r>
        <w:rPr>
          <w:rFonts w:hint="default" w:ascii="Times New Roman" w:hAnsi="Times New Roman" w:eastAsia="仿宋_GB2312" w:cs="Times New Roman"/>
          <w:sz w:val="24"/>
          <w:szCs w:val="24"/>
        </w:rPr>
        <w:t>审批部门</w:t>
      </w:r>
      <w:r>
        <w:rPr>
          <w:rFonts w:hint="eastAsia" w:eastAsia="仿宋_GB2312" w:cs="Times New Roman"/>
          <w:sz w:val="24"/>
          <w:szCs w:val="24"/>
          <w:lang w:val="en-US" w:eastAsia="zh-CN"/>
        </w:rPr>
        <w:t>审批</w:t>
      </w:r>
      <w:r>
        <w:rPr>
          <w:rFonts w:hint="default" w:ascii="Times New Roman" w:hAnsi="Times New Roman" w:eastAsia="仿宋_GB2312" w:cs="Times New Roman"/>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sz w:val="24"/>
          <w:szCs w:val="24"/>
          <w:lang w:eastAsia="zh-CN"/>
        </w:rPr>
        <w:t>（</w:t>
      </w:r>
      <w:r>
        <w:rPr>
          <w:rFonts w:hint="eastAsia" w:eastAsia="仿宋_GB2312" w:cs="Times New Roman"/>
          <w:sz w:val="24"/>
          <w:szCs w:val="24"/>
          <w:lang w:val="en-US" w:eastAsia="zh-CN"/>
        </w:rPr>
        <w:t>8</w:t>
      </w:r>
      <w:r>
        <w:rPr>
          <w:rFonts w:hint="default" w:ascii="Times New Roman" w:hAnsi="Times New Roman" w:eastAsia="仿宋_GB2312" w:cs="Times New Roman"/>
          <w:sz w:val="24"/>
          <w:szCs w:val="24"/>
          <w:lang w:eastAsia="zh-CN"/>
        </w:rPr>
        <w:t>）</w:t>
      </w:r>
      <w:r>
        <w:rPr>
          <w:rFonts w:hint="eastAsia" w:eastAsia="仿宋_GB2312" w:cs="Times New Roman"/>
          <w:sz w:val="24"/>
          <w:szCs w:val="24"/>
          <w:lang w:val="en-US" w:eastAsia="zh-CN"/>
        </w:rPr>
        <w:t>应当按照水行政主管部门出具的水土保持补偿费征缴通知单，在项目开工建设前一次性足额</w:t>
      </w:r>
      <w:r>
        <w:rPr>
          <w:rFonts w:hint="default" w:ascii="Times New Roman" w:hAnsi="Times New Roman" w:eastAsia="仿宋_GB2312" w:cs="Times New Roman"/>
          <w:sz w:val="24"/>
          <w:szCs w:val="24"/>
          <w:lang w:eastAsia="zh-CN"/>
        </w:rPr>
        <w:t>缴纳水土保持补偿费。</w:t>
      </w:r>
    </w:p>
    <w:p>
      <w:pPr>
        <w:pageBreakBefore w:val="0"/>
        <w:kinsoku/>
        <w:wordWrap/>
        <w:bidi w:val="0"/>
        <w:jc w:val="center"/>
        <w:rPr>
          <w:rFonts w:hint="default" w:ascii="Times New Roman" w:hAnsi="Times New Roman" w:eastAsia="仿宋_GB2312" w:cs="Times New Roman"/>
          <w:b/>
          <w:bCs/>
          <w:sz w:val="24"/>
          <w:highlight w:val="none"/>
        </w:rPr>
      </w:pPr>
    </w:p>
    <w:p>
      <w:pPr>
        <w:pageBreakBefore w:val="0"/>
        <w:kinsoku/>
        <w:wordWrap/>
        <w:bidi w:val="0"/>
        <w:jc w:val="center"/>
        <w:rPr>
          <w:rFonts w:hint="default" w:ascii="Times New Roman" w:hAnsi="Times New Roman" w:eastAsia="仿宋_GB2312" w:cs="Times New Roman"/>
          <w:b/>
          <w:bCs/>
          <w:sz w:val="24"/>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b/>
          <w:bCs/>
          <w:sz w:val="24"/>
          <w:highlight w:val="none"/>
        </w:rPr>
      </w:pPr>
      <w:r>
        <w:rPr>
          <w:rFonts w:hint="default" w:ascii="Times New Roman" w:hAnsi="Times New Roman" w:eastAsia="仿宋_GB2312" w:cs="Times New Roman"/>
          <w:b/>
          <w:bCs/>
          <w:sz w:val="24"/>
          <w:highlight w:val="none"/>
        </w:rPr>
        <w:br w:type="page"/>
      </w:r>
      <w:r>
        <w:rPr>
          <w:rFonts w:hint="default" w:ascii="Times New Roman" w:hAnsi="Times New Roman" w:eastAsia="仿宋_GB2312" w:cs="Times New Roman"/>
          <w:b/>
          <w:bCs/>
          <w:sz w:val="24"/>
          <w:highlight w:val="none"/>
        </w:rPr>
        <w:t>水土保持方案特性表</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70"/>
        <w:gridCol w:w="350"/>
        <w:gridCol w:w="673"/>
        <w:gridCol w:w="840"/>
        <w:gridCol w:w="1802"/>
        <w:gridCol w:w="947"/>
        <w:gridCol w:w="373"/>
        <w:gridCol w:w="410"/>
        <w:gridCol w:w="304"/>
        <w:gridCol w:w="262"/>
        <w:gridCol w:w="19"/>
        <w:gridCol w:w="614"/>
        <w:gridCol w:w="95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20"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项目名称</w:t>
            </w:r>
          </w:p>
        </w:tc>
        <w:tc>
          <w:tcPr>
            <w:tcW w:w="2125" w:type="pct"/>
            <w:gridSpan w:val="4"/>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eastAsia" w:eastAsia="仿宋_GB2312" w:cs="Times New Roman"/>
                <w:sz w:val="18"/>
                <w:szCs w:val="18"/>
                <w:highlight w:val="none"/>
                <w:lang w:val="en-US" w:eastAsia="zh-CN"/>
              </w:rPr>
              <w:t>长春国际物流经济开发区新兴建材产业园区建设</w:t>
            </w:r>
            <w:r>
              <w:rPr>
                <w:rFonts w:hint="eastAsia" w:eastAsia="仿宋_GB2312" w:cs="Times New Roman"/>
                <w:sz w:val="18"/>
                <w:szCs w:val="18"/>
                <w:highlight w:val="none"/>
                <w:lang w:eastAsia="zh-CN"/>
              </w:rPr>
              <w:t>项目</w:t>
            </w:r>
          </w:p>
        </w:tc>
        <w:tc>
          <w:tcPr>
            <w:tcW w:w="1003"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流域管理机构</w:t>
            </w:r>
          </w:p>
        </w:tc>
        <w:tc>
          <w:tcPr>
            <w:tcW w:w="1250" w:type="pct"/>
            <w:gridSpan w:val="5"/>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水利部松辽水利委员会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23"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涉及省（市、区）</w:t>
            </w:r>
          </w:p>
        </w:tc>
        <w:tc>
          <w:tcPr>
            <w:tcW w:w="877"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吉林省</w:t>
            </w:r>
          </w:p>
        </w:tc>
        <w:tc>
          <w:tcPr>
            <w:tcW w:w="1045"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涉及地市或个数</w:t>
            </w:r>
          </w:p>
        </w:tc>
        <w:tc>
          <w:tcPr>
            <w:tcW w:w="765"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长春市</w:t>
            </w:r>
          </w:p>
        </w:tc>
        <w:tc>
          <w:tcPr>
            <w:tcW w:w="933" w:type="pct"/>
            <w:gridSpan w:val="5"/>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涉及县或个数</w:t>
            </w:r>
          </w:p>
        </w:tc>
        <w:tc>
          <w:tcPr>
            <w:tcW w:w="555"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lang w:eastAsia="zh-CN"/>
              </w:rPr>
              <w:t>二道区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20"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项目规模</w:t>
            </w:r>
          </w:p>
        </w:tc>
        <w:tc>
          <w:tcPr>
            <w:tcW w:w="2125" w:type="pct"/>
            <w:gridSpan w:val="4"/>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lang w:val="en-US" w:eastAsia="zh-CN"/>
              </w:rPr>
              <w:t>本期项目</w:t>
            </w:r>
            <w:r>
              <w:rPr>
                <w:rFonts w:hint="default" w:ascii="Times New Roman" w:hAnsi="Times New Roman" w:eastAsia="仿宋_GB2312" w:cs="Times New Roman"/>
                <w:sz w:val="18"/>
                <w:szCs w:val="18"/>
                <w:highlight w:val="none"/>
                <w:lang w:eastAsia="zh-CN"/>
              </w:rPr>
              <w:t>总建筑面积</w:t>
            </w:r>
            <w:r>
              <w:rPr>
                <w:rFonts w:hint="eastAsia" w:eastAsia="仿宋_GB2312" w:cs="Times New Roman"/>
                <w:color w:val="auto"/>
                <w:sz w:val="18"/>
                <w:szCs w:val="18"/>
                <w:lang w:eastAsia="zh-CN"/>
              </w:rPr>
              <w:t>133523.92</w:t>
            </w:r>
            <w:r>
              <w:rPr>
                <w:rFonts w:hint="default" w:ascii="Times New Roman" w:hAnsi="Times New Roman" w:eastAsia="仿宋_GB2312" w:cs="Times New Roman"/>
                <w:sz w:val="18"/>
                <w:szCs w:val="18"/>
                <w:highlight w:val="none"/>
                <w:lang w:val="en-US" w:eastAsia="zh-CN"/>
              </w:rPr>
              <w:t>m²</w:t>
            </w:r>
            <w:r>
              <w:rPr>
                <w:rFonts w:hint="default" w:ascii="Times New Roman" w:hAnsi="Times New Roman" w:eastAsia="仿宋_GB2312" w:cs="Times New Roman"/>
                <w:sz w:val="18"/>
                <w:szCs w:val="18"/>
                <w:highlight w:val="none"/>
                <w:lang w:eastAsia="zh-CN"/>
              </w:rPr>
              <w:t>，其中地上建筑面积</w:t>
            </w:r>
            <w:r>
              <w:rPr>
                <w:rFonts w:hint="eastAsia" w:eastAsia="仿宋_GB2312" w:cs="Times New Roman"/>
                <w:sz w:val="18"/>
                <w:szCs w:val="18"/>
                <w:highlight w:val="none"/>
                <w:lang w:eastAsia="zh-CN"/>
              </w:rPr>
              <w:t>132784.35</w:t>
            </w:r>
            <w:r>
              <w:rPr>
                <w:rFonts w:hint="default" w:ascii="Times New Roman" w:hAnsi="Times New Roman" w:eastAsia="仿宋_GB2312" w:cs="Times New Roman"/>
                <w:sz w:val="18"/>
                <w:szCs w:val="18"/>
                <w:highlight w:val="none"/>
                <w:lang w:val="en-US" w:eastAsia="zh-CN"/>
              </w:rPr>
              <w:t>m²</w:t>
            </w:r>
            <w:r>
              <w:rPr>
                <w:rFonts w:hint="default" w:ascii="Times New Roman" w:hAnsi="Times New Roman" w:eastAsia="仿宋_GB2312" w:cs="Times New Roman"/>
                <w:sz w:val="18"/>
                <w:szCs w:val="18"/>
                <w:highlight w:val="none"/>
                <w:lang w:eastAsia="zh-CN"/>
              </w:rPr>
              <w:t>，地下建筑面积</w:t>
            </w:r>
            <w:r>
              <w:rPr>
                <w:rFonts w:hint="eastAsia" w:eastAsia="仿宋_GB2312" w:cs="Times New Roman"/>
                <w:sz w:val="18"/>
                <w:szCs w:val="18"/>
                <w:highlight w:val="none"/>
                <w:lang w:eastAsia="zh-CN"/>
              </w:rPr>
              <w:t>739.57</w:t>
            </w:r>
            <w:r>
              <w:rPr>
                <w:rFonts w:hint="default" w:ascii="Times New Roman" w:hAnsi="Times New Roman" w:eastAsia="仿宋_GB2312" w:cs="Times New Roman"/>
                <w:sz w:val="18"/>
                <w:szCs w:val="18"/>
                <w:highlight w:val="none"/>
                <w:lang w:val="en-US" w:eastAsia="zh-CN"/>
              </w:rPr>
              <w:t>m²</w:t>
            </w:r>
            <w:r>
              <w:rPr>
                <w:rFonts w:hint="default" w:ascii="Times New Roman" w:hAnsi="Times New Roman" w:eastAsia="仿宋_GB2312" w:cs="Times New Roman"/>
                <w:sz w:val="18"/>
                <w:szCs w:val="18"/>
                <w:highlight w:val="none"/>
                <w:lang w:eastAsia="zh-CN"/>
              </w:rPr>
              <w:t>。</w:t>
            </w:r>
            <w:r>
              <w:rPr>
                <w:rFonts w:hint="default" w:ascii="Times New Roman" w:hAnsi="Times New Roman" w:eastAsia="仿宋_GB2312" w:cs="Times New Roman"/>
                <w:color w:val="auto"/>
                <w:sz w:val="18"/>
                <w:szCs w:val="18"/>
              </w:rPr>
              <w:t>厂房</w:t>
            </w:r>
            <w:r>
              <w:rPr>
                <w:rFonts w:hint="eastAsia" w:eastAsia="仿宋_GB2312" w:cs="Times New Roman"/>
                <w:color w:val="auto"/>
                <w:sz w:val="18"/>
                <w:szCs w:val="18"/>
                <w:lang w:val="en-US" w:eastAsia="zh-CN"/>
              </w:rPr>
              <w:t>6栋</w:t>
            </w:r>
            <w:r>
              <w:rPr>
                <w:rFonts w:hint="default" w:ascii="Times New Roman" w:hAnsi="Times New Roman" w:eastAsia="仿宋_GB2312" w:cs="Times New Roman"/>
                <w:color w:val="auto"/>
                <w:sz w:val="18"/>
                <w:szCs w:val="18"/>
                <w:lang w:val="en-US" w:eastAsia="zh-CN"/>
              </w:rPr>
              <w:t>面积</w:t>
            </w:r>
            <w:r>
              <w:rPr>
                <w:rFonts w:hint="eastAsia" w:eastAsia="仿宋_GB2312" w:cs="Times New Roman"/>
                <w:color w:val="auto"/>
                <w:sz w:val="18"/>
                <w:szCs w:val="18"/>
                <w:lang w:eastAsia="zh-CN"/>
              </w:rPr>
              <w:t>106815.86</w:t>
            </w:r>
            <w:r>
              <w:rPr>
                <w:rFonts w:hint="default" w:ascii="Times New Roman" w:hAnsi="Times New Roman" w:eastAsia="仿宋_GB2312" w:cs="Times New Roman"/>
                <w:color w:val="auto"/>
                <w:sz w:val="18"/>
                <w:szCs w:val="18"/>
                <w:lang w:eastAsia="zh-CN"/>
              </w:rPr>
              <w:t>m²</w:t>
            </w:r>
            <w:r>
              <w:rPr>
                <w:rFonts w:hint="default" w:ascii="Times New Roman" w:hAnsi="Times New Roman" w:eastAsia="仿宋_GB2312" w:cs="Times New Roman"/>
                <w:color w:val="auto"/>
                <w:sz w:val="18"/>
                <w:szCs w:val="18"/>
              </w:rPr>
              <w:t>、</w:t>
            </w:r>
            <w:r>
              <w:rPr>
                <w:rFonts w:hint="eastAsia" w:eastAsia="仿宋_GB2312" w:cs="Times New Roman"/>
                <w:color w:val="auto"/>
                <w:sz w:val="18"/>
                <w:szCs w:val="18"/>
                <w:lang w:val="en-US" w:eastAsia="zh-CN"/>
              </w:rPr>
              <w:t>办公楼及食堂11063.98</w:t>
            </w:r>
            <w:r>
              <w:rPr>
                <w:rFonts w:hint="default" w:ascii="Times New Roman" w:hAnsi="Times New Roman" w:eastAsia="仿宋_GB2312" w:cs="Times New Roman"/>
                <w:color w:val="auto"/>
                <w:sz w:val="18"/>
                <w:szCs w:val="18"/>
                <w:lang w:eastAsia="zh-CN"/>
              </w:rPr>
              <w:t>m²</w:t>
            </w:r>
            <w:r>
              <w:rPr>
                <w:rFonts w:hint="default" w:ascii="Times New Roman" w:hAnsi="Times New Roman" w:eastAsia="仿宋_GB2312" w:cs="Times New Roman"/>
                <w:color w:val="auto"/>
                <w:sz w:val="18"/>
                <w:szCs w:val="18"/>
              </w:rPr>
              <w:t>、</w:t>
            </w:r>
            <w:r>
              <w:rPr>
                <w:rFonts w:hint="eastAsia" w:eastAsia="仿宋_GB2312" w:cs="Times New Roman"/>
                <w:color w:val="auto"/>
                <w:sz w:val="18"/>
                <w:szCs w:val="18"/>
                <w:lang w:val="en-US" w:eastAsia="zh-CN"/>
              </w:rPr>
              <w:t>宿舍楼1栋面积7716.97</w:t>
            </w:r>
            <w:r>
              <w:rPr>
                <w:rFonts w:hint="default" w:ascii="Times New Roman" w:hAnsi="Times New Roman" w:eastAsia="仿宋_GB2312" w:cs="Times New Roman"/>
                <w:color w:val="auto"/>
                <w:sz w:val="18"/>
                <w:szCs w:val="18"/>
                <w:lang w:eastAsia="zh-CN"/>
              </w:rPr>
              <w:t>m²</w:t>
            </w:r>
            <w:r>
              <w:rPr>
                <w:rFonts w:hint="default" w:ascii="Times New Roman" w:hAnsi="Times New Roman" w:eastAsia="仿宋_GB2312" w:cs="Times New Roman"/>
                <w:color w:val="auto"/>
                <w:sz w:val="18"/>
                <w:szCs w:val="18"/>
              </w:rPr>
              <w:t>、</w:t>
            </w:r>
            <w:r>
              <w:rPr>
                <w:rFonts w:hint="eastAsia" w:eastAsia="仿宋_GB2312" w:cs="Times New Roman"/>
                <w:color w:val="auto"/>
                <w:sz w:val="18"/>
                <w:szCs w:val="18"/>
                <w:lang w:val="en-US" w:eastAsia="zh-CN"/>
              </w:rPr>
              <w:t>实验中心1栋面积3955.97</w:t>
            </w:r>
            <w:r>
              <w:rPr>
                <w:rFonts w:hint="default" w:ascii="Times New Roman" w:hAnsi="Times New Roman" w:eastAsia="仿宋_GB2312" w:cs="Times New Roman"/>
                <w:color w:val="auto"/>
                <w:sz w:val="18"/>
                <w:szCs w:val="18"/>
                <w:lang w:eastAsia="zh-CN"/>
              </w:rPr>
              <w:t>m²</w:t>
            </w:r>
            <w:r>
              <w:rPr>
                <w:rFonts w:hint="default" w:ascii="Times New Roman" w:hAnsi="Times New Roman" w:eastAsia="仿宋_GB2312" w:cs="Times New Roman"/>
                <w:color w:val="auto"/>
                <w:sz w:val="18"/>
                <w:szCs w:val="18"/>
              </w:rPr>
              <w:t>、</w:t>
            </w:r>
            <w:r>
              <w:rPr>
                <w:rFonts w:hint="eastAsia" w:eastAsia="仿宋_GB2312" w:cs="Times New Roman"/>
                <w:color w:val="auto"/>
                <w:sz w:val="18"/>
                <w:szCs w:val="18"/>
                <w:lang w:val="en-US" w:eastAsia="zh-CN"/>
              </w:rPr>
              <w:t>食堂1栋面积2425.71</w:t>
            </w:r>
            <w:r>
              <w:rPr>
                <w:rFonts w:hint="default" w:ascii="Times New Roman" w:hAnsi="Times New Roman" w:eastAsia="仿宋_GB2312" w:cs="Times New Roman"/>
                <w:color w:val="auto"/>
                <w:sz w:val="18"/>
                <w:szCs w:val="18"/>
                <w:lang w:eastAsia="zh-CN"/>
              </w:rPr>
              <w:t>m²</w:t>
            </w:r>
            <w:r>
              <w:rPr>
                <w:rFonts w:hint="default" w:ascii="Times New Roman" w:hAnsi="Times New Roman" w:eastAsia="仿宋_GB2312" w:cs="Times New Roman"/>
                <w:color w:val="auto"/>
                <w:sz w:val="18"/>
                <w:szCs w:val="18"/>
              </w:rPr>
              <w:t>、开闭站、变电所、柴发、锅炉房</w:t>
            </w:r>
            <w:r>
              <w:rPr>
                <w:rFonts w:hint="eastAsia" w:eastAsia="仿宋_GB2312" w:cs="Times New Roman"/>
                <w:color w:val="auto"/>
                <w:sz w:val="18"/>
                <w:szCs w:val="18"/>
                <w:lang w:val="en-US" w:eastAsia="zh-CN"/>
              </w:rPr>
              <w:t>面积722.86</w:t>
            </w:r>
            <w:r>
              <w:rPr>
                <w:rFonts w:hint="default" w:ascii="Times New Roman" w:hAnsi="Times New Roman" w:eastAsia="仿宋_GB2312" w:cs="Times New Roman"/>
                <w:color w:val="auto"/>
                <w:sz w:val="18"/>
                <w:szCs w:val="18"/>
                <w:lang w:eastAsia="zh-CN"/>
              </w:rPr>
              <w:t>m²</w:t>
            </w:r>
            <w:r>
              <w:rPr>
                <w:rFonts w:hint="default" w:ascii="Times New Roman" w:hAnsi="Times New Roman" w:eastAsia="仿宋_GB2312" w:cs="Times New Roman"/>
                <w:color w:val="auto"/>
                <w:sz w:val="18"/>
                <w:szCs w:val="18"/>
              </w:rPr>
              <w:t>、</w:t>
            </w:r>
            <w:r>
              <w:rPr>
                <w:rFonts w:hint="eastAsia" w:eastAsia="仿宋_GB2312" w:cs="Times New Roman"/>
                <w:color w:val="auto"/>
                <w:sz w:val="18"/>
                <w:szCs w:val="18"/>
                <w:lang w:eastAsia="zh-CN"/>
              </w:rPr>
              <w:t>水泵房及水池</w:t>
            </w:r>
            <w:r>
              <w:rPr>
                <w:rFonts w:hint="default" w:ascii="Times New Roman" w:hAnsi="Times New Roman" w:eastAsia="仿宋_GB2312" w:cs="Times New Roman"/>
                <w:color w:val="auto"/>
                <w:sz w:val="18"/>
                <w:szCs w:val="18"/>
                <w:lang w:val="en-US" w:eastAsia="zh-CN"/>
              </w:rPr>
              <w:t>1栋面积</w:t>
            </w:r>
            <w:r>
              <w:rPr>
                <w:rFonts w:hint="eastAsia" w:eastAsia="仿宋_GB2312" w:cs="Times New Roman"/>
                <w:color w:val="auto"/>
                <w:sz w:val="18"/>
                <w:szCs w:val="18"/>
                <w:lang w:eastAsia="zh-CN"/>
              </w:rPr>
              <w:t>729.57</w:t>
            </w:r>
            <w:r>
              <w:rPr>
                <w:rFonts w:hint="default" w:ascii="Times New Roman" w:hAnsi="Times New Roman" w:eastAsia="仿宋_GB2312" w:cs="Times New Roman"/>
                <w:color w:val="auto"/>
                <w:sz w:val="18"/>
                <w:szCs w:val="18"/>
                <w:lang w:eastAsia="zh-CN"/>
              </w:rPr>
              <w:t>m²（</w:t>
            </w:r>
            <w:r>
              <w:rPr>
                <w:rFonts w:hint="default" w:ascii="Times New Roman" w:hAnsi="Times New Roman" w:eastAsia="仿宋_GB2312" w:cs="Times New Roman"/>
                <w:color w:val="auto"/>
                <w:sz w:val="18"/>
                <w:szCs w:val="18"/>
                <w:lang w:val="en-US" w:eastAsia="zh-CN"/>
              </w:rPr>
              <w:t>地上建筑面积</w:t>
            </w:r>
            <w:r>
              <w:rPr>
                <w:rFonts w:hint="eastAsia" w:eastAsia="仿宋_GB2312" w:cs="Times New Roman"/>
                <w:color w:val="auto"/>
                <w:sz w:val="18"/>
                <w:szCs w:val="18"/>
                <w:lang w:val="en-US" w:eastAsia="zh-CN"/>
              </w:rPr>
              <w:t>53</w:t>
            </w:r>
            <w:r>
              <w:rPr>
                <w:rFonts w:hint="default" w:ascii="Times New Roman" w:hAnsi="Times New Roman" w:eastAsia="仿宋_GB2312" w:cs="Times New Roman"/>
                <w:color w:val="auto"/>
                <w:sz w:val="18"/>
                <w:szCs w:val="18"/>
                <w:lang w:eastAsia="zh-CN"/>
              </w:rPr>
              <w:t>m²，</w:t>
            </w:r>
            <w:r>
              <w:rPr>
                <w:rFonts w:hint="default" w:ascii="Times New Roman" w:hAnsi="Times New Roman" w:eastAsia="仿宋_GB2312" w:cs="Times New Roman"/>
                <w:color w:val="auto"/>
                <w:sz w:val="18"/>
                <w:szCs w:val="18"/>
                <w:lang w:val="en-US" w:eastAsia="zh-CN"/>
              </w:rPr>
              <w:t>地下建筑面积</w:t>
            </w:r>
            <w:r>
              <w:rPr>
                <w:rFonts w:hint="eastAsia" w:eastAsia="仿宋_GB2312" w:cs="Times New Roman"/>
                <w:color w:val="auto"/>
                <w:sz w:val="18"/>
                <w:szCs w:val="18"/>
                <w:lang w:val="en-US" w:eastAsia="zh-CN"/>
              </w:rPr>
              <w:t>739.57</w:t>
            </w:r>
            <w:r>
              <w:rPr>
                <w:rFonts w:hint="default" w:ascii="Times New Roman" w:hAnsi="Times New Roman" w:eastAsia="仿宋_GB2312" w:cs="Times New Roman"/>
                <w:color w:val="auto"/>
                <w:sz w:val="18"/>
                <w:szCs w:val="18"/>
                <w:lang w:eastAsia="zh-CN"/>
              </w:rPr>
              <w:t>m²）</w:t>
            </w:r>
            <w:r>
              <w:rPr>
                <w:rFonts w:hint="default" w:ascii="Times New Roman" w:hAnsi="Times New Roman" w:eastAsia="仿宋_GB2312" w:cs="Times New Roman"/>
                <w:color w:val="auto"/>
                <w:sz w:val="18"/>
                <w:szCs w:val="18"/>
              </w:rPr>
              <w:t>、</w:t>
            </w:r>
            <w:r>
              <w:rPr>
                <w:rFonts w:hint="eastAsia" w:eastAsia="仿宋_GB2312" w:cs="Times New Roman"/>
                <w:color w:val="auto"/>
                <w:sz w:val="18"/>
                <w:szCs w:val="18"/>
                <w:lang w:eastAsia="zh-CN"/>
              </w:rPr>
              <w:t>成品岗亭</w:t>
            </w:r>
            <w:r>
              <w:rPr>
                <w:rFonts w:hint="eastAsia" w:eastAsia="仿宋_GB2312" w:cs="Times New Roman"/>
                <w:color w:val="auto"/>
                <w:sz w:val="18"/>
                <w:szCs w:val="18"/>
                <w:lang w:val="en-US" w:eastAsia="zh-CN"/>
              </w:rPr>
              <w:t>5栋</w:t>
            </w:r>
            <w:r>
              <w:rPr>
                <w:rFonts w:hint="default" w:ascii="Times New Roman" w:hAnsi="Times New Roman" w:eastAsia="仿宋_GB2312" w:cs="Times New Roman"/>
                <w:color w:val="auto"/>
                <w:sz w:val="18"/>
                <w:szCs w:val="18"/>
                <w:lang w:val="en-US" w:eastAsia="zh-CN"/>
              </w:rPr>
              <w:t>面积</w:t>
            </w:r>
            <w:r>
              <w:rPr>
                <w:rFonts w:hint="eastAsia" w:eastAsia="仿宋_GB2312" w:cs="Times New Roman"/>
                <w:color w:val="auto"/>
                <w:sz w:val="18"/>
                <w:szCs w:val="18"/>
                <w:lang w:val="en-US" w:eastAsia="zh-CN"/>
              </w:rPr>
              <w:t>30</w:t>
            </w:r>
            <w:r>
              <w:rPr>
                <w:rFonts w:hint="default" w:ascii="Times New Roman" w:hAnsi="Times New Roman" w:eastAsia="仿宋_GB2312" w:cs="Times New Roman"/>
                <w:color w:val="auto"/>
                <w:sz w:val="18"/>
                <w:szCs w:val="18"/>
                <w:lang w:eastAsia="zh-CN"/>
              </w:rPr>
              <w:t>m²</w:t>
            </w:r>
            <w:r>
              <w:rPr>
                <w:rFonts w:hint="default" w:ascii="Times New Roman" w:hAnsi="Times New Roman" w:eastAsia="仿宋_GB2312" w:cs="Times New Roman"/>
                <w:color w:val="auto"/>
                <w:sz w:val="18"/>
                <w:szCs w:val="18"/>
              </w:rPr>
              <w:t>。</w:t>
            </w:r>
            <w:r>
              <w:rPr>
                <w:rFonts w:hint="default" w:ascii="Times New Roman" w:hAnsi="Times New Roman" w:eastAsia="仿宋_GB2312" w:cs="Times New Roman"/>
                <w:color w:val="auto"/>
                <w:sz w:val="18"/>
                <w:szCs w:val="18"/>
                <w:lang w:eastAsia="zh-CN"/>
              </w:rPr>
              <w:t>道路及硬化</w:t>
            </w:r>
            <w:r>
              <w:rPr>
                <w:rFonts w:hint="default" w:ascii="Times New Roman" w:hAnsi="Times New Roman" w:eastAsia="仿宋_GB2312" w:cs="Times New Roman"/>
                <w:color w:val="auto"/>
                <w:sz w:val="18"/>
                <w:szCs w:val="18"/>
              </w:rPr>
              <w:t>面积</w:t>
            </w:r>
            <w:r>
              <w:rPr>
                <w:rFonts w:hint="eastAsia" w:eastAsia="仿宋_GB2312" w:cs="Times New Roman"/>
                <w:color w:val="auto"/>
                <w:sz w:val="18"/>
                <w:szCs w:val="18"/>
                <w:lang w:eastAsia="zh-CN"/>
              </w:rPr>
              <w:t>79857.96</w:t>
            </w:r>
            <w:r>
              <w:rPr>
                <w:rFonts w:hint="default" w:ascii="Times New Roman" w:hAnsi="Times New Roman" w:eastAsia="仿宋_GB2312" w:cs="Times New Roman"/>
                <w:color w:val="auto"/>
                <w:sz w:val="18"/>
                <w:szCs w:val="18"/>
                <w:lang w:eastAsia="zh-CN"/>
              </w:rPr>
              <w:t>m²</w:t>
            </w:r>
            <w:r>
              <w:rPr>
                <w:rFonts w:hint="default" w:ascii="Times New Roman" w:hAnsi="Times New Roman" w:eastAsia="仿宋_GB2312" w:cs="Times New Roman"/>
                <w:color w:val="auto"/>
                <w:sz w:val="18"/>
                <w:szCs w:val="18"/>
              </w:rPr>
              <w:t>；</w:t>
            </w:r>
            <w:r>
              <w:rPr>
                <w:rFonts w:hint="default" w:ascii="Times New Roman" w:hAnsi="Times New Roman" w:eastAsia="仿宋_GB2312" w:cs="Times New Roman"/>
                <w:color w:val="auto"/>
                <w:sz w:val="18"/>
                <w:szCs w:val="18"/>
                <w:lang w:eastAsia="zh-CN"/>
              </w:rPr>
              <w:t>绿化面积</w:t>
            </w:r>
            <w:r>
              <w:rPr>
                <w:rFonts w:hint="eastAsia" w:eastAsia="仿宋_GB2312" w:cs="Times New Roman"/>
                <w:color w:val="auto"/>
                <w:sz w:val="18"/>
                <w:szCs w:val="18"/>
                <w:lang w:val="en-US" w:eastAsia="zh-CN"/>
              </w:rPr>
              <w:t>39933.28</w:t>
            </w:r>
            <w:r>
              <w:rPr>
                <w:rFonts w:hint="default" w:ascii="Times New Roman" w:hAnsi="Times New Roman" w:eastAsia="仿宋_GB2312" w:cs="Times New Roman"/>
                <w:color w:val="auto"/>
                <w:sz w:val="18"/>
                <w:szCs w:val="18"/>
                <w:lang w:val="en-US" w:eastAsia="zh-CN"/>
              </w:rPr>
              <w:t>m²</w:t>
            </w:r>
            <w:r>
              <w:rPr>
                <w:rFonts w:hint="default" w:ascii="Times New Roman" w:hAnsi="Times New Roman" w:eastAsia="仿宋_GB2312" w:cs="Times New Roman"/>
                <w:color w:val="auto"/>
                <w:sz w:val="18"/>
                <w:szCs w:val="18"/>
                <w:lang w:eastAsia="zh-CN"/>
              </w:rPr>
              <w:t>，</w:t>
            </w:r>
            <w:r>
              <w:rPr>
                <w:rFonts w:hint="default" w:ascii="Times New Roman" w:hAnsi="Times New Roman" w:eastAsia="仿宋_GB2312" w:cs="Times New Roman"/>
                <w:color w:val="auto"/>
                <w:sz w:val="18"/>
                <w:szCs w:val="18"/>
              </w:rPr>
              <w:t>配套</w:t>
            </w:r>
            <w:r>
              <w:rPr>
                <w:rFonts w:hint="default" w:ascii="Times New Roman" w:hAnsi="Times New Roman" w:eastAsia="仿宋_GB2312" w:cs="Times New Roman"/>
                <w:color w:val="auto"/>
                <w:sz w:val="18"/>
                <w:szCs w:val="18"/>
                <w:lang w:eastAsia="zh-CN"/>
              </w:rPr>
              <w:t>供水管线和供电工程等基础设施工程</w:t>
            </w:r>
            <w:r>
              <w:rPr>
                <w:rFonts w:hint="default" w:ascii="Times New Roman" w:hAnsi="Times New Roman" w:eastAsia="仿宋_GB2312" w:cs="Times New Roman"/>
                <w:color w:val="auto"/>
                <w:sz w:val="18"/>
                <w:szCs w:val="18"/>
              </w:rPr>
              <w:t>。</w:t>
            </w:r>
          </w:p>
        </w:tc>
        <w:tc>
          <w:tcPr>
            <w:tcW w:w="549"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总投资</w:t>
            </w:r>
          </w:p>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（万元）</w:t>
            </w:r>
          </w:p>
        </w:tc>
        <w:tc>
          <w:tcPr>
            <w:tcW w:w="630"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eastAsia" w:eastAsia="仿宋_GB2312" w:cs="Times New Roman"/>
                <w:sz w:val="18"/>
                <w:szCs w:val="18"/>
                <w:highlight w:val="none"/>
                <w:lang w:eastAsia="zh-CN"/>
              </w:rPr>
              <w:t>103196.83</w:t>
            </w:r>
          </w:p>
        </w:tc>
        <w:tc>
          <w:tcPr>
            <w:tcW w:w="519"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lang w:eastAsia="zh-CN"/>
              </w:rPr>
              <w:t>土建投资（万元）</w:t>
            </w:r>
          </w:p>
        </w:tc>
        <w:tc>
          <w:tcPr>
            <w:tcW w:w="555"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eastAsia" w:eastAsia="仿宋_GB2312" w:cs="Times New Roman"/>
                <w:sz w:val="18"/>
                <w:szCs w:val="18"/>
                <w:highlight w:val="none"/>
                <w:lang w:eastAsia="zh-CN"/>
              </w:rPr>
              <w:t>100173.09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23"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rPr>
              <w:t>动工时间</w:t>
            </w:r>
          </w:p>
        </w:tc>
        <w:tc>
          <w:tcPr>
            <w:tcW w:w="877"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eastAsia" w:eastAsia="仿宋_GB2312" w:cs="Times New Roman"/>
                <w:sz w:val="18"/>
                <w:szCs w:val="18"/>
                <w:highlight w:val="none"/>
                <w:lang w:eastAsia="zh-CN"/>
              </w:rPr>
              <w:t>2023年7月</w:t>
            </w:r>
          </w:p>
        </w:tc>
        <w:tc>
          <w:tcPr>
            <w:tcW w:w="1045"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完工时间</w:t>
            </w:r>
          </w:p>
        </w:tc>
        <w:tc>
          <w:tcPr>
            <w:tcW w:w="765"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eastAsia" w:eastAsia="仿宋_GB2312" w:cs="Times New Roman"/>
                <w:sz w:val="18"/>
                <w:szCs w:val="18"/>
                <w:highlight w:val="none"/>
                <w:lang w:eastAsia="zh-CN"/>
              </w:rPr>
              <w:t>2024年12月</w:t>
            </w:r>
          </w:p>
        </w:tc>
        <w:tc>
          <w:tcPr>
            <w:tcW w:w="933" w:type="pct"/>
            <w:gridSpan w:val="5"/>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设计水平年</w:t>
            </w:r>
          </w:p>
        </w:tc>
        <w:tc>
          <w:tcPr>
            <w:tcW w:w="555"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eastAsia" w:eastAsia="仿宋_GB2312" w:cs="Times New Roman"/>
                <w:sz w:val="18"/>
                <w:szCs w:val="18"/>
                <w:highlight w:val="none"/>
                <w:lang w:val="en-US" w:eastAsia="zh-CN"/>
              </w:rPr>
              <w:t>2025</w:t>
            </w:r>
            <w:r>
              <w:rPr>
                <w:rFonts w:hint="default" w:ascii="Times New Roman" w:hAnsi="Times New Roman" w:eastAsia="仿宋_GB2312" w:cs="Times New Roman"/>
                <w:sz w:val="18"/>
                <w:szCs w:val="18"/>
                <w:highlight w:val="none"/>
              </w:rPr>
              <w:t>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23"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工程占地（</w:t>
            </w:r>
            <w:r>
              <w:rPr>
                <w:rFonts w:hint="default" w:ascii="Times New Roman" w:hAnsi="Times New Roman" w:eastAsia="仿宋_GB2312" w:cs="Times New Roman"/>
                <w:sz w:val="18"/>
                <w:szCs w:val="18"/>
                <w:highlight w:val="none"/>
                <w:lang w:eastAsia="zh-CN"/>
              </w:rPr>
              <w:t>hm²</w:t>
            </w:r>
            <w:r>
              <w:rPr>
                <w:rFonts w:hint="default" w:ascii="Times New Roman" w:hAnsi="Times New Roman" w:eastAsia="仿宋_GB2312" w:cs="Times New Roman"/>
                <w:sz w:val="18"/>
                <w:szCs w:val="18"/>
                <w:highlight w:val="none"/>
              </w:rPr>
              <w:t>）</w:t>
            </w:r>
          </w:p>
        </w:tc>
        <w:tc>
          <w:tcPr>
            <w:tcW w:w="877"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val="en-US" w:eastAsia="zh-CN"/>
              </w:rPr>
            </w:pPr>
            <w:r>
              <w:rPr>
                <w:rFonts w:hint="eastAsia" w:eastAsia="仿宋_GB2312" w:cs="Times New Roman"/>
                <w:sz w:val="18"/>
                <w:szCs w:val="18"/>
                <w:highlight w:val="none"/>
                <w:lang w:val="en-US" w:eastAsia="zh-CN"/>
              </w:rPr>
              <w:t>19.98</w:t>
            </w:r>
          </w:p>
        </w:tc>
        <w:tc>
          <w:tcPr>
            <w:tcW w:w="1045"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永久征地（</w:t>
            </w:r>
            <w:r>
              <w:rPr>
                <w:rFonts w:hint="default" w:ascii="Times New Roman" w:hAnsi="Times New Roman" w:eastAsia="仿宋_GB2312" w:cs="Times New Roman"/>
                <w:sz w:val="18"/>
                <w:szCs w:val="18"/>
                <w:highlight w:val="none"/>
                <w:lang w:eastAsia="zh-CN"/>
              </w:rPr>
              <w:t>hm²</w:t>
            </w:r>
            <w:r>
              <w:rPr>
                <w:rFonts w:hint="default" w:ascii="Times New Roman" w:hAnsi="Times New Roman" w:eastAsia="仿宋_GB2312" w:cs="Times New Roman"/>
                <w:sz w:val="18"/>
                <w:szCs w:val="18"/>
                <w:highlight w:val="none"/>
              </w:rPr>
              <w:t>）</w:t>
            </w:r>
          </w:p>
        </w:tc>
        <w:tc>
          <w:tcPr>
            <w:tcW w:w="765"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eastAsia" w:eastAsia="仿宋_GB2312" w:cs="Times New Roman"/>
                <w:sz w:val="18"/>
                <w:szCs w:val="18"/>
                <w:highlight w:val="none"/>
                <w:lang w:eastAsia="zh-CN"/>
              </w:rPr>
              <w:t>19.98</w:t>
            </w:r>
          </w:p>
        </w:tc>
        <w:tc>
          <w:tcPr>
            <w:tcW w:w="933" w:type="pct"/>
            <w:gridSpan w:val="5"/>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临时用地（</w:t>
            </w:r>
            <w:r>
              <w:rPr>
                <w:rFonts w:hint="default" w:ascii="Times New Roman" w:hAnsi="Times New Roman" w:eastAsia="仿宋_GB2312" w:cs="Times New Roman"/>
                <w:sz w:val="18"/>
                <w:szCs w:val="18"/>
                <w:highlight w:val="none"/>
                <w:lang w:eastAsia="zh-CN"/>
              </w:rPr>
              <w:t>hm²</w:t>
            </w:r>
            <w:r>
              <w:rPr>
                <w:rFonts w:hint="default" w:ascii="Times New Roman" w:hAnsi="Times New Roman" w:eastAsia="仿宋_GB2312" w:cs="Times New Roman"/>
                <w:sz w:val="18"/>
                <w:szCs w:val="18"/>
                <w:highlight w:val="none"/>
              </w:rPr>
              <w:t>）</w:t>
            </w:r>
          </w:p>
        </w:tc>
        <w:tc>
          <w:tcPr>
            <w:tcW w:w="555"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val="en-US" w:eastAsia="zh-CN"/>
              </w:rPr>
            </w:pPr>
            <w:r>
              <w:rPr>
                <w:rFonts w:hint="default" w:ascii="Times New Roman" w:hAnsi="Times New Roman" w:eastAsia="仿宋_GB2312" w:cs="Times New Roman"/>
                <w:sz w:val="18"/>
                <w:szCs w:val="18"/>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01" w:type="pct"/>
            <w:gridSpan w:val="4"/>
            <w:vMerge w:val="restar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土石方量（万</w:t>
            </w:r>
            <w:r>
              <w:rPr>
                <w:rFonts w:hint="default" w:ascii="Times New Roman" w:hAnsi="Times New Roman" w:eastAsia="仿宋_GB2312" w:cs="Times New Roman"/>
                <w:sz w:val="18"/>
                <w:szCs w:val="18"/>
                <w:highlight w:val="none"/>
                <w:lang w:eastAsia="zh-CN"/>
              </w:rPr>
              <w:t>m³</w:t>
            </w:r>
            <w:r>
              <w:rPr>
                <w:rFonts w:hint="default" w:ascii="Times New Roman" w:hAnsi="Times New Roman" w:eastAsia="仿宋_GB2312" w:cs="Times New Roman"/>
                <w:sz w:val="18"/>
                <w:szCs w:val="18"/>
                <w:highlight w:val="none"/>
              </w:rPr>
              <w:t>）</w:t>
            </w:r>
          </w:p>
        </w:tc>
        <w:tc>
          <w:tcPr>
            <w:tcW w:w="1045"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挖方</w:t>
            </w:r>
          </w:p>
        </w:tc>
        <w:tc>
          <w:tcPr>
            <w:tcW w:w="765"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填方</w:t>
            </w:r>
          </w:p>
        </w:tc>
        <w:tc>
          <w:tcPr>
            <w:tcW w:w="577" w:type="pct"/>
            <w:gridSpan w:val="4"/>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借方</w:t>
            </w:r>
          </w:p>
        </w:tc>
        <w:tc>
          <w:tcPr>
            <w:tcW w:w="911"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余方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01" w:type="pct"/>
            <w:gridSpan w:val="4"/>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p>
        </w:tc>
        <w:tc>
          <w:tcPr>
            <w:tcW w:w="1045"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18"/>
                <w:szCs w:val="18"/>
                <w:highlight w:val="none"/>
                <w:lang w:val="en-US" w:eastAsia="zh-CN"/>
              </w:rPr>
            </w:pPr>
            <w:r>
              <w:rPr>
                <w:rFonts w:hint="eastAsia" w:cs="Times New Roman"/>
                <w:sz w:val="18"/>
                <w:szCs w:val="18"/>
                <w:highlight w:val="none"/>
                <w:lang w:val="en-US" w:eastAsia="zh-CN"/>
              </w:rPr>
              <w:t>21.69</w:t>
            </w:r>
          </w:p>
        </w:tc>
        <w:tc>
          <w:tcPr>
            <w:tcW w:w="765"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18"/>
                <w:szCs w:val="18"/>
                <w:highlight w:val="none"/>
                <w:lang w:val="en-US" w:eastAsia="zh-CN"/>
              </w:rPr>
            </w:pPr>
            <w:r>
              <w:rPr>
                <w:rFonts w:hint="eastAsia" w:cs="Times New Roman"/>
                <w:sz w:val="18"/>
                <w:szCs w:val="18"/>
                <w:highlight w:val="none"/>
                <w:lang w:val="en-US" w:eastAsia="zh-CN"/>
              </w:rPr>
              <w:t>22.89</w:t>
            </w:r>
          </w:p>
        </w:tc>
        <w:tc>
          <w:tcPr>
            <w:tcW w:w="577" w:type="pct"/>
            <w:gridSpan w:val="4"/>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val="en-US" w:eastAsia="zh-CN"/>
              </w:rPr>
            </w:pPr>
            <w:r>
              <w:rPr>
                <w:rFonts w:hint="eastAsia" w:eastAsia="仿宋_GB2312" w:cs="Times New Roman"/>
                <w:sz w:val="18"/>
                <w:szCs w:val="18"/>
                <w:highlight w:val="none"/>
                <w:lang w:val="en-US" w:eastAsia="zh-CN"/>
              </w:rPr>
              <w:t>1.20</w:t>
            </w:r>
          </w:p>
        </w:tc>
        <w:tc>
          <w:tcPr>
            <w:tcW w:w="911"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01" w:type="pct"/>
            <w:gridSpan w:val="4"/>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重点防治区名称</w:t>
            </w:r>
          </w:p>
        </w:tc>
        <w:tc>
          <w:tcPr>
            <w:tcW w:w="3298" w:type="pct"/>
            <w:gridSpan w:val="9"/>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Cs/>
                <w:sz w:val="18"/>
                <w:szCs w:val="18"/>
                <w:highlight w:val="none"/>
              </w:rPr>
            </w:pPr>
            <w:r>
              <w:rPr>
                <w:rFonts w:hint="default" w:ascii="Times New Roman" w:hAnsi="Times New Roman" w:eastAsia="仿宋_GB2312" w:cs="Times New Roman"/>
                <w:bCs/>
                <w:sz w:val="18"/>
                <w:szCs w:val="18"/>
                <w:highlight w:val="none"/>
              </w:rPr>
              <w:t>东北漫川漫岗国家级水土流失重点治理区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01" w:type="pct"/>
            <w:gridSpan w:val="4"/>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地貌类型</w:t>
            </w:r>
          </w:p>
        </w:tc>
        <w:tc>
          <w:tcPr>
            <w:tcW w:w="1045"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Cs/>
                <w:sz w:val="18"/>
                <w:szCs w:val="18"/>
                <w:highlight w:val="none"/>
              </w:rPr>
            </w:pPr>
            <w:r>
              <w:rPr>
                <w:rFonts w:hint="default" w:ascii="Times New Roman" w:hAnsi="Times New Roman" w:eastAsia="仿宋_GB2312" w:cs="Times New Roman"/>
                <w:bCs/>
                <w:sz w:val="18"/>
                <w:szCs w:val="18"/>
                <w:highlight w:val="none"/>
                <w:lang w:val="en-US" w:eastAsia="zh-CN"/>
              </w:rPr>
              <w:t>平原</w:t>
            </w:r>
            <w:r>
              <w:rPr>
                <w:rFonts w:hint="default" w:ascii="Times New Roman" w:hAnsi="Times New Roman" w:eastAsia="仿宋_GB2312" w:cs="Times New Roman"/>
                <w:bCs/>
                <w:sz w:val="18"/>
                <w:szCs w:val="18"/>
                <w:highlight w:val="none"/>
              </w:rPr>
              <w:t>区</w:t>
            </w:r>
          </w:p>
        </w:tc>
        <w:tc>
          <w:tcPr>
            <w:tcW w:w="1331" w:type="pct"/>
            <w:gridSpan w:val="5"/>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Cs/>
                <w:sz w:val="18"/>
                <w:szCs w:val="18"/>
                <w:highlight w:val="none"/>
              </w:rPr>
            </w:pPr>
            <w:r>
              <w:rPr>
                <w:rFonts w:hint="default" w:ascii="Times New Roman" w:hAnsi="Times New Roman" w:eastAsia="仿宋_GB2312" w:cs="Times New Roman"/>
                <w:bCs/>
                <w:sz w:val="18"/>
                <w:szCs w:val="18"/>
                <w:highlight w:val="none"/>
              </w:rPr>
              <w:t>水土保持区划</w:t>
            </w:r>
          </w:p>
        </w:tc>
        <w:tc>
          <w:tcPr>
            <w:tcW w:w="922"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Cs/>
                <w:sz w:val="18"/>
                <w:szCs w:val="18"/>
                <w:highlight w:val="none"/>
              </w:rPr>
            </w:pPr>
            <w:r>
              <w:rPr>
                <w:rFonts w:hint="default" w:ascii="Times New Roman" w:hAnsi="Times New Roman" w:eastAsia="仿宋_GB2312" w:cs="Times New Roman"/>
                <w:bCs/>
                <w:sz w:val="18"/>
                <w:szCs w:val="18"/>
                <w:highlight w:val="none"/>
              </w:rPr>
              <w:t>东北黑土区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01" w:type="pct"/>
            <w:gridSpan w:val="4"/>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土壤侵蚀类型</w:t>
            </w:r>
          </w:p>
        </w:tc>
        <w:tc>
          <w:tcPr>
            <w:tcW w:w="1045"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kern w:val="0"/>
                <w:sz w:val="18"/>
                <w:szCs w:val="18"/>
                <w:highlight w:val="none"/>
              </w:rPr>
              <w:t>水力侵蚀</w:t>
            </w:r>
          </w:p>
        </w:tc>
        <w:tc>
          <w:tcPr>
            <w:tcW w:w="1331" w:type="pct"/>
            <w:gridSpan w:val="5"/>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kern w:val="0"/>
                <w:sz w:val="18"/>
                <w:szCs w:val="18"/>
                <w:highlight w:val="none"/>
              </w:rPr>
              <w:t>土壤侵蚀强度</w:t>
            </w:r>
          </w:p>
        </w:tc>
        <w:tc>
          <w:tcPr>
            <w:tcW w:w="922"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kern w:val="0"/>
                <w:sz w:val="18"/>
                <w:szCs w:val="18"/>
                <w:highlight w:val="none"/>
              </w:rPr>
              <w:t>轻度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01" w:type="pct"/>
            <w:gridSpan w:val="4"/>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防治责任范围面积（</w:t>
            </w:r>
            <w:r>
              <w:rPr>
                <w:rFonts w:hint="default" w:ascii="Times New Roman" w:hAnsi="Times New Roman" w:eastAsia="仿宋_GB2312" w:cs="Times New Roman"/>
                <w:sz w:val="18"/>
                <w:szCs w:val="18"/>
                <w:highlight w:val="none"/>
                <w:lang w:eastAsia="zh-CN"/>
              </w:rPr>
              <w:t>hm²</w:t>
            </w:r>
            <w:r>
              <w:rPr>
                <w:rFonts w:hint="default" w:ascii="Times New Roman" w:hAnsi="Times New Roman" w:eastAsia="仿宋_GB2312" w:cs="Times New Roman"/>
                <w:sz w:val="18"/>
                <w:szCs w:val="18"/>
                <w:highlight w:val="none"/>
              </w:rPr>
              <w:t>）</w:t>
            </w:r>
          </w:p>
        </w:tc>
        <w:tc>
          <w:tcPr>
            <w:tcW w:w="1045"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lang w:val="en-US" w:eastAsia="zh-CN"/>
              </w:rPr>
            </w:pPr>
            <w:r>
              <w:rPr>
                <w:rFonts w:hint="eastAsia" w:eastAsia="仿宋_GB2312" w:cs="Times New Roman"/>
                <w:kern w:val="0"/>
                <w:sz w:val="18"/>
                <w:szCs w:val="18"/>
                <w:highlight w:val="none"/>
                <w:lang w:eastAsia="zh-CN"/>
              </w:rPr>
              <w:t>19.98</w:t>
            </w:r>
          </w:p>
        </w:tc>
        <w:tc>
          <w:tcPr>
            <w:tcW w:w="1331" w:type="pct"/>
            <w:gridSpan w:val="5"/>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kern w:val="0"/>
                <w:sz w:val="18"/>
                <w:szCs w:val="18"/>
                <w:highlight w:val="none"/>
              </w:rPr>
              <w:t>容许土壤流失量[t/（</w:t>
            </w:r>
            <w:r>
              <w:rPr>
                <w:rFonts w:hint="default" w:ascii="Times New Roman" w:hAnsi="Times New Roman" w:eastAsia="仿宋_GB2312" w:cs="Times New Roman"/>
                <w:kern w:val="0"/>
                <w:sz w:val="18"/>
                <w:szCs w:val="18"/>
                <w:highlight w:val="none"/>
                <w:lang w:eastAsia="zh-CN"/>
              </w:rPr>
              <w:t>km²</w:t>
            </w:r>
            <w:r>
              <w:rPr>
                <w:rFonts w:hint="default" w:ascii="Times New Roman" w:hAnsi="Times New Roman" w:eastAsia="仿宋_GB2312" w:cs="Times New Roman"/>
                <w:kern w:val="0"/>
                <w:sz w:val="18"/>
                <w:szCs w:val="18"/>
                <w:highlight w:val="none"/>
              </w:rPr>
              <w:t>.a）]</w:t>
            </w:r>
          </w:p>
        </w:tc>
        <w:tc>
          <w:tcPr>
            <w:tcW w:w="922"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kern w:val="0"/>
                <w:sz w:val="18"/>
                <w:szCs w:val="18"/>
                <w:highlight w:val="none"/>
              </w:rPr>
              <w:t>200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01" w:type="pct"/>
            <w:gridSpan w:val="4"/>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土壤流失预测总量（t）</w:t>
            </w:r>
          </w:p>
        </w:tc>
        <w:tc>
          <w:tcPr>
            <w:tcW w:w="1045"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lang w:eastAsia="zh-CN"/>
              </w:rPr>
            </w:pPr>
            <w:r>
              <w:rPr>
                <w:rFonts w:hint="eastAsia" w:eastAsia="仿宋_GB2312" w:cs="Times New Roman"/>
                <w:kern w:val="0"/>
                <w:sz w:val="18"/>
                <w:szCs w:val="18"/>
                <w:highlight w:val="none"/>
                <w:lang w:eastAsia="zh-CN"/>
              </w:rPr>
              <w:t>1434.59</w:t>
            </w:r>
          </w:p>
        </w:tc>
        <w:tc>
          <w:tcPr>
            <w:tcW w:w="1331" w:type="pct"/>
            <w:gridSpan w:val="5"/>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kern w:val="0"/>
                <w:sz w:val="18"/>
                <w:szCs w:val="18"/>
                <w:highlight w:val="none"/>
              </w:rPr>
              <w:t>新增土壤流失量（t）</w:t>
            </w:r>
          </w:p>
        </w:tc>
        <w:tc>
          <w:tcPr>
            <w:tcW w:w="922"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lang w:eastAsia="zh-CN"/>
              </w:rPr>
            </w:pPr>
            <w:r>
              <w:rPr>
                <w:rFonts w:hint="eastAsia" w:eastAsia="仿宋_GB2312" w:cs="Times New Roman"/>
                <w:kern w:val="0"/>
                <w:sz w:val="18"/>
                <w:szCs w:val="18"/>
                <w:highlight w:val="none"/>
                <w:lang w:eastAsia="zh-CN"/>
              </w:rPr>
              <w:t>1270.76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01" w:type="pct"/>
            <w:gridSpan w:val="4"/>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水土流失防治标准执行等级</w:t>
            </w:r>
          </w:p>
        </w:tc>
        <w:tc>
          <w:tcPr>
            <w:tcW w:w="3298" w:type="pct"/>
            <w:gridSpan w:val="9"/>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sz w:val="18"/>
                <w:szCs w:val="18"/>
                <w:highlight w:val="none"/>
              </w:rPr>
            </w:pPr>
            <w:r>
              <w:rPr>
                <w:rFonts w:hint="default" w:ascii="Times New Roman" w:hAnsi="Times New Roman" w:eastAsia="仿宋_GB2312" w:cs="Times New Roman"/>
                <w:sz w:val="18"/>
                <w:szCs w:val="18"/>
                <w:highlight w:val="none"/>
              </w:rPr>
              <w:t>东北黑土区水土流失防治一级标准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20" w:type="pct"/>
            <w:vMerge w:val="restar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防治指标</w:t>
            </w:r>
          </w:p>
        </w:tc>
        <w:tc>
          <w:tcPr>
            <w:tcW w:w="1080"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kern w:val="0"/>
                <w:sz w:val="18"/>
                <w:szCs w:val="18"/>
                <w:highlight w:val="none"/>
              </w:rPr>
              <w:t>水土流失治理度（%）</w:t>
            </w:r>
          </w:p>
        </w:tc>
        <w:tc>
          <w:tcPr>
            <w:tcW w:w="1045"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97</w:t>
            </w:r>
          </w:p>
        </w:tc>
        <w:tc>
          <w:tcPr>
            <w:tcW w:w="1342" w:type="pct"/>
            <w:gridSpan w:val="6"/>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sz w:val="18"/>
                <w:szCs w:val="18"/>
                <w:highlight w:val="none"/>
              </w:rPr>
              <w:t>土壤流失控制比</w:t>
            </w:r>
          </w:p>
        </w:tc>
        <w:tc>
          <w:tcPr>
            <w:tcW w:w="911"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20" w:type="pct"/>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p>
        </w:tc>
        <w:tc>
          <w:tcPr>
            <w:tcW w:w="1080"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渣土防护率</w:t>
            </w:r>
            <w:r>
              <w:rPr>
                <w:rFonts w:hint="default" w:ascii="Times New Roman" w:hAnsi="Times New Roman" w:eastAsia="仿宋_GB2312" w:cs="Times New Roman"/>
                <w:kern w:val="0"/>
                <w:sz w:val="18"/>
                <w:szCs w:val="18"/>
                <w:highlight w:val="none"/>
              </w:rPr>
              <w:t>（%）</w:t>
            </w:r>
          </w:p>
        </w:tc>
        <w:tc>
          <w:tcPr>
            <w:tcW w:w="1045"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val="en-US" w:eastAsia="zh-CN"/>
              </w:rPr>
            </w:pPr>
            <w:r>
              <w:rPr>
                <w:rFonts w:hint="default" w:ascii="Times New Roman" w:hAnsi="Times New Roman" w:eastAsia="仿宋_GB2312" w:cs="Times New Roman"/>
                <w:sz w:val="18"/>
                <w:szCs w:val="18"/>
                <w:highlight w:val="none"/>
                <w:lang w:val="en-US" w:eastAsia="zh-CN"/>
              </w:rPr>
              <w:t>98</w:t>
            </w:r>
          </w:p>
        </w:tc>
        <w:tc>
          <w:tcPr>
            <w:tcW w:w="1342" w:type="pct"/>
            <w:gridSpan w:val="6"/>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kern w:val="0"/>
                <w:sz w:val="18"/>
                <w:szCs w:val="18"/>
                <w:highlight w:val="none"/>
              </w:rPr>
              <w:t>表土保护率（%）</w:t>
            </w:r>
          </w:p>
        </w:tc>
        <w:tc>
          <w:tcPr>
            <w:tcW w:w="911"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20" w:type="pct"/>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p>
        </w:tc>
        <w:tc>
          <w:tcPr>
            <w:tcW w:w="1080"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林草植被恢复率（%）</w:t>
            </w:r>
          </w:p>
        </w:tc>
        <w:tc>
          <w:tcPr>
            <w:tcW w:w="1045"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97</w:t>
            </w:r>
          </w:p>
        </w:tc>
        <w:tc>
          <w:tcPr>
            <w:tcW w:w="1342" w:type="pct"/>
            <w:gridSpan w:val="6"/>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kern w:val="0"/>
                <w:sz w:val="18"/>
                <w:szCs w:val="18"/>
                <w:highlight w:val="none"/>
              </w:rPr>
              <w:t>林草覆盖率（%）</w:t>
            </w:r>
          </w:p>
        </w:tc>
        <w:tc>
          <w:tcPr>
            <w:tcW w:w="911"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val="en-US" w:eastAsia="zh-CN"/>
              </w:rPr>
            </w:pPr>
            <w:r>
              <w:rPr>
                <w:rFonts w:hint="default" w:ascii="Times New Roman" w:hAnsi="Times New Roman" w:eastAsia="仿宋_GB2312" w:cs="Times New Roman"/>
                <w:sz w:val="18"/>
                <w:szCs w:val="18"/>
                <w:highlight w:val="none"/>
                <w:lang w:val="en-US" w:eastAsia="zh-CN"/>
              </w:rPr>
              <w:t>19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20" w:type="pct"/>
            <w:vMerge w:val="restar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防治措施</w:t>
            </w:r>
          </w:p>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及工程量</w:t>
            </w:r>
          </w:p>
        </w:tc>
        <w:tc>
          <w:tcPr>
            <w:tcW w:w="2125" w:type="pct"/>
            <w:gridSpan w:val="4"/>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kern w:val="0"/>
                <w:sz w:val="18"/>
                <w:szCs w:val="18"/>
                <w:highlight w:val="none"/>
              </w:rPr>
              <w:t>工程措施</w:t>
            </w:r>
          </w:p>
        </w:tc>
        <w:tc>
          <w:tcPr>
            <w:tcW w:w="1342" w:type="pct"/>
            <w:gridSpan w:val="6"/>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kern w:val="0"/>
                <w:sz w:val="18"/>
                <w:szCs w:val="18"/>
                <w:highlight w:val="none"/>
              </w:rPr>
              <w:t>植物措施</w:t>
            </w:r>
          </w:p>
        </w:tc>
        <w:tc>
          <w:tcPr>
            <w:tcW w:w="911"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kern w:val="0"/>
                <w:sz w:val="18"/>
                <w:szCs w:val="18"/>
                <w:highlight w:val="none"/>
              </w:rPr>
              <w:t>临时措施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20" w:type="pct"/>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p>
        </w:tc>
        <w:tc>
          <w:tcPr>
            <w:tcW w:w="2125" w:type="pct"/>
            <w:gridSpan w:val="4"/>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lang w:eastAsia="zh-CN"/>
              </w:rPr>
            </w:pPr>
            <w:r>
              <w:rPr>
                <w:rFonts w:hint="default" w:ascii="Times New Roman" w:hAnsi="Times New Roman" w:eastAsia="仿宋" w:cs="Times New Roman"/>
                <w:sz w:val="18"/>
                <w:szCs w:val="18"/>
              </w:rPr>
              <w:t>雨水管线</w:t>
            </w:r>
            <w:r>
              <w:rPr>
                <w:rFonts w:hint="eastAsia" w:eastAsia="仿宋" w:cs="Times New Roman"/>
                <w:sz w:val="18"/>
                <w:szCs w:val="18"/>
                <w:lang w:val="en-US" w:eastAsia="zh-CN"/>
              </w:rPr>
              <w:t>2600m</w:t>
            </w:r>
            <w:r>
              <w:rPr>
                <w:rFonts w:hint="default" w:ascii="Times New Roman" w:hAnsi="Times New Roman" w:eastAsia="仿宋" w:cs="Times New Roman"/>
                <w:sz w:val="18"/>
                <w:szCs w:val="18"/>
              </w:rPr>
              <w:t>，</w:t>
            </w:r>
            <w:r>
              <w:rPr>
                <w:rFonts w:hint="eastAsia" w:eastAsia="仿宋" w:cs="Times New Roman"/>
                <w:sz w:val="18"/>
                <w:szCs w:val="18"/>
                <w:lang w:eastAsia="zh-CN"/>
              </w:rPr>
              <w:t>雨水口</w:t>
            </w:r>
            <w:r>
              <w:rPr>
                <w:rFonts w:hint="eastAsia" w:eastAsia="仿宋" w:cs="Times New Roman"/>
                <w:sz w:val="18"/>
                <w:szCs w:val="18"/>
                <w:lang w:val="en-US" w:eastAsia="zh-CN"/>
              </w:rPr>
              <w:t>260</w:t>
            </w:r>
            <w:r>
              <w:rPr>
                <w:rFonts w:hint="default" w:ascii="Times New Roman" w:hAnsi="Times New Roman" w:eastAsia="仿宋" w:cs="Times New Roman"/>
                <w:sz w:val="18"/>
                <w:szCs w:val="18"/>
              </w:rPr>
              <w:t>个、绿化土回覆</w:t>
            </w:r>
            <w:r>
              <w:rPr>
                <w:rFonts w:hint="eastAsia" w:eastAsia="仿宋" w:cs="Times New Roman"/>
                <w:sz w:val="18"/>
                <w:szCs w:val="18"/>
                <w:lang w:val="en-US" w:eastAsia="zh-CN"/>
              </w:rPr>
              <w:t>1.20</w:t>
            </w:r>
            <w:r>
              <w:rPr>
                <w:rFonts w:hint="default" w:ascii="Times New Roman" w:hAnsi="Times New Roman" w:eastAsia="仿宋" w:cs="Times New Roman"/>
                <w:sz w:val="18"/>
                <w:szCs w:val="18"/>
                <w:lang w:val="en-US" w:eastAsia="zh-CN"/>
              </w:rPr>
              <w:t>万</w:t>
            </w:r>
            <w:r>
              <w:rPr>
                <w:rFonts w:hint="default" w:ascii="Times New Roman" w:hAnsi="Times New Roman" w:eastAsia="仿宋" w:cs="Times New Roman"/>
                <w:sz w:val="18"/>
                <w:szCs w:val="18"/>
                <w:lang w:eastAsia="zh-CN"/>
              </w:rPr>
              <w:t>m³</w:t>
            </w:r>
            <w:r>
              <w:rPr>
                <w:rFonts w:hint="default" w:ascii="Times New Roman" w:hAnsi="Times New Roman" w:eastAsia="仿宋" w:cs="Times New Roman"/>
                <w:sz w:val="18"/>
                <w:szCs w:val="18"/>
              </w:rPr>
              <w:t>、全面整地</w:t>
            </w:r>
            <w:r>
              <w:rPr>
                <w:rFonts w:hint="eastAsia" w:eastAsia="仿宋" w:cs="Times New Roman"/>
                <w:sz w:val="18"/>
                <w:szCs w:val="18"/>
                <w:lang w:val="en-US" w:eastAsia="zh-CN"/>
              </w:rPr>
              <w:t>3.99</w:t>
            </w:r>
            <w:r>
              <w:rPr>
                <w:rFonts w:hint="default" w:ascii="Times New Roman" w:hAnsi="Times New Roman" w:eastAsia="仿宋" w:cs="Times New Roman"/>
                <w:sz w:val="18"/>
                <w:szCs w:val="18"/>
                <w:lang w:eastAsia="zh-CN"/>
              </w:rPr>
              <w:t>hm²</w:t>
            </w:r>
          </w:p>
        </w:tc>
        <w:tc>
          <w:tcPr>
            <w:tcW w:w="1342" w:type="pct"/>
            <w:gridSpan w:val="6"/>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lang w:val="en-US" w:eastAsia="zh-CN"/>
              </w:rPr>
            </w:pPr>
            <w:r>
              <w:rPr>
                <w:rFonts w:hint="default" w:ascii="Times New Roman" w:hAnsi="Times New Roman" w:eastAsia="仿宋" w:cs="Times New Roman"/>
                <w:sz w:val="18"/>
                <w:szCs w:val="18"/>
                <w:lang w:val="en-US" w:eastAsia="zh-CN"/>
              </w:rPr>
              <w:t>绿化</w:t>
            </w:r>
            <w:r>
              <w:rPr>
                <w:rFonts w:hint="eastAsia" w:eastAsia="仿宋" w:cs="Times New Roman"/>
                <w:sz w:val="18"/>
                <w:szCs w:val="18"/>
                <w:lang w:val="en-US" w:eastAsia="zh-CN"/>
              </w:rPr>
              <w:t>39933.28</w:t>
            </w:r>
            <w:r>
              <w:rPr>
                <w:rFonts w:hint="default" w:ascii="Times New Roman" w:hAnsi="Times New Roman" w:eastAsia="仿宋" w:cs="Times New Roman"/>
                <w:sz w:val="18"/>
                <w:szCs w:val="18"/>
                <w:lang w:eastAsia="zh-CN"/>
              </w:rPr>
              <w:t>m²</w:t>
            </w:r>
          </w:p>
        </w:tc>
        <w:tc>
          <w:tcPr>
            <w:tcW w:w="911"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lang w:eastAsia="zh-CN"/>
              </w:rPr>
            </w:pPr>
            <w:r>
              <w:rPr>
                <w:rFonts w:hint="default" w:ascii="Times New Roman" w:hAnsi="Times New Roman" w:eastAsia="仿宋" w:cs="Times New Roman"/>
                <w:sz w:val="18"/>
                <w:szCs w:val="18"/>
                <w:highlight w:val="none"/>
                <w:shd w:val="clear"/>
                <w:lang w:eastAsia="zh-CN"/>
              </w:rPr>
              <w:t>密目网苫盖</w:t>
            </w:r>
            <w:r>
              <w:rPr>
                <w:rFonts w:hint="eastAsia" w:eastAsia="仿宋" w:cs="Times New Roman"/>
                <w:sz w:val="18"/>
                <w:szCs w:val="18"/>
                <w:highlight w:val="none"/>
                <w:shd w:val="clear"/>
                <w:lang w:val="en-US" w:eastAsia="zh-CN"/>
              </w:rPr>
              <w:t>2965</w:t>
            </w:r>
            <w:r>
              <w:rPr>
                <w:rFonts w:hint="default" w:ascii="Times New Roman" w:hAnsi="Times New Roman" w:eastAsia="仿宋" w:cs="Times New Roman"/>
                <w:sz w:val="18"/>
                <w:szCs w:val="18"/>
                <w:highlight w:val="none"/>
                <w:shd w:val="clear"/>
                <w:lang w:eastAsia="zh-CN"/>
              </w:rPr>
              <w:t>m²</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13"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投资（万元）</w:t>
            </w:r>
          </w:p>
        </w:tc>
        <w:tc>
          <w:tcPr>
            <w:tcW w:w="1532"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eastAsia" w:eastAsia="仿宋_GB2312" w:cs="Times New Roman"/>
                <w:sz w:val="18"/>
                <w:szCs w:val="18"/>
                <w:highlight w:val="none"/>
                <w:lang w:eastAsia="zh-CN"/>
              </w:rPr>
              <w:t>285.61</w:t>
            </w:r>
          </w:p>
        </w:tc>
        <w:tc>
          <w:tcPr>
            <w:tcW w:w="1342" w:type="pct"/>
            <w:gridSpan w:val="6"/>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eastAsia" w:eastAsia="仿宋_GB2312" w:cs="Times New Roman"/>
                <w:sz w:val="18"/>
                <w:szCs w:val="18"/>
                <w:highlight w:val="none"/>
                <w:lang w:eastAsia="zh-CN"/>
              </w:rPr>
              <w:t>479.20</w:t>
            </w:r>
          </w:p>
        </w:tc>
        <w:tc>
          <w:tcPr>
            <w:tcW w:w="911"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val="en-US" w:eastAsia="zh-CN"/>
              </w:rPr>
            </w:pPr>
            <w:r>
              <w:rPr>
                <w:rFonts w:hint="eastAsia" w:eastAsia="仿宋_GB2312" w:cs="Times New Roman"/>
                <w:sz w:val="18"/>
                <w:szCs w:val="18"/>
                <w:highlight w:val="none"/>
                <w:lang w:val="en-US" w:eastAsia="zh-CN"/>
              </w:rPr>
              <w:t>3.34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13"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水土保持总投资（万元）</w:t>
            </w:r>
          </w:p>
        </w:tc>
        <w:tc>
          <w:tcPr>
            <w:tcW w:w="1532"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eastAsia" w:eastAsia="仿宋_GB2312" w:cs="Times New Roman"/>
                <w:sz w:val="18"/>
                <w:szCs w:val="18"/>
                <w:highlight w:val="none"/>
                <w:lang w:eastAsia="zh-CN"/>
              </w:rPr>
              <w:t>842.14</w:t>
            </w:r>
          </w:p>
        </w:tc>
        <w:tc>
          <w:tcPr>
            <w:tcW w:w="1342" w:type="pct"/>
            <w:gridSpan w:val="6"/>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独立费用（万元）</w:t>
            </w:r>
          </w:p>
        </w:tc>
        <w:tc>
          <w:tcPr>
            <w:tcW w:w="911"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val="en-US" w:eastAsia="zh-CN"/>
              </w:rPr>
            </w:pPr>
            <w:r>
              <w:rPr>
                <w:rFonts w:hint="eastAsia" w:eastAsia="仿宋_GB2312" w:cs="Times New Roman"/>
                <w:sz w:val="18"/>
                <w:szCs w:val="18"/>
                <w:highlight w:val="none"/>
                <w:lang w:val="en-US" w:eastAsia="zh-CN"/>
              </w:rPr>
              <w:t>69.67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13"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监理费（万元）</w:t>
            </w:r>
          </w:p>
        </w:tc>
        <w:tc>
          <w:tcPr>
            <w:tcW w:w="487"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val="en-US" w:eastAsia="zh-CN"/>
              </w:rPr>
            </w:pPr>
            <w:r>
              <w:rPr>
                <w:rFonts w:hint="eastAsia" w:eastAsia="仿宋_GB2312" w:cs="Times New Roman"/>
                <w:sz w:val="18"/>
                <w:szCs w:val="18"/>
                <w:highlight w:val="none"/>
                <w:lang w:val="en-US" w:eastAsia="zh-CN"/>
              </w:rPr>
              <w:t>16</w:t>
            </w:r>
          </w:p>
        </w:tc>
        <w:tc>
          <w:tcPr>
            <w:tcW w:w="1045"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监测费（万元）</w:t>
            </w:r>
          </w:p>
        </w:tc>
        <w:tc>
          <w:tcPr>
            <w:tcW w:w="765"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val="en-US" w:eastAsia="zh-CN"/>
              </w:rPr>
            </w:pPr>
            <w:r>
              <w:rPr>
                <w:rFonts w:hint="eastAsia" w:eastAsia="仿宋_GB2312" w:cs="Times New Roman"/>
                <w:sz w:val="18"/>
                <w:szCs w:val="18"/>
                <w:highlight w:val="none"/>
                <w:lang w:val="en-US" w:eastAsia="zh-CN"/>
              </w:rPr>
              <w:t>15.62</w:t>
            </w:r>
          </w:p>
        </w:tc>
        <w:tc>
          <w:tcPr>
            <w:tcW w:w="933" w:type="pct"/>
            <w:gridSpan w:val="5"/>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补偿费（万元）</w:t>
            </w:r>
          </w:p>
        </w:tc>
        <w:tc>
          <w:tcPr>
            <w:tcW w:w="555"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val="en-US" w:eastAsia="zh-CN"/>
              </w:rPr>
            </w:pPr>
            <w:r>
              <w:rPr>
                <w:rFonts w:hint="eastAsia" w:eastAsia="仿宋_GB2312" w:cs="Times New Roman"/>
                <w:sz w:val="18"/>
                <w:szCs w:val="18"/>
                <w:highlight w:val="none"/>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13" w:type="pct"/>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方案编制单位</w:t>
            </w:r>
          </w:p>
        </w:tc>
        <w:tc>
          <w:tcPr>
            <w:tcW w:w="1532"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lang w:eastAsia="zh-CN"/>
              </w:rPr>
            </w:pPr>
            <w:r>
              <w:rPr>
                <w:rFonts w:hint="eastAsia" w:eastAsia="仿宋" w:cs="Times New Roman"/>
                <w:sz w:val="18"/>
                <w:szCs w:val="18"/>
                <w:highlight w:val="none"/>
                <w:lang w:eastAsia="zh-CN"/>
              </w:rPr>
              <w:t>吉林省晟元工程咨询有限公司</w:t>
            </w:r>
          </w:p>
        </w:tc>
        <w:tc>
          <w:tcPr>
            <w:tcW w:w="765"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建设单位</w:t>
            </w:r>
          </w:p>
        </w:tc>
        <w:tc>
          <w:tcPr>
            <w:tcW w:w="1488" w:type="pct"/>
            <w:gridSpan w:val="6"/>
            <w:noWrap w:val="0"/>
            <w:vAlign w:val="center"/>
          </w:tcPr>
          <w:p>
            <w:pPr>
              <w:pStyle w:val="47"/>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lang w:eastAsia="zh-CN"/>
              </w:rPr>
            </w:pPr>
            <w:r>
              <w:rPr>
                <w:rFonts w:hint="default" w:ascii="Times New Roman" w:hAnsi="Times New Roman" w:eastAsia="仿宋" w:cs="Times New Roman"/>
                <w:snapToGrid w:val="0"/>
                <w:kern w:val="0"/>
                <w:sz w:val="18"/>
                <w:szCs w:val="18"/>
                <w:highlight w:val="none"/>
                <w:lang w:eastAsia="zh-CN"/>
              </w:rPr>
              <w:t>长春市瑞通投资有限公司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13" w:type="pct"/>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法定代表人</w:t>
            </w:r>
          </w:p>
        </w:tc>
        <w:tc>
          <w:tcPr>
            <w:tcW w:w="1532" w:type="pct"/>
            <w:gridSpan w:val="2"/>
            <w:noWrap w:val="0"/>
            <w:vAlign w:val="center"/>
          </w:tcPr>
          <w:p>
            <w:pPr>
              <w:pStyle w:val="47"/>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lang w:eastAsia="zh-CN"/>
              </w:rPr>
            </w:pPr>
            <w:r>
              <w:rPr>
                <w:rFonts w:hint="eastAsia" w:ascii="Times New Roman" w:hAnsi="Times New Roman" w:eastAsia="仿宋" w:cs="Times New Roman"/>
                <w:sz w:val="18"/>
                <w:szCs w:val="18"/>
                <w:highlight w:val="none"/>
                <w:lang w:eastAsia="zh-CN"/>
              </w:rPr>
              <w:t>刘伟明</w:t>
            </w:r>
          </w:p>
        </w:tc>
        <w:tc>
          <w:tcPr>
            <w:tcW w:w="765"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法定代表人</w:t>
            </w:r>
          </w:p>
        </w:tc>
        <w:tc>
          <w:tcPr>
            <w:tcW w:w="1488" w:type="pct"/>
            <w:gridSpan w:val="6"/>
            <w:noWrap w:val="0"/>
            <w:vAlign w:val="center"/>
          </w:tcPr>
          <w:p>
            <w:pPr>
              <w:pStyle w:val="47"/>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lang w:eastAsia="zh-CN"/>
              </w:rPr>
            </w:pPr>
            <w:r>
              <w:rPr>
                <w:rFonts w:hint="default" w:ascii="Times New Roman" w:hAnsi="Times New Roman" w:eastAsia="仿宋" w:cs="Times New Roman"/>
                <w:snapToGrid w:val="0"/>
                <w:kern w:val="0"/>
                <w:sz w:val="18"/>
                <w:szCs w:val="18"/>
                <w:highlight w:val="none"/>
                <w:lang w:eastAsia="zh-CN"/>
              </w:rPr>
              <w:t>李延宾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13" w:type="pct"/>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地址</w:t>
            </w:r>
          </w:p>
        </w:tc>
        <w:tc>
          <w:tcPr>
            <w:tcW w:w="1532" w:type="pct"/>
            <w:gridSpan w:val="2"/>
            <w:noWrap w:val="0"/>
            <w:vAlign w:val="center"/>
          </w:tcPr>
          <w:p>
            <w:pPr>
              <w:pStyle w:val="47"/>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lang w:eastAsia="zh-CN"/>
              </w:rPr>
            </w:pPr>
            <w:r>
              <w:rPr>
                <w:rFonts w:hint="eastAsia" w:ascii="Times New Roman" w:hAnsi="Times New Roman" w:eastAsia="仿宋" w:cs="Times New Roman"/>
                <w:sz w:val="18"/>
                <w:szCs w:val="18"/>
                <w:highlight w:val="none"/>
                <w:lang w:eastAsia="zh-CN"/>
              </w:rPr>
              <w:t>长春市经济开发区会展大街以西，北海路以南北海丽景一期工程15#楼1003号</w:t>
            </w:r>
          </w:p>
        </w:tc>
        <w:tc>
          <w:tcPr>
            <w:tcW w:w="765"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地址</w:t>
            </w:r>
          </w:p>
        </w:tc>
        <w:tc>
          <w:tcPr>
            <w:tcW w:w="1488" w:type="pct"/>
            <w:gridSpan w:val="6"/>
            <w:noWrap w:val="0"/>
            <w:vAlign w:val="center"/>
          </w:tcPr>
          <w:p>
            <w:pPr>
              <w:pStyle w:val="47"/>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pacing w:val="14"/>
                <w:sz w:val="18"/>
                <w:szCs w:val="18"/>
              </w:rPr>
              <w:t>长</w:t>
            </w:r>
            <w:r>
              <w:rPr>
                <w:rFonts w:hint="default" w:ascii="Times New Roman" w:hAnsi="Times New Roman" w:eastAsia="仿宋" w:cs="Times New Roman"/>
                <w:spacing w:val="8"/>
                <w:sz w:val="18"/>
                <w:szCs w:val="18"/>
              </w:rPr>
              <w:t>春市二道区广德街</w:t>
            </w:r>
            <w:r>
              <w:rPr>
                <w:rFonts w:hint="default" w:ascii="Times New Roman" w:hAnsi="Times New Roman" w:eastAsia="仿宋" w:cs="Times New Roman"/>
                <w:spacing w:val="1"/>
                <w:sz w:val="18"/>
                <w:szCs w:val="18"/>
              </w:rPr>
              <w:t>1128号</w:t>
            </w:r>
            <w:r>
              <w:rPr>
                <w:rFonts w:hint="default" w:ascii="Times New Roman" w:hAnsi="Times New Roman" w:eastAsia="仿宋" w:cs="Times New Roman"/>
                <w:sz w:val="18"/>
                <w:szCs w:val="18"/>
              </w:rPr>
              <w:t>303室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13" w:type="pct"/>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邮编</w:t>
            </w:r>
          </w:p>
        </w:tc>
        <w:tc>
          <w:tcPr>
            <w:tcW w:w="1532"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130022</w:t>
            </w:r>
          </w:p>
        </w:tc>
        <w:tc>
          <w:tcPr>
            <w:tcW w:w="765"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邮编</w:t>
            </w:r>
          </w:p>
        </w:tc>
        <w:tc>
          <w:tcPr>
            <w:tcW w:w="1488" w:type="pct"/>
            <w:gridSpan w:val="6"/>
            <w:noWrap w:val="0"/>
            <w:vAlign w:val="center"/>
          </w:tcPr>
          <w:p>
            <w:pPr>
              <w:pStyle w:val="47"/>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i w:val="0"/>
                <w:iCs w:val="0"/>
                <w:caps w:val="0"/>
                <w:color w:val="333333"/>
                <w:spacing w:val="0"/>
                <w:sz w:val="18"/>
                <w:szCs w:val="18"/>
                <w:shd w:val="clear" w:color="auto" w:fill="FFFFFF"/>
              </w:rPr>
              <w:t>130031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13" w:type="pct"/>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联系人及电话</w:t>
            </w:r>
          </w:p>
        </w:tc>
        <w:tc>
          <w:tcPr>
            <w:tcW w:w="1532"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lang w:eastAsia="zh-CN"/>
              </w:rPr>
            </w:pPr>
            <w:r>
              <w:rPr>
                <w:rFonts w:hint="eastAsia" w:eastAsia="仿宋" w:cs="Times New Roman"/>
                <w:sz w:val="18"/>
                <w:szCs w:val="18"/>
                <w:highlight w:val="none"/>
                <w:lang w:val="en-US" w:eastAsia="zh-CN"/>
              </w:rPr>
              <w:t>张聪</w:t>
            </w:r>
            <w:r>
              <w:rPr>
                <w:rFonts w:hint="default" w:ascii="Times New Roman" w:hAnsi="Times New Roman" w:eastAsia="仿宋" w:cs="Times New Roman"/>
                <w:sz w:val="18"/>
                <w:szCs w:val="18"/>
                <w:highlight w:val="none"/>
                <w:lang w:val="en-US" w:eastAsia="zh-CN"/>
              </w:rPr>
              <w:t>/</w:t>
            </w:r>
            <w:r>
              <w:rPr>
                <w:rFonts w:hint="eastAsia" w:eastAsia="仿宋" w:cs="Times New Roman"/>
                <w:sz w:val="18"/>
                <w:szCs w:val="18"/>
                <w:highlight w:val="none"/>
                <w:lang w:eastAsia="zh-CN"/>
              </w:rPr>
              <w:t>17707777117</w:t>
            </w:r>
          </w:p>
        </w:tc>
        <w:tc>
          <w:tcPr>
            <w:tcW w:w="765"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联系人及电话</w:t>
            </w:r>
          </w:p>
        </w:tc>
        <w:tc>
          <w:tcPr>
            <w:tcW w:w="1488" w:type="pct"/>
            <w:gridSpan w:val="6"/>
            <w:noWrap w:val="0"/>
            <w:vAlign w:val="center"/>
          </w:tcPr>
          <w:p>
            <w:pPr>
              <w:pStyle w:val="47"/>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napToGrid w:val="0"/>
                <w:kern w:val="0"/>
                <w:sz w:val="18"/>
                <w:szCs w:val="18"/>
                <w:highlight w:val="none"/>
                <w:lang w:val="en-US" w:eastAsia="zh-CN"/>
              </w:rPr>
              <w:t>田文超</w:t>
            </w:r>
            <w:r>
              <w:rPr>
                <w:rFonts w:hint="default" w:ascii="Times New Roman" w:hAnsi="Times New Roman" w:eastAsia="仿宋" w:cs="Times New Roman"/>
                <w:snapToGrid w:val="0"/>
                <w:kern w:val="0"/>
                <w:sz w:val="18"/>
                <w:szCs w:val="18"/>
                <w:highlight w:val="none"/>
              </w:rPr>
              <w:t>/15044021478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13" w:type="pct"/>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电子信箱</w:t>
            </w:r>
          </w:p>
        </w:tc>
        <w:tc>
          <w:tcPr>
            <w:tcW w:w="1532"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lang w:val="en-US" w:eastAsia="zh-CN"/>
              </w:rPr>
            </w:pPr>
            <w:r>
              <w:rPr>
                <w:rFonts w:hint="eastAsia" w:ascii="Times New Roman" w:hAnsi="Times New Roman" w:eastAsia="仿宋_GB2312" w:cs="Times New Roman"/>
                <w:snapToGrid w:val="0"/>
                <w:color w:val="000000"/>
                <w:kern w:val="0"/>
                <w:sz w:val="18"/>
                <w:szCs w:val="18"/>
                <w:highlight w:val="none"/>
                <w:lang w:eastAsia="zh-CN"/>
              </w:rPr>
              <w:t>842858755</w:t>
            </w:r>
            <w:r>
              <w:rPr>
                <w:rFonts w:hint="default" w:ascii="Times New Roman" w:hAnsi="Times New Roman" w:eastAsia="仿宋_GB2312" w:cs="Times New Roman"/>
                <w:snapToGrid w:val="0"/>
                <w:color w:val="000000"/>
                <w:kern w:val="0"/>
                <w:sz w:val="18"/>
                <w:szCs w:val="18"/>
                <w:highlight w:val="none"/>
              </w:rPr>
              <w:t>@qq.com</w:t>
            </w:r>
          </w:p>
        </w:tc>
        <w:tc>
          <w:tcPr>
            <w:tcW w:w="765"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电子信箱</w:t>
            </w:r>
          </w:p>
        </w:tc>
        <w:tc>
          <w:tcPr>
            <w:tcW w:w="1488" w:type="pct"/>
            <w:gridSpan w:val="6"/>
            <w:noWrap w:val="0"/>
            <w:vAlign w:val="center"/>
          </w:tcPr>
          <w:p>
            <w:pPr>
              <w:pStyle w:val="47"/>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napToGrid w:val="0"/>
                <w:kern w:val="0"/>
                <w:sz w:val="18"/>
                <w:szCs w:val="18"/>
                <w:highlight w:val="none"/>
              </w:rPr>
              <w:t>523927267@qq.com</w:t>
            </w:r>
          </w:p>
        </w:tc>
      </w:tr>
    </w:tbl>
    <w:p>
      <w:pPr>
        <w:pageBreakBefore w:val="0"/>
        <w:kinsoku/>
        <w:wordWrap/>
        <w:bidi w:val="0"/>
        <w:spacing w:line="360" w:lineRule="auto"/>
        <w:jc w:val="center"/>
        <w:outlineLvl w:val="0"/>
        <w:rPr>
          <w:rFonts w:hint="default" w:ascii="Times New Roman" w:hAnsi="Times New Roman" w:eastAsia="仿宋_GB2312" w:cs="Times New Roman"/>
          <w:b/>
          <w:bCs/>
          <w:snapToGrid w:val="0"/>
          <w:highlight w:val="none"/>
        </w:rPr>
        <w:sectPr>
          <w:headerReference r:id="rId7" w:type="default"/>
          <w:footerReference r:id="rId8" w:type="default"/>
          <w:pgSz w:w="11906" w:h="16838"/>
          <w:pgMar w:top="1440" w:right="1701" w:bottom="1440" w:left="1797"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bookmarkStart w:id="45" w:name="_1_总_则"/>
      <w:bookmarkEnd w:id="45"/>
      <w:bookmarkStart w:id="46" w:name="_Toc63846061"/>
      <w:bookmarkStart w:id="47" w:name="_Toc70670608"/>
      <w:bookmarkStart w:id="48" w:name="_Toc93562109"/>
      <w:bookmarkStart w:id="49" w:name="_Toc85681893"/>
      <w:bookmarkStart w:id="50" w:name="_Toc84903249"/>
      <w:bookmarkStart w:id="51" w:name="_Toc71019203"/>
      <w:bookmarkStart w:id="52" w:name="_Toc70480564"/>
      <w:bookmarkStart w:id="53" w:name="_Toc72119346"/>
      <w:bookmarkStart w:id="54" w:name="_Toc85905435"/>
      <w:bookmarkStart w:id="55" w:name="_Toc84902355"/>
      <w:bookmarkStart w:id="56" w:name="_Toc85683198"/>
      <w:bookmarkStart w:id="57" w:name="_Toc72031765"/>
      <w:bookmarkStart w:id="58" w:name="_Toc85682055"/>
      <w:bookmarkStart w:id="59" w:name="_Toc84902750"/>
      <w:bookmarkStart w:id="60" w:name="_Toc84903305"/>
      <w:bookmarkStart w:id="61" w:name="_Toc71770229"/>
      <w:bookmarkStart w:id="62" w:name="_Toc71019311"/>
      <w:bookmarkStart w:id="63" w:name="_Toc85681655"/>
      <w:bookmarkStart w:id="64" w:name="_Toc71963285"/>
      <w:bookmarkStart w:id="65" w:name="_Toc72112396"/>
      <w:bookmarkStart w:id="66" w:name="_Toc84903103"/>
      <w:bookmarkStart w:id="67" w:name="_Toc63847022"/>
      <w:bookmarkStart w:id="68" w:name="_Toc85905597"/>
      <w:bookmarkStart w:id="69" w:name="_Toc70480666"/>
      <w:bookmarkStart w:id="70" w:name="_Toc93231886"/>
      <w:bookmarkStart w:id="71" w:name="_Toc93231741"/>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sectPr>
          <w:headerReference r:id="rId9" w:type="default"/>
          <w:footerReference r:id="rId10" w:type="default"/>
          <w:type w:val="continuous"/>
          <w:pgSz w:w="11906" w:h="16838"/>
          <w:pgMar w:top="1440" w:right="1701"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p>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Pr>
        <w:pStyle w:val="4"/>
        <w:bidi w:val="0"/>
        <w:rPr>
          <w:rFonts w:hint="default" w:ascii="Times New Roman" w:hAnsi="Times New Roman" w:cs="Times New Roman"/>
        </w:rPr>
      </w:pPr>
      <w:bookmarkStart w:id="437" w:name="_GoBack"/>
      <w:bookmarkEnd w:id="437"/>
      <w:bookmarkStart w:id="72" w:name="_Toc85681664"/>
      <w:bookmarkStart w:id="73" w:name="_Toc71019315"/>
      <w:bookmarkStart w:id="74" w:name="_Toc85682059"/>
      <w:bookmarkStart w:id="75" w:name="_Toc84902759"/>
      <w:bookmarkStart w:id="76" w:name="_Toc84903253"/>
      <w:bookmarkStart w:id="77" w:name="_Toc70480568"/>
      <w:bookmarkStart w:id="78" w:name="_Toc71019207"/>
      <w:bookmarkStart w:id="79" w:name="_Toc71770233"/>
      <w:bookmarkStart w:id="80" w:name="_Toc84903112"/>
      <w:bookmarkStart w:id="81" w:name="_Toc3288"/>
      <w:bookmarkStart w:id="82" w:name="_Toc8216"/>
      <w:bookmarkStart w:id="83" w:name="_Toc93231890"/>
      <w:bookmarkStart w:id="84" w:name="_Toc30909"/>
      <w:bookmarkStart w:id="85" w:name="_Toc85681902"/>
      <w:bookmarkStart w:id="86" w:name="_Toc71963289"/>
      <w:bookmarkStart w:id="87" w:name="_Toc72031769"/>
      <w:bookmarkStart w:id="88" w:name="_Toc70670612"/>
      <w:bookmarkStart w:id="89" w:name="_Toc84903309"/>
      <w:bookmarkStart w:id="90" w:name="_Toc93562113"/>
      <w:bookmarkStart w:id="91" w:name="_Toc72119350"/>
      <w:bookmarkStart w:id="92" w:name="_Toc70480670"/>
      <w:bookmarkStart w:id="93" w:name="_Toc85683202"/>
      <w:bookmarkStart w:id="94" w:name="_Toc84902364"/>
      <w:bookmarkStart w:id="95" w:name="_Toc72112400"/>
      <w:bookmarkStart w:id="96" w:name="_Toc63847025"/>
      <w:bookmarkStart w:id="97" w:name="_Toc85905444"/>
      <w:bookmarkStart w:id="98" w:name="_Toc93231750"/>
      <w:bookmarkStart w:id="99" w:name="_Toc85905601"/>
      <w:r>
        <w:rPr>
          <w:rFonts w:hint="default" w:ascii="Times New Roman" w:hAnsi="Times New Roman" w:cs="Times New Roman"/>
        </w:rPr>
        <w:t>2项目概况</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pPr>
        <w:pStyle w:val="5"/>
        <w:bidi w:val="0"/>
        <w:rPr>
          <w:rFonts w:hint="default" w:ascii="Times New Roman" w:hAnsi="Times New Roman" w:cs="Times New Roman"/>
        </w:rPr>
      </w:pPr>
      <w:bookmarkStart w:id="100" w:name="_Toc29618"/>
      <w:bookmarkStart w:id="101" w:name="_Toc13039"/>
      <w:bookmarkStart w:id="102" w:name="_Toc19823"/>
      <w:bookmarkStart w:id="103" w:name="_Toc71770235"/>
      <w:bookmarkStart w:id="104" w:name="_Toc84903311"/>
      <w:bookmarkStart w:id="105" w:name="_Toc93231752"/>
      <w:bookmarkStart w:id="106" w:name="_Toc85681666"/>
      <w:bookmarkStart w:id="107" w:name="_Toc93231892"/>
      <w:bookmarkStart w:id="108" w:name="_Toc84902366"/>
      <w:bookmarkStart w:id="109" w:name="_Toc72031771"/>
      <w:bookmarkStart w:id="110" w:name="_Toc63847026"/>
      <w:bookmarkStart w:id="111" w:name="_Toc63846064"/>
      <w:bookmarkStart w:id="112" w:name="_Toc70480570"/>
      <w:bookmarkStart w:id="113" w:name="_Toc84903255"/>
      <w:bookmarkStart w:id="114" w:name="_Toc85905603"/>
      <w:bookmarkStart w:id="115" w:name="_Toc84902761"/>
      <w:bookmarkStart w:id="116" w:name="_Toc70480672"/>
      <w:bookmarkStart w:id="117" w:name="_Toc85681904"/>
      <w:bookmarkStart w:id="118" w:name="_Toc71963291"/>
      <w:bookmarkStart w:id="119" w:name="_Toc85682061"/>
      <w:bookmarkStart w:id="120" w:name="_Toc70670614"/>
      <w:bookmarkStart w:id="121" w:name="_Toc71019209"/>
      <w:bookmarkStart w:id="122" w:name="_Toc85905446"/>
      <w:bookmarkStart w:id="123" w:name="_Toc72119352"/>
      <w:bookmarkStart w:id="124" w:name="_Toc93562115"/>
      <w:bookmarkStart w:id="125" w:name="_Toc84903114"/>
      <w:bookmarkStart w:id="126" w:name="_Toc72112402"/>
      <w:bookmarkStart w:id="127" w:name="_Toc71019317"/>
      <w:bookmarkStart w:id="128" w:name="_Toc85683204"/>
      <w:r>
        <w:rPr>
          <w:rFonts w:hint="default" w:ascii="Times New Roman" w:hAnsi="Times New Roman" w:cs="Times New Roman"/>
        </w:rPr>
        <w:t>2.1项目组成及工程布置</w:t>
      </w:r>
      <w:bookmarkEnd w:id="100"/>
      <w:bookmarkEnd w:id="101"/>
      <w:bookmarkEnd w:id="102"/>
    </w:p>
    <w:p>
      <w:pPr>
        <w:pStyle w:val="6"/>
        <w:bidi w:val="0"/>
        <w:rPr>
          <w:rFonts w:hint="default" w:ascii="Times New Roman" w:hAnsi="Times New Roman" w:cs="Times New Roman"/>
        </w:rPr>
      </w:pPr>
      <w:r>
        <w:rPr>
          <w:rFonts w:hint="default" w:ascii="Times New Roman" w:hAnsi="Times New Roman" w:cs="Times New Roman"/>
        </w:rPr>
        <w:t>2.1.1项目基本情况</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sz w:val="24"/>
          <w:szCs w:val="24"/>
          <w:lang w:eastAsia="zh-CN"/>
        </w:rPr>
      </w:pPr>
      <w:bookmarkStart w:id="129" w:name="_Toc251240158"/>
      <w:r>
        <w:rPr>
          <w:rFonts w:hint="default" w:ascii="Times New Roman" w:hAnsi="Times New Roman" w:eastAsia="仿宋_GB2312" w:cs="Times New Roman"/>
          <w:b/>
          <w:bCs/>
          <w:sz w:val="24"/>
          <w:szCs w:val="24"/>
        </w:rPr>
        <w:t>项目名称：</w:t>
      </w:r>
      <w:r>
        <w:rPr>
          <w:rFonts w:hint="default" w:ascii="Times New Roman" w:hAnsi="Times New Roman" w:eastAsia="仿宋_GB2312" w:cs="Times New Roman"/>
          <w:sz w:val="24"/>
          <w:szCs w:val="24"/>
          <w:lang w:val="en-US" w:eastAsia="zh-CN"/>
        </w:rPr>
        <w:t>长春国际物流经济开发区新兴建材产业园区建设</w:t>
      </w:r>
      <w:r>
        <w:rPr>
          <w:rFonts w:hint="eastAsia" w:ascii="Times New Roman" w:hAnsi="Times New Roman" w:eastAsia="仿宋_GB2312" w:cs="Times New Roman"/>
          <w:sz w:val="24"/>
          <w:szCs w:val="24"/>
          <w:lang w:eastAsia="zh-CN"/>
        </w:rPr>
        <w:t>项</w:t>
      </w:r>
      <w:r>
        <w:rPr>
          <w:rFonts w:hint="eastAsia" w:eastAsia="仿宋_GB2312" w:cs="Times New Roman"/>
          <w:sz w:val="24"/>
          <w:szCs w:val="24"/>
          <w:lang w:eastAsia="zh-CN"/>
        </w:rPr>
        <w:t>目</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b/>
          <w:bCs/>
          <w:sz w:val="24"/>
          <w:szCs w:val="24"/>
        </w:rPr>
        <w:t>建设单位：</w:t>
      </w:r>
      <w:r>
        <w:rPr>
          <w:rFonts w:hint="default" w:ascii="Times New Roman" w:hAnsi="Times New Roman" w:eastAsia="仿宋_GB2312" w:cs="Times New Roman"/>
          <w:sz w:val="24"/>
          <w:szCs w:val="24"/>
          <w:lang w:eastAsia="zh-CN"/>
        </w:rPr>
        <w:t>长春市瑞通投资有限公司</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b/>
          <w:bCs/>
          <w:sz w:val="24"/>
          <w:szCs w:val="24"/>
        </w:rPr>
        <w:t>建设性质：</w:t>
      </w:r>
      <w:r>
        <w:rPr>
          <w:rFonts w:hint="default" w:ascii="Times New Roman" w:hAnsi="Times New Roman" w:eastAsia="仿宋_GB2312" w:cs="Times New Roman"/>
          <w:sz w:val="24"/>
          <w:szCs w:val="24"/>
        </w:rPr>
        <w:t>新建建设类项目</w:t>
      </w:r>
    </w:p>
    <w:bookmarkEnd w:id="129"/>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sz w:val="24"/>
          <w:szCs w:val="24"/>
          <w:highlight w:val="none"/>
        </w:rPr>
      </w:pPr>
      <w:bookmarkStart w:id="130" w:name="_Toc251240159"/>
      <w:r>
        <w:rPr>
          <w:rFonts w:hint="default" w:ascii="Times New Roman" w:hAnsi="Times New Roman" w:eastAsia="仿宋_GB2312" w:cs="Times New Roman"/>
          <w:b/>
          <w:bCs/>
          <w:sz w:val="24"/>
          <w:szCs w:val="24"/>
          <w:lang w:val="en-US" w:eastAsia="zh-CN"/>
        </w:rPr>
        <w:t>地理位置：</w:t>
      </w:r>
      <w:r>
        <w:rPr>
          <w:rFonts w:hint="default" w:ascii="Times New Roman" w:hAnsi="Times New Roman" w:eastAsia="仿宋_GB2312" w:cs="Times New Roman"/>
          <w:sz w:val="24"/>
          <w:szCs w:val="24"/>
          <w:lang w:val="en-US" w:eastAsia="zh-CN"/>
        </w:rPr>
        <w:t>长春国际物流经济开发区新兴建材产业园区建设</w:t>
      </w:r>
      <w:r>
        <w:rPr>
          <w:rFonts w:hint="eastAsia" w:eastAsia="仿宋_GB2312" w:cs="Times New Roman"/>
          <w:sz w:val="24"/>
          <w:szCs w:val="24"/>
          <w:lang w:eastAsia="zh-CN"/>
        </w:rPr>
        <w:t>项目</w:t>
      </w:r>
      <w:r>
        <w:rPr>
          <w:rFonts w:hint="default" w:ascii="Times New Roman" w:hAnsi="Times New Roman" w:eastAsia="仿宋_GB2312" w:cs="Times New Roman"/>
          <w:sz w:val="24"/>
          <w:szCs w:val="24"/>
        </w:rPr>
        <w:t>位于</w:t>
      </w:r>
      <w:r>
        <w:rPr>
          <w:rFonts w:hint="default" w:ascii="Times New Roman" w:hAnsi="Times New Roman" w:eastAsia="仿宋_GB2312" w:cs="Times New Roman"/>
          <w:sz w:val="24"/>
          <w:szCs w:val="24"/>
          <w:lang w:eastAsia="zh-CN"/>
        </w:rPr>
        <w:t>长春二道经济开发区（</w:t>
      </w:r>
      <w:r>
        <w:rPr>
          <w:rFonts w:hint="default" w:ascii="Times New Roman" w:hAnsi="Times New Roman" w:eastAsia="仿宋_GB2312" w:cs="Times New Roman"/>
          <w:sz w:val="24"/>
          <w:szCs w:val="24"/>
        </w:rPr>
        <w:t>行政隶属长春市二道区</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系省级开发区</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w:t>
      </w:r>
      <w:bookmarkEnd w:id="130"/>
      <w:r>
        <w:rPr>
          <w:rFonts w:hint="default" w:ascii="Times New Roman" w:hAnsi="Times New Roman" w:eastAsia="仿宋_GB2312" w:cs="Times New Roman"/>
          <w:sz w:val="24"/>
          <w:szCs w:val="24"/>
          <w:lang w:val="en-US" w:eastAsia="zh-CN"/>
        </w:rPr>
        <w:t>坐落于</w:t>
      </w:r>
      <w:r>
        <w:rPr>
          <w:rFonts w:hint="eastAsia" w:eastAsia="仿宋_GB2312" w:cs="Times New Roman"/>
          <w:sz w:val="24"/>
          <w:szCs w:val="24"/>
          <w:lang w:val="en-US" w:eastAsia="zh-CN"/>
        </w:rPr>
        <w:t>常德路以北、英俊东街以东、英凯大街以西</w:t>
      </w:r>
      <w:r>
        <w:rPr>
          <w:rFonts w:hint="default"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highlight w:val="none"/>
        </w:rPr>
        <w:t>中心点坐标为东经125°28′</w:t>
      </w:r>
      <w:r>
        <w:rPr>
          <w:rFonts w:hint="default" w:ascii="Times New Roman" w:hAnsi="Times New Roman" w:eastAsia="仿宋_GB2312" w:cs="Times New Roman"/>
          <w:sz w:val="24"/>
          <w:szCs w:val="24"/>
          <w:highlight w:val="none"/>
          <w:lang w:val="en-US" w:eastAsia="zh-CN"/>
        </w:rPr>
        <w:t>10.6221</w:t>
      </w:r>
      <w:r>
        <w:rPr>
          <w:rFonts w:hint="default" w:ascii="Times New Roman" w:hAnsi="Times New Roman" w:eastAsia="仿宋_GB2312" w:cs="Times New Roman"/>
          <w:sz w:val="24"/>
          <w:szCs w:val="24"/>
          <w:highlight w:val="none"/>
        </w:rPr>
        <w:t>″，北纬43°55′0.</w:t>
      </w:r>
      <w:r>
        <w:rPr>
          <w:rFonts w:hint="default" w:ascii="Times New Roman" w:hAnsi="Times New Roman" w:eastAsia="仿宋_GB2312" w:cs="Times New Roman"/>
          <w:sz w:val="24"/>
          <w:szCs w:val="24"/>
          <w:highlight w:val="none"/>
          <w:lang w:val="en-US" w:eastAsia="zh-CN"/>
        </w:rPr>
        <w:t>6132</w:t>
      </w:r>
      <w:r>
        <w:rPr>
          <w:rFonts w:hint="default" w:ascii="Times New Roman" w:hAnsi="Times New Roman" w:eastAsia="仿宋_GB2312" w:cs="Times New Roman"/>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highlight w:val="none"/>
        </w:rPr>
      </w:pPr>
      <w:r>
        <w:rPr>
          <w:rFonts w:hint="default" w:ascii="Times New Roman" w:hAnsi="Times New Roman" w:eastAsia="仿宋_GB2312" w:cs="Times New Roman"/>
          <w:b/>
          <w:bCs/>
          <w:sz w:val="24"/>
          <w:szCs w:val="24"/>
          <w:lang w:val="en-US" w:eastAsia="zh-CN"/>
        </w:rPr>
        <w:t>建设内容</w:t>
      </w:r>
      <w:r>
        <w:rPr>
          <w:rFonts w:hint="default" w:ascii="Times New Roman" w:hAnsi="Times New Roman" w:eastAsia="仿宋_GB2312" w:cs="Times New Roman"/>
          <w:b/>
          <w:bCs/>
          <w:sz w:val="24"/>
          <w:szCs w:val="24"/>
          <w:highlight w:val="none"/>
          <w:lang w:val="en-US" w:eastAsia="zh-CN"/>
        </w:rPr>
        <w:t>：</w:t>
      </w:r>
      <w:r>
        <w:rPr>
          <w:rFonts w:hint="default" w:ascii="Times New Roman" w:hAnsi="Times New Roman" w:eastAsia="仿宋_GB2312" w:cs="Times New Roman"/>
          <w:b w:val="0"/>
          <w:bCs w:val="0"/>
          <w:sz w:val="24"/>
          <w:szCs w:val="24"/>
          <w:highlight w:val="none"/>
          <w:lang w:val="en-US" w:eastAsia="zh-CN"/>
        </w:rPr>
        <w:t>本期</w:t>
      </w:r>
      <w:r>
        <w:rPr>
          <w:rFonts w:hint="default" w:ascii="Times New Roman" w:hAnsi="Times New Roman" w:eastAsia="仿宋_GB2312" w:cs="Times New Roman"/>
          <w:color w:val="auto"/>
          <w:sz w:val="24"/>
          <w:szCs w:val="24"/>
          <w:highlight w:val="none"/>
        </w:rPr>
        <w:t>项目总用地面积</w:t>
      </w:r>
      <w:r>
        <w:rPr>
          <w:rFonts w:hint="eastAsia" w:eastAsia="仿宋_GB2312" w:cs="Times New Roman"/>
          <w:color w:val="auto"/>
          <w:sz w:val="24"/>
          <w:szCs w:val="24"/>
          <w:highlight w:val="none"/>
          <w:lang w:eastAsia="zh-CN"/>
        </w:rPr>
        <w:t>199833</w:t>
      </w:r>
      <w:r>
        <w:rPr>
          <w:rFonts w:hint="default" w:ascii="Times New Roman" w:hAnsi="Times New Roman" w:eastAsia="仿宋_GB2312" w:cs="Times New Roman"/>
          <w:color w:val="auto"/>
          <w:sz w:val="24"/>
          <w:szCs w:val="24"/>
          <w:highlight w:val="none"/>
          <w:lang w:eastAsia="zh-CN"/>
        </w:rPr>
        <w:t>m²</w:t>
      </w:r>
      <w:r>
        <w:rPr>
          <w:rFonts w:hint="default" w:ascii="Times New Roman" w:hAnsi="Times New Roman" w:eastAsia="仿宋_GB2312" w:cs="Times New Roman"/>
          <w:color w:val="auto"/>
          <w:sz w:val="24"/>
          <w:szCs w:val="24"/>
          <w:highlight w:val="none"/>
        </w:rPr>
        <w:t>，规划总建筑面积</w:t>
      </w:r>
      <w:r>
        <w:rPr>
          <w:rFonts w:hint="eastAsia" w:eastAsia="仿宋_GB2312" w:cs="Times New Roman"/>
          <w:color w:val="auto"/>
          <w:sz w:val="24"/>
          <w:szCs w:val="24"/>
          <w:highlight w:val="none"/>
          <w:lang w:eastAsia="zh-CN"/>
        </w:rPr>
        <w:t>133523.92</w:t>
      </w:r>
      <w:r>
        <w:rPr>
          <w:rFonts w:hint="default" w:ascii="Times New Roman" w:hAnsi="Times New Roman" w:eastAsia="仿宋_GB2312" w:cs="Times New Roman"/>
          <w:color w:val="auto"/>
          <w:sz w:val="24"/>
          <w:szCs w:val="24"/>
          <w:highlight w:val="none"/>
          <w:lang w:eastAsia="zh-CN"/>
        </w:rPr>
        <w:t>m²，</w:t>
      </w:r>
      <w:r>
        <w:rPr>
          <w:rFonts w:hint="default" w:ascii="Times New Roman" w:hAnsi="Times New Roman" w:eastAsia="仿宋_GB2312" w:cs="Times New Roman"/>
          <w:color w:val="auto"/>
          <w:sz w:val="24"/>
          <w:szCs w:val="24"/>
          <w:highlight w:val="none"/>
        </w:rPr>
        <w:t>其中地上建筑面积</w:t>
      </w:r>
      <w:r>
        <w:rPr>
          <w:rFonts w:hint="eastAsia" w:eastAsia="仿宋_GB2312" w:cs="Times New Roman"/>
          <w:color w:val="auto"/>
          <w:sz w:val="24"/>
          <w:szCs w:val="24"/>
          <w:highlight w:val="none"/>
          <w:lang w:eastAsia="zh-CN"/>
        </w:rPr>
        <w:t>132784.35</w:t>
      </w:r>
      <w:r>
        <w:rPr>
          <w:rFonts w:hint="default" w:ascii="Times New Roman" w:hAnsi="Times New Roman" w:eastAsia="仿宋_GB2312" w:cs="Times New Roman"/>
          <w:color w:val="auto"/>
          <w:sz w:val="24"/>
          <w:szCs w:val="24"/>
          <w:highlight w:val="none"/>
          <w:lang w:eastAsia="zh-CN"/>
        </w:rPr>
        <w:t>m²</w:t>
      </w:r>
      <w:r>
        <w:rPr>
          <w:rFonts w:hint="default" w:ascii="Times New Roman" w:hAnsi="Times New Roman" w:eastAsia="仿宋_GB2312" w:cs="Times New Roman"/>
          <w:color w:val="auto"/>
          <w:sz w:val="24"/>
          <w:szCs w:val="24"/>
          <w:highlight w:val="none"/>
        </w:rPr>
        <w:t>，地下建筑面积</w:t>
      </w:r>
      <w:r>
        <w:rPr>
          <w:rFonts w:hint="eastAsia" w:eastAsia="仿宋_GB2312" w:cs="Times New Roman"/>
          <w:color w:val="auto"/>
          <w:sz w:val="24"/>
          <w:szCs w:val="24"/>
          <w:highlight w:val="none"/>
          <w:lang w:eastAsia="zh-CN"/>
        </w:rPr>
        <w:t>739.57</w:t>
      </w:r>
      <w:r>
        <w:rPr>
          <w:rFonts w:hint="default" w:ascii="Times New Roman" w:hAnsi="Times New Roman" w:eastAsia="仿宋_GB2312" w:cs="Times New Roman"/>
          <w:color w:val="auto"/>
          <w:sz w:val="24"/>
          <w:szCs w:val="24"/>
          <w:highlight w:val="none"/>
          <w:lang w:eastAsia="zh-CN"/>
        </w:rPr>
        <w:t>m²，</w:t>
      </w:r>
      <w:r>
        <w:rPr>
          <w:rFonts w:hint="default" w:ascii="Times New Roman" w:hAnsi="Times New Roman" w:eastAsia="仿宋_GB2312" w:cs="Times New Roman"/>
          <w:color w:val="auto"/>
          <w:sz w:val="24"/>
          <w:szCs w:val="24"/>
        </w:rPr>
        <w:t>厂房</w:t>
      </w:r>
      <w:r>
        <w:rPr>
          <w:rFonts w:hint="eastAsia" w:eastAsia="仿宋_GB2312" w:cs="Times New Roman"/>
          <w:color w:val="auto"/>
          <w:sz w:val="24"/>
          <w:szCs w:val="24"/>
          <w:lang w:val="en-US" w:eastAsia="zh-CN"/>
        </w:rPr>
        <w:t>6栋</w:t>
      </w:r>
      <w:r>
        <w:rPr>
          <w:rFonts w:hint="default" w:ascii="Times New Roman" w:hAnsi="Times New Roman" w:eastAsia="仿宋_GB2312" w:cs="Times New Roman"/>
          <w:color w:val="auto"/>
          <w:sz w:val="24"/>
          <w:szCs w:val="24"/>
          <w:lang w:val="en-US" w:eastAsia="zh-CN"/>
        </w:rPr>
        <w:t>面积</w:t>
      </w:r>
      <w:r>
        <w:rPr>
          <w:rFonts w:hint="eastAsia" w:eastAsia="仿宋_GB2312" w:cs="Times New Roman"/>
          <w:color w:val="auto"/>
          <w:sz w:val="24"/>
          <w:szCs w:val="24"/>
          <w:lang w:eastAsia="zh-CN"/>
        </w:rPr>
        <w:t>106815.86</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rPr>
        <w:t>、</w:t>
      </w:r>
      <w:r>
        <w:rPr>
          <w:rFonts w:hint="eastAsia" w:eastAsia="仿宋_GB2312" w:cs="Times New Roman"/>
          <w:color w:val="auto"/>
          <w:sz w:val="24"/>
          <w:szCs w:val="24"/>
          <w:lang w:val="en-US" w:eastAsia="zh-CN"/>
        </w:rPr>
        <w:t>办公楼及食堂11063.98</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rPr>
        <w:t>、</w:t>
      </w:r>
      <w:r>
        <w:rPr>
          <w:rFonts w:hint="eastAsia" w:eastAsia="仿宋_GB2312" w:cs="Times New Roman"/>
          <w:color w:val="auto"/>
          <w:sz w:val="24"/>
          <w:szCs w:val="24"/>
          <w:lang w:val="en-US" w:eastAsia="zh-CN"/>
        </w:rPr>
        <w:t>宿舍楼1栋面积7716.97</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rPr>
        <w:t>、</w:t>
      </w:r>
      <w:r>
        <w:rPr>
          <w:rFonts w:hint="eastAsia" w:eastAsia="仿宋_GB2312" w:cs="Times New Roman"/>
          <w:color w:val="auto"/>
          <w:sz w:val="24"/>
          <w:szCs w:val="24"/>
          <w:lang w:val="en-US" w:eastAsia="zh-CN"/>
        </w:rPr>
        <w:t>实验中心1栋面积3955.97</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rPr>
        <w:t>、</w:t>
      </w:r>
      <w:r>
        <w:rPr>
          <w:rFonts w:hint="eastAsia" w:eastAsia="仿宋_GB2312" w:cs="Times New Roman"/>
          <w:color w:val="auto"/>
          <w:sz w:val="24"/>
          <w:szCs w:val="24"/>
          <w:lang w:val="en-US" w:eastAsia="zh-CN"/>
        </w:rPr>
        <w:t>食堂1栋面积2425.71</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rPr>
        <w:t>、开闭站、变电所、柴发、锅炉房</w:t>
      </w:r>
      <w:r>
        <w:rPr>
          <w:rFonts w:hint="eastAsia" w:eastAsia="仿宋_GB2312" w:cs="Times New Roman"/>
          <w:color w:val="auto"/>
          <w:sz w:val="24"/>
          <w:szCs w:val="24"/>
          <w:lang w:val="en-US" w:eastAsia="zh-CN"/>
        </w:rPr>
        <w:t>面积722.86</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rPr>
        <w:t>、</w:t>
      </w:r>
      <w:r>
        <w:rPr>
          <w:rFonts w:hint="eastAsia" w:eastAsia="仿宋_GB2312" w:cs="Times New Roman"/>
          <w:color w:val="auto"/>
          <w:sz w:val="24"/>
          <w:szCs w:val="24"/>
          <w:lang w:eastAsia="zh-CN"/>
        </w:rPr>
        <w:t>水泵房及水池</w:t>
      </w:r>
      <w:r>
        <w:rPr>
          <w:rFonts w:hint="default" w:ascii="Times New Roman" w:hAnsi="Times New Roman" w:eastAsia="仿宋_GB2312" w:cs="Times New Roman"/>
          <w:color w:val="auto"/>
          <w:sz w:val="24"/>
          <w:szCs w:val="24"/>
          <w:lang w:val="en-US" w:eastAsia="zh-CN"/>
        </w:rPr>
        <w:t>1栋面积</w:t>
      </w:r>
      <w:r>
        <w:rPr>
          <w:rFonts w:hint="eastAsia" w:eastAsia="仿宋_GB2312" w:cs="Times New Roman"/>
          <w:color w:val="auto"/>
          <w:sz w:val="24"/>
          <w:szCs w:val="24"/>
          <w:lang w:eastAsia="zh-CN"/>
        </w:rPr>
        <w:t>729.57</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lang w:val="en-US" w:eastAsia="zh-CN"/>
        </w:rPr>
        <w:t>地上建筑面积</w:t>
      </w:r>
      <w:r>
        <w:rPr>
          <w:rFonts w:hint="eastAsia" w:eastAsia="仿宋_GB2312" w:cs="Times New Roman"/>
          <w:color w:val="auto"/>
          <w:sz w:val="24"/>
          <w:szCs w:val="24"/>
          <w:lang w:val="en-US" w:eastAsia="zh-CN"/>
        </w:rPr>
        <w:t>53</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lang w:val="en-US" w:eastAsia="zh-CN"/>
        </w:rPr>
        <w:t>地下建筑面积</w:t>
      </w:r>
      <w:r>
        <w:rPr>
          <w:rFonts w:hint="eastAsia" w:eastAsia="仿宋_GB2312" w:cs="Times New Roman"/>
          <w:color w:val="auto"/>
          <w:sz w:val="24"/>
          <w:szCs w:val="24"/>
          <w:lang w:val="en-US" w:eastAsia="zh-CN"/>
        </w:rPr>
        <w:t>739.57</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rPr>
        <w:t>、</w:t>
      </w:r>
      <w:r>
        <w:rPr>
          <w:rFonts w:hint="eastAsia" w:eastAsia="仿宋_GB2312" w:cs="Times New Roman"/>
          <w:color w:val="auto"/>
          <w:sz w:val="24"/>
          <w:szCs w:val="24"/>
          <w:lang w:eastAsia="zh-CN"/>
        </w:rPr>
        <w:t>成品岗亭</w:t>
      </w:r>
      <w:r>
        <w:rPr>
          <w:rFonts w:hint="eastAsia" w:eastAsia="仿宋_GB2312" w:cs="Times New Roman"/>
          <w:color w:val="auto"/>
          <w:sz w:val="24"/>
          <w:szCs w:val="24"/>
          <w:lang w:val="en-US" w:eastAsia="zh-CN"/>
        </w:rPr>
        <w:t>5栋</w:t>
      </w:r>
      <w:r>
        <w:rPr>
          <w:rFonts w:hint="default" w:ascii="Times New Roman" w:hAnsi="Times New Roman" w:eastAsia="仿宋_GB2312" w:cs="Times New Roman"/>
          <w:color w:val="auto"/>
          <w:sz w:val="24"/>
          <w:szCs w:val="24"/>
          <w:lang w:val="en-US" w:eastAsia="zh-CN"/>
        </w:rPr>
        <w:t>面积</w:t>
      </w:r>
      <w:r>
        <w:rPr>
          <w:rFonts w:hint="eastAsia" w:eastAsia="仿宋_GB2312" w:cs="Times New Roman"/>
          <w:color w:val="auto"/>
          <w:sz w:val="24"/>
          <w:szCs w:val="24"/>
          <w:lang w:val="en-US" w:eastAsia="zh-CN"/>
        </w:rPr>
        <w:t>30</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z w:val="24"/>
          <w:szCs w:val="24"/>
          <w:lang w:eastAsia="zh-CN"/>
        </w:rPr>
        <w:t>道路及硬化</w:t>
      </w:r>
      <w:r>
        <w:rPr>
          <w:rFonts w:hint="default" w:ascii="Times New Roman" w:hAnsi="Times New Roman" w:eastAsia="仿宋_GB2312" w:cs="Times New Roman"/>
          <w:color w:val="auto"/>
          <w:sz w:val="24"/>
          <w:szCs w:val="24"/>
        </w:rPr>
        <w:t>面积</w:t>
      </w:r>
      <w:r>
        <w:rPr>
          <w:rFonts w:hint="eastAsia" w:eastAsia="仿宋_GB2312" w:cs="Times New Roman"/>
          <w:color w:val="auto"/>
          <w:sz w:val="24"/>
          <w:szCs w:val="24"/>
          <w:lang w:eastAsia="zh-CN"/>
        </w:rPr>
        <w:t>79857.96</w:t>
      </w:r>
      <w:r>
        <w:rPr>
          <w:rFonts w:hint="default" w:ascii="Times New Roman" w:hAnsi="Times New Roman" w:eastAsia="仿宋_GB2312" w:cs="Times New Roman"/>
          <w:color w:val="auto"/>
          <w:sz w:val="24"/>
          <w:szCs w:val="24"/>
          <w:lang w:eastAsia="zh-CN"/>
        </w:rPr>
        <w:t>m²</w:t>
      </w: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z w:val="24"/>
          <w:szCs w:val="24"/>
          <w:lang w:eastAsia="zh-CN"/>
        </w:rPr>
        <w:t>绿化面积</w:t>
      </w:r>
      <w:r>
        <w:rPr>
          <w:rFonts w:hint="eastAsia" w:eastAsia="仿宋_GB2312" w:cs="Times New Roman"/>
          <w:color w:val="auto"/>
          <w:sz w:val="24"/>
          <w:szCs w:val="24"/>
          <w:lang w:val="en-US" w:eastAsia="zh-CN"/>
        </w:rPr>
        <w:t>39933.28</w:t>
      </w:r>
      <w:r>
        <w:rPr>
          <w:rFonts w:hint="default" w:ascii="Times New Roman" w:hAnsi="Times New Roman" w:eastAsia="仿宋_GB2312" w:cs="Times New Roman"/>
          <w:color w:val="auto"/>
          <w:sz w:val="24"/>
          <w:szCs w:val="24"/>
          <w:lang w:val="en-US" w:eastAsia="zh-CN"/>
        </w:rPr>
        <w:t>m²</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rPr>
        <w:t>配套</w:t>
      </w:r>
      <w:r>
        <w:rPr>
          <w:rFonts w:hint="default" w:ascii="Times New Roman" w:hAnsi="Times New Roman" w:eastAsia="仿宋_GB2312" w:cs="Times New Roman"/>
          <w:color w:val="auto"/>
          <w:sz w:val="24"/>
          <w:lang w:eastAsia="zh-CN"/>
        </w:rPr>
        <w:t>供水管线和供电工程等基础设施工程</w:t>
      </w:r>
      <w:r>
        <w:rPr>
          <w:rFonts w:hint="default" w:ascii="Times New Roman" w:hAnsi="Times New Roman" w:eastAsia="仿宋_GB2312" w:cs="Times New Roman"/>
          <w:color w:val="auto"/>
          <w:sz w:val="24"/>
          <w:highlight w:val="none"/>
        </w:rPr>
        <w:t>。</w:t>
      </w:r>
      <w:r>
        <w:rPr>
          <w:rFonts w:hint="default" w:ascii="Times New Roman" w:hAnsi="Times New Roman" w:eastAsia="仿宋_GB2312" w:cs="Times New Roman"/>
          <w:color w:val="auto"/>
          <w:sz w:val="24"/>
          <w:szCs w:val="24"/>
          <w:highlight w:val="none"/>
        </w:rPr>
        <w:t>项目建成后容积率为</w:t>
      </w:r>
      <w:r>
        <w:rPr>
          <w:rFonts w:hint="eastAsia" w:eastAsia="仿宋_GB2312" w:cs="Times New Roman"/>
          <w:color w:val="auto"/>
          <w:sz w:val="24"/>
          <w:szCs w:val="24"/>
          <w:highlight w:val="none"/>
          <w:lang w:eastAsia="zh-CN"/>
        </w:rPr>
        <w:t>0.94</w:t>
      </w:r>
      <w:r>
        <w:rPr>
          <w:rFonts w:hint="default" w:ascii="Times New Roman" w:hAnsi="Times New Roman" w:eastAsia="仿宋_GB2312" w:cs="Times New Roman"/>
          <w:color w:val="auto"/>
          <w:sz w:val="24"/>
          <w:szCs w:val="24"/>
          <w:highlight w:val="none"/>
        </w:rPr>
        <w:t>，绿化率为</w:t>
      </w:r>
      <w:r>
        <w:rPr>
          <w:rFonts w:hint="eastAsia" w:eastAsia="仿宋_GB2312" w:cs="Times New Roman"/>
          <w:color w:val="auto"/>
          <w:sz w:val="24"/>
          <w:szCs w:val="24"/>
          <w:highlight w:val="none"/>
          <w:lang w:val="en-US" w:eastAsia="zh-CN"/>
        </w:rPr>
        <w:t>19.98</w:t>
      </w:r>
      <w:r>
        <w:rPr>
          <w:rFonts w:hint="default" w:ascii="Times New Roman" w:hAnsi="Times New Roman" w:eastAsia="仿宋_GB2312" w:cs="Times New Roman"/>
          <w:color w:val="auto"/>
          <w:sz w:val="24"/>
          <w:szCs w:val="24"/>
          <w:highlight w:val="none"/>
        </w:rPr>
        <w:t>%，建筑密度为</w:t>
      </w:r>
      <w:r>
        <w:rPr>
          <w:rFonts w:hint="eastAsia" w:eastAsia="仿宋_GB2312" w:cs="Times New Roman"/>
          <w:color w:val="auto"/>
          <w:sz w:val="24"/>
          <w:szCs w:val="24"/>
          <w:highlight w:val="none"/>
          <w:lang w:eastAsia="zh-CN"/>
        </w:rPr>
        <w:t>40.05</w:t>
      </w:r>
      <w:r>
        <w:rPr>
          <w:rFonts w:hint="default" w:ascii="Times New Roman" w:hAnsi="Times New Roman" w:eastAsia="仿宋_GB2312" w:cs="Times New Roman"/>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b/>
          <w:bCs/>
          <w:sz w:val="24"/>
          <w:szCs w:val="24"/>
          <w:highlight w:val="none"/>
          <w:lang w:val="en-US" w:eastAsia="zh-CN"/>
        </w:rPr>
        <w:t>项目投资：</w:t>
      </w:r>
      <w:r>
        <w:rPr>
          <w:rFonts w:hint="default" w:ascii="Times New Roman" w:hAnsi="Times New Roman" w:eastAsia="仿宋_GB2312" w:cs="Times New Roman"/>
          <w:sz w:val="24"/>
          <w:szCs w:val="24"/>
          <w:highlight w:val="none"/>
        </w:rPr>
        <w:t>项目总投资为</w:t>
      </w:r>
      <w:r>
        <w:rPr>
          <w:rFonts w:hint="eastAsia" w:eastAsia="仿宋_GB2312" w:cs="Times New Roman"/>
          <w:sz w:val="24"/>
          <w:szCs w:val="24"/>
          <w:highlight w:val="none"/>
          <w:lang w:eastAsia="zh-CN"/>
        </w:rPr>
        <w:t>103196.83</w:t>
      </w:r>
      <w:r>
        <w:rPr>
          <w:rFonts w:hint="default" w:ascii="Times New Roman" w:hAnsi="Times New Roman" w:eastAsia="仿宋_GB2312" w:cs="Times New Roman"/>
          <w:sz w:val="24"/>
          <w:szCs w:val="24"/>
          <w:highlight w:val="none"/>
        </w:rPr>
        <w:t>万元，其中土建投资</w:t>
      </w:r>
      <w:r>
        <w:rPr>
          <w:rFonts w:hint="default" w:ascii="Times New Roman" w:hAnsi="Times New Roman" w:eastAsia="仿宋_GB2312" w:cs="Times New Roman"/>
          <w:sz w:val="24"/>
          <w:szCs w:val="24"/>
          <w:highlight w:val="none"/>
          <w:lang w:eastAsia="zh-CN"/>
        </w:rPr>
        <w:t>为</w:t>
      </w:r>
      <w:r>
        <w:rPr>
          <w:rFonts w:hint="eastAsia" w:eastAsia="仿宋_GB2312" w:cs="Times New Roman"/>
          <w:sz w:val="24"/>
          <w:szCs w:val="24"/>
          <w:highlight w:val="none"/>
          <w:lang w:eastAsia="zh-CN"/>
        </w:rPr>
        <w:t>100173.09</w:t>
      </w:r>
      <w:r>
        <w:rPr>
          <w:rFonts w:hint="default" w:ascii="Times New Roman" w:hAnsi="Times New Roman" w:eastAsia="仿宋_GB2312" w:cs="Times New Roman"/>
          <w:sz w:val="24"/>
          <w:szCs w:val="24"/>
          <w:highlight w:val="none"/>
          <w:lang w:eastAsia="zh-CN"/>
        </w:rPr>
        <w:t>万</w:t>
      </w:r>
      <w:r>
        <w:rPr>
          <w:rFonts w:hint="default" w:ascii="Times New Roman" w:hAnsi="Times New Roman" w:eastAsia="仿宋_GB2312" w:cs="Times New Roman"/>
          <w:sz w:val="24"/>
          <w:szCs w:val="24"/>
          <w:highlight w:val="none"/>
        </w:rPr>
        <w:t>元，工程建设资金采取区财政和申请地方专项债券共同解决。</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b/>
          <w:bCs/>
          <w:sz w:val="24"/>
          <w:szCs w:val="24"/>
          <w:lang w:val="en-US" w:eastAsia="zh-CN"/>
        </w:rPr>
        <w:t>建设工期：</w:t>
      </w:r>
      <w:r>
        <w:rPr>
          <w:rFonts w:hint="default" w:ascii="Times New Roman" w:hAnsi="Times New Roman" w:eastAsia="仿宋_GB2312" w:cs="Times New Roman"/>
          <w:sz w:val="24"/>
          <w:szCs w:val="24"/>
          <w:lang w:eastAsia="zh-CN"/>
        </w:rPr>
        <w:t>本期项目</w:t>
      </w:r>
      <w:r>
        <w:rPr>
          <w:rFonts w:hint="eastAsia" w:eastAsia="仿宋_GB2312" w:cs="Times New Roman"/>
          <w:sz w:val="24"/>
          <w:szCs w:val="24"/>
          <w:lang w:val="en-US" w:eastAsia="zh-CN"/>
        </w:rPr>
        <w:t>计划</w:t>
      </w:r>
      <w:r>
        <w:rPr>
          <w:rFonts w:hint="default" w:ascii="Times New Roman" w:hAnsi="Times New Roman" w:eastAsia="仿宋_GB2312" w:cs="Times New Roman"/>
          <w:sz w:val="24"/>
          <w:szCs w:val="24"/>
        </w:rPr>
        <w:t>于</w:t>
      </w:r>
      <w:r>
        <w:rPr>
          <w:rFonts w:hint="eastAsia" w:eastAsia="仿宋_GB2312" w:cs="Times New Roman"/>
          <w:sz w:val="24"/>
          <w:szCs w:val="24"/>
          <w:lang w:eastAsia="zh-CN"/>
        </w:rPr>
        <w:t>2023年7月</w:t>
      </w:r>
      <w:r>
        <w:rPr>
          <w:rFonts w:hint="default" w:ascii="Times New Roman" w:hAnsi="Times New Roman" w:eastAsia="仿宋_GB2312" w:cs="Times New Roman"/>
          <w:sz w:val="24"/>
          <w:szCs w:val="24"/>
        </w:rPr>
        <w:t>开工，</w:t>
      </w:r>
      <w:r>
        <w:rPr>
          <w:rFonts w:hint="eastAsia" w:eastAsia="仿宋_GB2312" w:cs="Times New Roman"/>
          <w:sz w:val="24"/>
          <w:szCs w:val="24"/>
          <w:lang w:eastAsia="zh-CN"/>
        </w:rPr>
        <w:t>2024年12月</w:t>
      </w:r>
      <w:r>
        <w:rPr>
          <w:rFonts w:hint="default" w:ascii="Times New Roman" w:hAnsi="Times New Roman" w:eastAsia="仿宋_GB2312" w:cs="Times New Roman"/>
          <w:sz w:val="24"/>
          <w:szCs w:val="24"/>
        </w:rPr>
        <w:t>完工，总工期为</w:t>
      </w:r>
      <w:r>
        <w:rPr>
          <w:rFonts w:hint="eastAsia" w:eastAsia="仿宋_GB2312" w:cs="Times New Roman"/>
          <w:sz w:val="24"/>
          <w:szCs w:val="24"/>
          <w:lang w:val="en-US" w:eastAsia="zh-CN"/>
        </w:rPr>
        <w:t>18个</w:t>
      </w:r>
      <w:r>
        <w:rPr>
          <w:rFonts w:hint="default" w:ascii="Times New Roman" w:hAnsi="Times New Roman" w:eastAsia="仿宋_GB2312" w:cs="Times New Roman"/>
          <w:sz w:val="24"/>
          <w:szCs w:val="24"/>
        </w:rPr>
        <w:t>月。</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rPr>
          <w:rFonts w:hint="eastAsia" w:ascii="Times New Roman" w:hAnsi="Times New Roman" w:eastAsia="仿宋_GB2312" w:cs="Times New Roman"/>
          <w:b/>
          <w:bCs/>
          <w:color w:val="auto"/>
          <w:kern w:val="2"/>
          <w:sz w:val="24"/>
          <w:szCs w:val="28"/>
          <w:lang w:val="en-US" w:eastAsia="zh-CN" w:bidi="ar-SA"/>
        </w:rPr>
      </w:pPr>
      <w:r>
        <w:rPr>
          <w:rFonts w:hint="eastAsia" w:ascii="Times New Roman" w:hAnsi="Times New Roman" w:eastAsia="仿宋_GB2312" w:cs="Times New Roman"/>
          <w:b/>
          <w:bCs/>
          <w:color w:val="auto"/>
          <w:kern w:val="2"/>
          <w:sz w:val="24"/>
          <w:szCs w:val="28"/>
          <w:lang w:val="en-US" w:eastAsia="zh-CN" w:bidi="ar-SA"/>
        </w:rPr>
        <w:t>2.1.2项目现状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eastAsia="仿宋_GB2312" w:cs="Times New Roman"/>
          <w:sz w:val="24"/>
          <w:szCs w:val="24"/>
          <w:lang w:val="en-US" w:eastAsia="zh-CN"/>
        </w:rPr>
      </w:pPr>
      <w:r>
        <w:rPr>
          <w:rFonts w:hint="default" w:ascii="Times New Roman" w:hAnsi="Times New Roman" w:eastAsia="仿宋_GB2312" w:cs="Times New Roman"/>
          <w:color w:val="auto"/>
          <w:kern w:val="0"/>
          <w:sz w:val="24"/>
          <w:szCs w:val="24"/>
          <w:lang w:eastAsia="zh-CN"/>
        </w:rPr>
        <w:t>长春国际物流经济开发区新兴建材产业园区建设项目</w:t>
      </w:r>
      <w:r>
        <w:rPr>
          <w:rFonts w:hint="eastAsia" w:ascii="Times New Roman" w:hAnsi="Times New Roman" w:eastAsia="仿宋_GB2312" w:cs="Times New Roman"/>
          <w:color w:val="auto"/>
          <w:kern w:val="0"/>
          <w:sz w:val="24"/>
          <w:szCs w:val="24"/>
          <w:lang w:val="en-US" w:eastAsia="zh-CN"/>
        </w:rPr>
        <w:t>A地块已经开工，目前已经完成厂房和管网建设。</w:t>
      </w:r>
      <w:r>
        <w:rPr>
          <w:rFonts w:hint="default" w:ascii="Times New Roman" w:hAnsi="Times New Roman" w:eastAsia="仿宋_GB2312" w:cs="Times New Roman"/>
          <w:sz w:val="24"/>
          <w:szCs w:val="24"/>
          <w:lang w:val="en-US" w:eastAsia="zh-CN"/>
        </w:rPr>
        <w:t>项目区现状见图2-1</w:t>
      </w:r>
      <w:r>
        <w:rPr>
          <w:rFonts w:hint="eastAsia" w:eastAsia="仿宋_GB2312" w:cs="Times New Roman"/>
          <w:sz w:val="24"/>
          <w:szCs w:val="24"/>
          <w:lang w:val="en-US" w:eastAsia="zh-CN"/>
        </w:rPr>
        <w:t>。</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rPr>
          <w:rFonts w:hint="default"/>
          <w:lang w:val="en-US" w:eastAsia="zh-CN"/>
        </w:rPr>
      </w:pPr>
      <w:r>
        <w:rPr>
          <w:rFonts w:hint="default"/>
          <w:lang w:val="en-US" w:eastAsia="zh-CN"/>
        </w:rPr>
        <w:drawing>
          <wp:inline distT="0" distB="0" distL="114300" distR="114300">
            <wp:extent cx="5338445" cy="4003675"/>
            <wp:effectExtent l="0" t="0" r="14605" b="15875"/>
            <wp:docPr id="17" name="图片 17" descr="微信图片_20230731223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微信图片_20230731223547"/>
                    <pic:cNvPicPr>
                      <a:picLocks noChangeAspect="1"/>
                    </pic:cNvPicPr>
                  </pic:nvPicPr>
                  <pic:blipFill>
                    <a:blip r:embed="rId41"/>
                    <a:stretch>
                      <a:fillRect/>
                    </a:stretch>
                  </pic:blipFill>
                  <pic:spPr>
                    <a:xfrm>
                      <a:off x="0" y="0"/>
                      <a:ext cx="5338445" cy="4003675"/>
                    </a:xfrm>
                    <a:prstGeom prst="rect">
                      <a:avLst/>
                    </a:prstGeom>
                  </pic:spPr>
                </pic:pic>
              </a:graphicData>
            </a:graphic>
          </wp:inline>
        </w:drawing>
      </w:r>
      <w:r>
        <w:rPr>
          <w:rFonts w:hint="default"/>
          <w:lang w:val="en-US" w:eastAsia="zh-CN"/>
        </w:rPr>
        <w:drawing>
          <wp:inline distT="0" distB="0" distL="114300" distR="114300">
            <wp:extent cx="5338445" cy="4003675"/>
            <wp:effectExtent l="0" t="0" r="14605" b="15875"/>
            <wp:docPr id="18" name="图片 18" descr="微信图片_20230731223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微信图片_20230731223542"/>
                    <pic:cNvPicPr>
                      <a:picLocks noChangeAspect="1"/>
                    </pic:cNvPicPr>
                  </pic:nvPicPr>
                  <pic:blipFill>
                    <a:blip r:embed="rId42"/>
                    <a:stretch>
                      <a:fillRect/>
                    </a:stretch>
                  </pic:blipFill>
                  <pic:spPr>
                    <a:xfrm>
                      <a:off x="0" y="0"/>
                      <a:ext cx="5338445" cy="400367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pacing w:val="-8"/>
          <w:sz w:val="21"/>
          <w:szCs w:val="21"/>
          <w:lang w:val="en-US" w:eastAsia="zh-CN"/>
        </w:rPr>
      </w:pPr>
      <w:r>
        <w:rPr>
          <w:rFonts w:hint="eastAsia" w:ascii="Times New Roman" w:hAnsi="Times New Roman" w:eastAsia="微软雅黑" w:cs="Times New Roman"/>
          <w:b w:val="0"/>
          <w:bCs w:val="0"/>
          <w:spacing w:val="-8"/>
          <w:sz w:val="21"/>
          <w:szCs w:val="21"/>
          <w:lang w:val="en-US" w:eastAsia="zh-CN"/>
        </w:rPr>
        <w:t>项目现状（A地块）</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drawing>
          <wp:inline distT="0" distB="0" distL="114300" distR="114300">
            <wp:extent cx="5321935" cy="2993390"/>
            <wp:effectExtent l="0" t="0" r="12065" b="16510"/>
            <wp:docPr id="9" name="图片 9" descr="微信图片_20230607225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图片_202306072251136"/>
                    <pic:cNvPicPr>
                      <a:picLocks noChangeAspect="1"/>
                    </pic:cNvPicPr>
                  </pic:nvPicPr>
                  <pic:blipFill>
                    <a:blip r:embed="rId43"/>
                    <a:stretch>
                      <a:fillRect/>
                    </a:stretch>
                  </pic:blipFill>
                  <pic:spPr>
                    <a:xfrm>
                      <a:off x="0" y="0"/>
                      <a:ext cx="5321935" cy="2993390"/>
                    </a:xfrm>
                    <a:prstGeom prst="rect">
                      <a:avLst/>
                    </a:prstGeom>
                  </pic:spPr>
                </pic:pic>
              </a:graphicData>
            </a:graphic>
          </wp:inline>
        </w:drawing>
      </w:r>
      <w:r>
        <w:rPr>
          <w:rFonts w:hint="default" w:ascii="Times New Roman" w:hAnsi="Times New Roman" w:eastAsia="仿宋_GB2312" w:cs="Times New Roman"/>
          <w:sz w:val="24"/>
          <w:szCs w:val="24"/>
          <w:lang w:val="en-US" w:eastAsia="zh-CN"/>
        </w:rPr>
        <w:drawing>
          <wp:inline distT="0" distB="0" distL="114300" distR="114300">
            <wp:extent cx="5321935" cy="2993390"/>
            <wp:effectExtent l="0" t="0" r="12065" b="16510"/>
            <wp:docPr id="19" name="图片 19" descr="微信图片_20230607225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微信图片_202306072251135"/>
                    <pic:cNvPicPr>
                      <a:picLocks noChangeAspect="1"/>
                    </pic:cNvPicPr>
                  </pic:nvPicPr>
                  <pic:blipFill>
                    <a:blip r:embed="rId44"/>
                    <a:stretch>
                      <a:fillRect/>
                    </a:stretch>
                  </pic:blipFill>
                  <pic:spPr>
                    <a:xfrm>
                      <a:off x="0" y="0"/>
                      <a:ext cx="5321935" cy="299339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pacing w:val="-8"/>
          <w:sz w:val="21"/>
          <w:szCs w:val="21"/>
          <w:lang w:val="en-US" w:eastAsia="zh-CN"/>
        </w:rPr>
      </w:pPr>
      <w:r>
        <w:rPr>
          <w:rFonts w:hint="eastAsia" w:ascii="Times New Roman" w:hAnsi="Times New Roman" w:eastAsia="微软雅黑" w:cs="Times New Roman"/>
          <w:b w:val="0"/>
          <w:bCs w:val="0"/>
          <w:spacing w:val="-8"/>
          <w:sz w:val="21"/>
          <w:szCs w:val="21"/>
          <w:lang w:val="en-US" w:eastAsia="zh-CN"/>
        </w:rPr>
        <w:t xml:space="preserve">图2-1  </w:t>
      </w:r>
      <w:r>
        <w:rPr>
          <w:rFonts w:hint="eastAsia" w:eastAsia="微软雅黑" w:cs="Times New Roman"/>
          <w:b w:val="0"/>
          <w:bCs w:val="0"/>
          <w:spacing w:val="-8"/>
          <w:sz w:val="21"/>
          <w:szCs w:val="21"/>
          <w:lang w:val="en-US" w:eastAsia="zh-CN"/>
        </w:rPr>
        <w:t>项目现状（B地块）</w:t>
      </w:r>
      <w:r>
        <w:rPr>
          <w:rFonts w:hint="eastAsia" w:ascii="Times New Roman" w:hAnsi="Times New Roman" w:eastAsia="微软雅黑" w:cs="Times New Roman"/>
          <w:b w:val="0"/>
          <w:bCs w:val="0"/>
          <w:spacing w:val="-8"/>
          <w:sz w:val="21"/>
          <w:szCs w:val="21"/>
          <w:lang w:val="en-US" w:eastAsia="zh-CN"/>
        </w:rPr>
        <w:t>（拍摄时间2023.6.2）</w:t>
      </w:r>
    </w:p>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Pr>
        <w:pageBreakBefore w:val="0"/>
        <w:kinsoku/>
        <w:wordWrap/>
        <w:bidi w:val="0"/>
        <w:spacing w:line="360" w:lineRule="auto"/>
        <w:jc w:val="center"/>
        <w:rPr>
          <w:rFonts w:hint="default" w:ascii="Times New Roman" w:hAnsi="Times New Roman" w:eastAsia="微软雅黑" w:cs="Times New Roman"/>
          <w:b w:val="0"/>
          <w:bCs w:val="0"/>
          <w:spacing w:val="-8"/>
          <w:sz w:val="21"/>
          <w:szCs w:val="21"/>
        </w:rPr>
      </w:pPr>
      <w:bookmarkStart w:id="131" w:name="_Toc179700855"/>
      <w:bookmarkStart w:id="132" w:name="_Toc179700773"/>
      <w:bookmarkStart w:id="133" w:name="_Toc277836145"/>
      <w:bookmarkStart w:id="134" w:name="_Toc179706244"/>
      <w:bookmarkStart w:id="135" w:name="_Toc179600161"/>
      <w:bookmarkStart w:id="136" w:name="_Toc290366643"/>
      <w:bookmarkStart w:id="137" w:name="_Toc192302543"/>
      <w:bookmarkStart w:id="138" w:name="_Toc175629990"/>
      <w:bookmarkStart w:id="139" w:name="_Toc175714796"/>
      <w:bookmarkStart w:id="140" w:name="_Toc72112408"/>
      <w:bookmarkStart w:id="141" w:name="_Toc70480576"/>
      <w:bookmarkStart w:id="142" w:name="_Toc72031777"/>
      <w:bookmarkStart w:id="143" w:name="_Toc63847031"/>
      <w:bookmarkStart w:id="144" w:name="_Toc84903135"/>
      <w:bookmarkStart w:id="145" w:name="_Toc85905609"/>
      <w:bookmarkStart w:id="146" w:name="_Toc85682067"/>
      <w:bookmarkStart w:id="147" w:name="_Toc84903317"/>
      <w:bookmarkStart w:id="148" w:name="_Toc93231775"/>
      <w:bookmarkStart w:id="149" w:name="_Toc71019216"/>
      <w:bookmarkStart w:id="150" w:name="_Toc71770241"/>
      <w:bookmarkStart w:id="151" w:name="_Toc84903261"/>
      <w:bookmarkStart w:id="152" w:name="_Toc85905468"/>
      <w:bookmarkStart w:id="153" w:name="_Toc70670621"/>
      <w:bookmarkStart w:id="154" w:name="_Toc84902387"/>
      <w:bookmarkStart w:id="155" w:name="_Toc93562121"/>
      <w:bookmarkStart w:id="156" w:name="_Toc71963297"/>
      <w:bookmarkStart w:id="157" w:name="_Toc71019324"/>
      <w:bookmarkStart w:id="158" w:name="_Toc85683210"/>
      <w:bookmarkStart w:id="159" w:name="_Toc85681688"/>
      <w:bookmarkStart w:id="160" w:name="_Toc70480678"/>
      <w:bookmarkStart w:id="161" w:name="_Toc72119358"/>
      <w:bookmarkStart w:id="162" w:name="_Toc85681926"/>
      <w:bookmarkStart w:id="163" w:name="_Toc63846069"/>
      <w:bookmarkStart w:id="164" w:name="_Toc84902782"/>
      <w:bookmarkStart w:id="165" w:name="_Toc93231897"/>
      <w:r>
        <w:rPr>
          <w:rFonts w:hint="default" w:ascii="Times New Roman" w:hAnsi="Times New Roman" w:eastAsia="微软雅黑" w:cs="Times New Roman"/>
          <w:b w:val="0"/>
          <w:bCs w:val="0"/>
          <w:spacing w:val="-8"/>
          <w:sz w:val="21"/>
          <w:szCs w:val="21"/>
        </w:rPr>
        <w:t>表2-</w:t>
      </w:r>
      <w:r>
        <w:rPr>
          <w:rFonts w:hint="default" w:ascii="Times New Roman" w:hAnsi="Times New Roman" w:eastAsia="微软雅黑" w:cs="Times New Roman"/>
          <w:b w:val="0"/>
          <w:bCs w:val="0"/>
          <w:spacing w:val="-8"/>
          <w:sz w:val="21"/>
          <w:szCs w:val="21"/>
          <w:lang w:val="en-US" w:eastAsia="zh-CN"/>
        </w:rPr>
        <w:t xml:space="preserve">1  </w:t>
      </w:r>
      <w:r>
        <w:rPr>
          <w:rFonts w:hint="default" w:ascii="Times New Roman" w:hAnsi="Times New Roman" w:eastAsia="微软雅黑" w:cs="Times New Roman"/>
          <w:b w:val="0"/>
          <w:bCs w:val="0"/>
          <w:spacing w:val="-8"/>
          <w:sz w:val="21"/>
          <w:szCs w:val="21"/>
        </w:rPr>
        <w:t>项目组成及主要技术指标表</w:t>
      </w:r>
    </w:p>
    <w:tbl>
      <w:tblPr>
        <w:tblStyle w:val="556"/>
        <w:tblW w:w="834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86"/>
        <w:gridCol w:w="990"/>
        <w:gridCol w:w="988"/>
        <w:gridCol w:w="846"/>
        <w:gridCol w:w="283"/>
        <w:gridCol w:w="855"/>
        <w:gridCol w:w="840"/>
        <w:gridCol w:w="1129"/>
        <w:gridCol w:w="82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8345" w:type="dxa"/>
            <w:gridSpan w:val="9"/>
            <w:tcBorders>
              <w:left w:val="single" w:color="000000" w:sz="10" w:space="0"/>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b/>
                <w:bCs/>
                <w:spacing w:val="8"/>
                <w:sz w:val="20"/>
                <w:szCs w:val="20"/>
              </w:rPr>
              <w:t>一、项目的基本情</w:t>
            </w:r>
            <w:r>
              <w:rPr>
                <w:rFonts w:hint="default" w:ascii="Times New Roman" w:hAnsi="Times New Roman" w:eastAsia="仿宋_GB2312" w:cs="Times New Roman"/>
                <w:b/>
                <w:bCs/>
                <w:spacing w:val="7"/>
                <w:sz w:val="20"/>
                <w:szCs w:val="20"/>
              </w:rPr>
              <w:t>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586" w:type="dxa"/>
            <w:tcBorders>
              <w:lef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项</w:t>
            </w:r>
            <w:r>
              <w:rPr>
                <w:rFonts w:hint="default" w:ascii="Times New Roman" w:hAnsi="Times New Roman" w:eastAsia="仿宋_GB2312" w:cs="Times New Roman"/>
                <w:spacing w:val="5"/>
                <w:sz w:val="20"/>
                <w:szCs w:val="20"/>
              </w:rPr>
              <w:t>目名称</w:t>
            </w:r>
          </w:p>
        </w:tc>
        <w:tc>
          <w:tcPr>
            <w:tcW w:w="2824"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lang w:eastAsia="zh-CN"/>
              </w:rPr>
            </w:pPr>
            <w:r>
              <w:rPr>
                <w:rFonts w:hint="eastAsia" w:eastAsia="仿宋_GB2312" w:cs="Times New Roman"/>
                <w:spacing w:val="15"/>
                <w:sz w:val="20"/>
                <w:szCs w:val="20"/>
                <w:lang w:val="en-US" w:eastAsia="zh-CN"/>
              </w:rPr>
              <w:t>长春国际物流经济开发区新兴建材产业园区建设</w:t>
            </w:r>
            <w:r>
              <w:rPr>
                <w:rFonts w:hint="eastAsia" w:eastAsia="仿宋_GB2312" w:cs="Times New Roman"/>
                <w:spacing w:val="15"/>
                <w:sz w:val="20"/>
                <w:szCs w:val="20"/>
                <w:lang w:eastAsia="zh-CN"/>
              </w:rPr>
              <w:t>项目</w:t>
            </w:r>
          </w:p>
        </w:tc>
        <w:tc>
          <w:tcPr>
            <w:tcW w:w="113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pacing w:val="15"/>
                <w:sz w:val="20"/>
                <w:szCs w:val="20"/>
              </w:rPr>
            </w:pPr>
            <w:r>
              <w:rPr>
                <w:rFonts w:hint="default" w:ascii="Times New Roman" w:hAnsi="Times New Roman" w:eastAsia="仿宋_GB2312" w:cs="Times New Roman"/>
                <w:spacing w:val="15"/>
                <w:sz w:val="20"/>
                <w:szCs w:val="20"/>
              </w:rPr>
              <w:t>建设地点</w:t>
            </w:r>
          </w:p>
        </w:tc>
        <w:tc>
          <w:tcPr>
            <w:tcW w:w="2797" w:type="dxa"/>
            <w:gridSpan w:val="3"/>
            <w:tcBorders>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pacing w:val="15"/>
                <w:sz w:val="20"/>
                <w:szCs w:val="20"/>
                <w:lang w:eastAsia="zh-CN"/>
              </w:rPr>
            </w:pPr>
            <w:r>
              <w:rPr>
                <w:rFonts w:hint="default" w:ascii="Times New Roman" w:hAnsi="Times New Roman" w:eastAsia="仿宋_GB2312" w:cs="Times New Roman"/>
                <w:spacing w:val="15"/>
                <w:sz w:val="20"/>
                <w:szCs w:val="20"/>
                <w:lang w:eastAsia="zh-CN"/>
              </w:rPr>
              <w:t>长春二道经济开发</w:t>
            </w:r>
            <w:r>
              <w:rPr>
                <w:rFonts w:hint="default" w:ascii="Times New Roman" w:hAnsi="Times New Roman" w:eastAsia="仿宋_GB2312" w:cs="Times New Roman"/>
                <w:spacing w:val="15"/>
                <w:sz w:val="20"/>
                <w:szCs w:val="20"/>
              </w:rPr>
              <w:t>，</w:t>
            </w:r>
            <w:r>
              <w:rPr>
                <w:rFonts w:hint="default" w:ascii="Times New Roman" w:hAnsi="Times New Roman" w:eastAsia="仿宋_GB2312" w:cs="Times New Roman"/>
                <w:spacing w:val="15"/>
                <w:sz w:val="20"/>
                <w:szCs w:val="20"/>
                <w:lang w:val="en-US" w:eastAsia="zh-CN"/>
              </w:rPr>
              <w:t>坐落于</w:t>
            </w:r>
            <w:r>
              <w:rPr>
                <w:rFonts w:hint="eastAsia" w:eastAsia="仿宋_GB2312" w:cs="Times New Roman"/>
                <w:spacing w:val="15"/>
                <w:sz w:val="20"/>
                <w:szCs w:val="20"/>
                <w:lang w:val="en-US" w:eastAsia="zh-CN"/>
              </w:rPr>
              <w:t>常德路以北、英俊东街以东、英凯大街以西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586" w:type="dxa"/>
            <w:tcBorders>
              <w:lef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建设单</w:t>
            </w:r>
            <w:r>
              <w:rPr>
                <w:rFonts w:hint="default" w:ascii="Times New Roman" w:hAnsi="Times New Roman" w:eastAsia="仿宋_GB2312" w:cs="Times New Roman"/>
                <w:spacing w:val="5"/>
                <w:sz w:val="20"/>
                <w:szCs w:val="20"/>
              </w:rPr>
              <w:t>位</w:t>
            </w:r>
          </w:p>
        </w:tc>
        <w:tc>
          <w:tcPr>
            <w:tcW w:w="2824"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5"/>
                <w:sz w:val="20"/>
                <w:szCs w:val="20"/>
              </w:rPr>
              <w:t>长</w:t>
            </w:r>
            <w:r>
              <w:rPr>
                <w:rFonts w:hint="default" w:ascii="Times New Roman" w:hAnsi="Times New Roman" w:eastAsia="仿宋_GB2312" w:cs="Times New Roman"/>
                <w:spacing w:val="8"/>
                <w:sz w:val="20"/>
                <w:szCs w:val="20"/>
              </w:rPr>
              <w:t>春市瑞通投资有限公司</w:t>
            </w:r>
          </w:p>
        </w:tc>
        <w:tc>
          <w:tcPr>
            <w:tcW w:w="113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建设性</w:t>
            </w:r>
            <w:r>
              <w:rPr>
                <w:rFonts w:hint="default" w:ascii="Times New Roman" w:hAnsi="Times New Roman" w:eastAsia="仿宋_GB2312" w:cs="Times New Roman"/>
                <w:spacing w:val="5"/>
                <w:sz w:val="20"/>
                <w:szCs w:val="20"/>
              </w:rPr>
              <w:t>质</w:t>
            </w:r>
          </w:p>
        </w:tc>
        <w:tc>
          <w:tcPr>
            <w:tcW w:w="2797" w:type="dxa"/>
            <w:gridSpan w:val="3"/>
            <w:tcBorders>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新建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586" w:type="dxa"/>
            <w:tcBorders>
              <w:lef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总投资</w:t>
            </w:r>
          </w:p>
        </w:tc>
        <w:tc>
          <w:tcPr>
            <w:tcW w:w="2824"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highlight w:val="none"/>
              </w:rPr>
            </w:pPr>
            <w:r>
              <w:rPr>
                <w:rFonts w:hint="eastAsia" w:eastAsia="仿宋_GB2312" w:cs="Times New Roman"/>
                <w:color w:val="000000"/>
                <w:sz w:val="20"/>
                <w:szCs w:val="20"/>
                <w:highlight w:val="none"/>
                <w:lang w:eastAsia="zh-CN"/>
              </w:rPr>
              <w:t>103196.83</w:t>
            </w:r>
            <w:r>
              <w:rPr>
                <w:rFonts w:hint="default" w:ascii="Times New Roman" w:hAnsi="Times New Roman" w:eastAsia="仿宋_GB2312" w:cs="Times New Roman"/>
                <w:spacing w:val="5"/>
                <w:sz w:val="20"/>
                <w:szCs w:val="20"/>
                <w:highlight w:val="none"/>
              </w:rPr>
              <w:t>万</w:t>
            </w:r>
            <w:r>
              <w:rPr>
                <w:rFonts w:hint="default" w:ascii="Times New Roman" w:hAnsi="Times New Roman" w:eastAsia="仿宋_GB2312" w:cs="Times New Roman"/>
                <w:spacing w:val="3"/>
                <w:sz w:val="20"/>
                <w:szCs w:val="20"/>
                <w:highlight w:val="none"/>
              </w:rPr>
              <w:t>元</w:t>
            </w:r>
          </w:p>
        </w:tc>
        <w:tc>
          <w:tcPr>
            <w:tcW w:w="113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pacing w:val="6"/>
                <w:sz w:val="20"/>
                <w:szCs w:val="20"/>
                <w:highlight w:val="none"/>
              </w:rPr>
              <w:t>土</w:t>
            </w:r>
            <w:r>
              <w:rPr>
                <w:rFonts w:hint="default" w:ascii="Times New Roman" w:hAnsi="Times New Roman" w:eastAsia="仿宋_GB2312" w:cs="Times New Roman"/>
                <w:spacing w:val="5"/>
                <w:sz w:val="20"/>
                <w:szCs w:val="20"/>
                <w:highlight w:val="none"/>
              </w:rPr>
              <w:t>建投资</w:t>
            </w:r>
          </w:p>
        </w:tc>
        <w:tc>
          <w:tcPr>
            <w:tcW w:w="2797" w:type="dxa"/>
            <w:gridSpan w:val="3"/>
            <w:tcBorders>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highlight w:val="none"/>
              </w:rPr>
            </w:pPr>
            <w:r>
              <w:rPr>
                <w:rFonts w:hint="eastAsia" w:eastAsia="仿宋_GB2312" w:cs="Times New Roman"/>
                <w:color w:val="000000"/>
                <w:sz w:val="20"/>
                <w:szCs w:val="20"/>
                <w:highlight w:val="none"/>
                <w:lang w:eastAsia="zh-CN"/>
              </w:rPr>
              <w:t>100173.09</w:t>
            </w:r>
            <w:r>
              <w:rPr>
                <w:rFonts w:hint="default" w:ascii="Times New Roman" w:hAnsi="Times New Roman" w:eastAsia="仿宋_GB2312" w:cs="Times New Roman"/>
                <w:color w:val="000000"/>
                <w:sz w:val="20"/>
                <w:szCs w:val="20"/>
                <w:highlight w:val="none"/>
              </w:rPr>
              <w:t>万元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586" w:type="dxa"/>
            <w:tcBorders>
              <w:lef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建设期</w:t>
            </w:r>
          </w:p>
        </w:tc>
        <w:tc>
          <w:tcPr>
            <w:tcW w:w="6759" w:type="dxa"/>
            <w:gridSpan w:val="8"/>
            <w:tcBorders>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eastAsia" w:eastAsia="仿宋_GB2312" w:cs="Times New Roman"/>
                <w:spacing w:val="1"/>
                <w:sz w:val="20"/>
                <w:szCs w:val="20"/>
                <w:lang w:val="en-US" w:eastAsia="zh-CN"/>
              </w:rPr>
              <w:t>计划</w:t>
            </w:r>
            <w:r>
              <w:rPr>
                <w:rFonts w:hint="default" w:ascii="Times New Roman" w:hAnsi="Times New Roman" w:eastAsia="仿宋_GB2312" w:cs="Times New Roman"/>
                <w:spacing w:val="1"/>
                <w:sz w:val="20"/>
                <w:szCs w:val="20"/>
              </w:rPr>
              <w:t>于</w:t>
            </w:r>
            <w:r>
              <w:rPr>
                <w:rFonts w:hint="eastAsia" w:eastAsia="仿宋_GB2312" w:cs="Times New Roman"/>
                <w:spacing w:val="1"/>
                <w:sz w:val="20"/>
                <w:szCs w:val="20"/>
                <w:lang w:eastAsia="zh-CN"/>
              </w:rPr>
              <w:t>2023年7月</w:t>
            </w:r>
            <w:r>
              <w:rPr>
                <w:rFonts w:hint="default" w:ascii="Times New Roman" w:hAnsi="Times New Roman" w:eastAsia="仿宋_GB2312" w:cs="Times New Roman"/>
                <w:spacing w:val="1"/>
                <w:sz w:val="20"/>
                <w:szCs w:val="20"/>
              </w:rPr>
              <w:t>开工，计划于</w:t>
            </w:r>
            <w:r>
              <w:rPr>
                <w:rFonts w:hint="eastAsia" w:eastAsia="仿宋_GB2312" w:cs="Times New Roman"/>
                <w:spacing w:val="1"/>
                <w:sz w:val="20"/>
                <w:szCs w:val="20"/>
                <w:lang w:eastAsia="zh-CN"/>
              </w:rPr>
              <w:t>2024年12月</w:t>
            </w:r>
            <w:r>
              <w:rPr>
                <w:rFonts w:hint="default" w:ascii="Times New Roman" w:hAnsi="Times New Roman" w:eastAsia="仿宋_GB2312" w:cs="Times New Roman"/>
                <w:sz w:val="20"/>
                <w:szCs w:val="20"/>
              </w:rPr>
              <w:t>完工。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586" w:type="dxa"/>
            <w:tcBorders>
              <w:lef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建设</w:t>
            </w:r>
            <w:r>
              <w:rPr>
                <w:rFonts w:hint="default" w:ascii="Times New Roman" w:hAnsi="Times New Roman" w:eastAsia="仿宋_GB2312" w:cs="Times New Roman"/>
                <w:spacing w:val="6"/>
                <w:sz w:val="20"/>
                <w:szCs w:val="20"/>
                <w:lang w:val="en-US" w:eastAsia="zh-CN"/>
              </w:rPr>
              <w:t>内容</w:t>
            </w:r>
          </w:p>
        </w:tc>
        <w:tc>
          <w:tcPr>
            <w:tcW w:w="6759" w:type="dxa"/>
            <w:gridSpan w:val="8"/>
            <w:tcBorders>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460" w:firstLineChars="200"/>
              <w:jc w:val="both"/>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0"/>
                <w:sz w:val="21"/>
                <w:szCs w:val="21"/>
              </w:rPr>
              <w:t>规划总建筑面积</w:t>
            </w:r>
            <w:r>
              <w:rPr>
                <w:rFonts w:hint="eastAsia" w:eastAsia="仿宋_GB2312" w:cs="Times New Roman"/>
                <w:spacing w:val="10"/>
                <w:sz w:val="21"/>
                <w:szCs w:val="21"/>
                <w:lang w:eastAsia="zh-CN"/>
              </w:rPr>
              <w:t>133523.92</w:t>
            </w:r>
            <w:r>
              <w:rPr>
                <w:rFonts w:hint="default" w:ascii="Times New Roman" w:hAnsi="Times New Roman" w:eastAsia="仿宋_GB2312" w:cs="Times New Roman"/>
                <w:spacing w:val="10"/>
                <w:sz w:val="21"/>
                <w:szCs w:val="21"/>
                <w:lang w:eastAsia="zh-CN"/>
              </w:rPr>
              <w:t>m²，</w:t>
            </w:r>
            <w:r>
              <w:rPr>
                <w:rFonts w:hint="default" w:ascii="Times New Roman" w:hAnsi="Times New Roman" w:eastAsia="仿宋_GB2312" w:cs="Times New Roman"/>
                <w:spacing w:val="10"/>
                <w:sz w:val="21"/>
                <w:szCs w:val="21"/>
              </w:rPr>
              <w:t>其中，地上建筑面积</w:t>
            </w:r>
            <w:r>
              <w:rPr>
                <w:rFonts w:hint="eastAsia" w:eastAsia="仿宋_GB2312" w:cs="Times New Roman"/>
                <w:spacing w:val="10"/>
                <w:sz w:val="21"/>
                <w:szCs w:val="21"/>
                <w:lang w:eastAsia="zh-CN"/>
              </w:rPr>
              <w:t>132784.35</w:t>
            </w:r>
            <w:r>
              <w:rPr>
                <w:rFonts w:hint="default" w:ascii="Times New Roman" w:hAnsi="Times New Roman" w:eastAsia="仿宋_GB2312" w:cs="Times New Roman"/>
                <w:spacing w:val="10"/>
                <w:sz w:val="21"/>
                <w:szCs w:val="21"/>
                <w:lang w:eastAsia="zh-CN"/>
              </w:rPr>
              <w:t>m²</w:t>
            </w:r>
            <w:r>
              <w:rPr>
                <w:rFonts w:hint="default" w:ascii="Times New Roman" w:hAnsi="Times New Roman" w:eastAsia="仿宋_GB2312" w:cs="Times New Roman"/>
                <w:spacing w:val="10"/>
                <w:sz w:val="21"/>
                <w:szCs w:val="21"/>
              </w:rPr>
              <w:t>，地下建筑面积</w:t>
            </w:r>
            <w:r>
              <w:rPr>
                <w:rFonts w:hint="eastAsia" w:eastAsia="仿宋_GB2312" w:cs="Times New Roman"/>
                <w:spacing w:val="10"/>
                <w:sz w:val="21"/>
                <w:szCs w:val="21"/>
                <w:lang w:eastAsia="zh-CN"/>
              </w:rPr>
              <w:t>739.57</w:t>
            </w:r>
            <w:r>
              <w:rPr>
                <w:rFonts w:hint="default" w:ascii="Times New Roman" w:hAnsi="Times New Roman" w:eastAsia="仿宋_GB2312" w:cs="Times New Roman"/>
                <w:spacing w:val="10"/>
                <w:sz w:val="21"/>
                <w:szCs w:val="21"/>
                <w:lang w:eastAsia="zh-CN"/>
              </w:rPr>
              <w:t>m²</w:t>
            </w:r>
            <w:r>
              <w:rPr>
                <w:rFonts w:hint="default" w:ascii="Times New Roman" w:hAnsi="Times New Roman" w:eastAsia="仿宋_GB2312" w:cs="Times New Roman"/>
                <w:spacing w:val="10"/>
                <w:sz w:val="21"/>
                <w:szCs w:val="21"/>
              </w:rPr>
              <w:t>，</w:t>
            </w:r>
            <w:r>
              <w:rPr>
                <w:rFonts w:hint="default" w:ascii="Times New Roman" w:hAnsi="Times New Roman" w:eastAsia="仿宋_GB2312" w:cs="Times New Roman"/>
                <w:color w:val="auto"/>
                <w:sz w:val="21"/>
                <w:szCs w:val="21"/>
              </w:rPr>
              <w:t>厂房</w:t>
            </w:r>
            <w:r>
              <w:rPr>
                <w:rFonts w:hint="eastAsia" w:eastAsia="仿宋_GB2312" w:cs="Times New Roman"/>
                <w:color w:val="auto"/>
                <w:sz w:val="21"/>
                <w:szCs w:val="21"/>
                <w:lang w:val="en-US" w:eastAsia="zh-CN"/>
              </w:rPr>
              <w:t>6栋</w:t>
            </w:r>
            <w:r>
              <w:rPr>
                <w:rFonts w:hint="default" w:ascii="Times New Roman" w:hAnsi="Times New Roman" w:eastAsia="仿宋_GB2312" w:cs="Times New Roman"/>
                <w:color w:val="auto"/>
                <w:sz w:val="21"/>
                <w:szCs w:val="21"/>
                <w:lang w:val="en-US" w:eastAsia="zh-CN"/>
              </w:rPr>
              <w:t>面积</w:t>
            </w:r>
            <w:r>
              <w:rPr>
                <w:rFonts w:hint="eastAsia" w:eastAsia="仿宋_GB2312" w:cs="Times New Roman"/>
                <w:color w:val="auto"/>
                <w:sz w:val="21"/>
                <w:szCs w:val="21"/>
                <w:lang w:eastAsia="zh-CN"/>
              </w:rPr>
              <w:t>106815.86</w:t>
            </w:r>
            <w:r>
              <w:rPr>
                <w:rFonts w:hint="default" w:ascii="Times New Roman" w:hAnsi="Times New Roman" w:eastAsia="仿宋_GB2312" w:cs="Times New Roman"/>
                <w:color w:val="auto"/>
                <w:sz w:val="21"/>
                <w:szCs w:val="21"/>
                <w:lang w:eastAsia="zh-CN"/>
              </w:rPr>
              <w:t>m²</w:t>
            </w:r>
            <w:r>
              <w:rPr>
                <w:rFonts w:hint="default" w:ascii="Times New Roman" w:hAnsi="Times New Roman" w:eastAsia="仿宋_GB2312" w:cs="Times New Roman"/>
                <w:color w:val="auto"/>
                <w:sz w:val="21"/>
                <w:szCs w:val="21"/>
              </w:rPr>
              <w:t>、</w:t>
            </w:r>
            <w:r>
              <w:rPr>
                <w:rFonts w:hint="eastAsia" w:eastAsia="仿宋_GB2312" w:cs="Times New Roman"/>
                <w:color w:val="auto"/>
                <w:sz w:val="21"/>
                <w:szCs w:val="21"/>
                <w:lang w:val="en-US" w:eastAsia="zh-CN"/>
              </w:rPr>
              <w:t>办公楼及食堂11063.98</w:t>
            </w:r>
            <w:r>
              <w:rPr>
                <w:rFonts w:hint="default" w:ascii="Times New Roman" w:hAnsi="Times New Roman" w:eastAsia="仿宋_GB2312" w:cs="Times New Roman"/>
                <w:color w:val="auto"/>
                <w:sz w:val="21"/>
                <w:szCs w:val="21"/>
                <w:lang w:eastAsia="zh-CN"/>
              </w:rPr>
              <w:t>m²</w:t>
            </w:r>
            <w:r>
              <w:rPr>
                <w:rFonts w:hint="default" w:ascii="Times New Roman" w:hAnsi="Times New Roman" w:eastAsia="仿宋_GB2312" w:cs="Times New Roman"/>
                <w:color w:val="auto"/>
                <w:sz w:val="21"/>
                <w:szCs w:val="21"/>
              </w:rPr>
              <w:t>、</w:t>
            </w:r>
            <w:r>
              <w:rPr>
                <w:rFonts w:hint="eastAsia" w:eastAsia="仿宋_GB2312" w:cs="Times New Roman"/>
                <w:color w:val="auto"/>
                <w:sz w:val="21"/>
                <w:szCs w:val="21"/>
                <w:lang w:val="en-US" w:eastAsia="zh-CN"/>
              </w:rPr>
              <w:t>宿舍楼1栋面积7716.97</w:t>
            </w:r>
            <w:r>
              <w:rPr>
                <w:rFonts w:hint="default" w:ascii="Times New Roman" w:hAnsi="Times New Roman" w:eastAsia="仿宋_GB2312" w:cs="Times New Roman"/>
                <w:color w:val="auto"/>
                <w:sz w:val="21"/>
                <w:szCs w:val="21"/>
                <w:lang w:eastAsia="zh-CN"/>
              </w:rPr>
              <w:t>m²</w:t>
            </w:r>
            <w:r>
              <w:rPr>
                <w:rFonts w:hint="default" w:ascii="Times New Roman" w:hAnsi="Times New Roman" w:eastAsia="仿宋_GB2312" w:cs="Times New Roman"/>
                <w:color w:val="auto"/>
                <w:sz w:val="21"/>
                <w:szCs w:val="21"/>
              </w:rPr>
              <w:t>、</w:t>
            </w:r>
            <w:r>
              <w:rPr>
                <w:rFonts w:hint="eastAsia" w:eastAsia="仿宋_GB2312" w:cs="Times New Roman"/>
                <w:color w:val="auto"/>
                <w:sz w:val="21"/>
                <w:szCs w:val="21"/>
                <w:lang w:val="en-US" w:eastAsia="zh-CN"/>
              </w:rPr>
              <w:t>实验中心1栋面积3955.97</w:t>
            </w:r>
            <w:r>
              <w:rPr>
                <w:rFonts w:hint="default" w:ascii="Times New Roman" w:hAnsi="Times New Roman" w:eastAsia="仿宋_GB2312" w:cs="Times New Roman"/>
                <w:color w:val="auto"/>
                <w:sz w:val="21"/>
                <w:szCs w:val="21"/>
                <w:lang w:eastAsia="zh-CN"/>
              </w:rPr>
              <w:t>m²</w:t>
            </w:r>
            <w:r>
              <w:rPr>
                <w:rFonts w:hint="default" w:ascii="Times New Roman" w:hAnsi="Times New Roman" w:eastAsia="仿宋_GB2312" w:cs="Times New Roman"/>
                <w:color w:val="auto"/>
                <w:sz w:val="21"/>
                <w:szCs w:val="21"/>
              </w:rPr>
              <w:t>、</w:t>
            </w:r>
            <w:r>
              <w:rPr>
                <w:rFonts w:hint="eastAsia" w:eastAsia="仿宋_GB2312" w:cs="Times New Roman"/>
                <w:color w:val="auto"/>
                <w:sz w:val="21"/>
                <w:szCs w:val="21"/>
                <w:lang w:val="en-US" w:eastAsia="zh-CN"/>
              </w:rPr>
              <w:t>食堂1栋面积2425.71</w:t>
            </w:r>
            <w:r>
              <w:rPr>
                <w:rFonts w:hint="default" w:ascii="Times New Roman" w:hAnsi="Times New Roman" w:eastAsia="仿宋_GB2312" w:cs="Times New Roman"/>
                <w:color w:val="auto"/>
                <w:sz w:val="21"/>
                <w:szCs w:val="21"/>
                <w:lang w:eastAsia="zh-CN"/>
              </w:rPr>
              <w:t>m²</w:t>
            </w:r>
            <w:r>
              <w:rPr>
                <w:rFonts w:hint="default" w:ascii="Times New Roman" w:hAnsi="Times New Roman" w:eastAsia="仿宋_GB2312" w:cs="Times New Roman"/>
                <w:color w:val="auto"/>
                <w:sz w:val="21"/>
                <w:szCs w:val="21"/>
              </w:rPr>
              <w:t>、开闭站、变电所、柴发、锅炉房</w:t>
            </w:r>
            <w:r>
              <w:rPr>
                <w:rFonts w:hint="eastAsia" w:eastAsia="仿宋_GB2312" w:cs="Times New Roman"/>
                <w:color w:val="auto"/>
                <w:sz w:val="21"/>
                <w:szCs w:val="21"/>
                <w:lang w:val="en-US" w:eastAsia="zh-CN"/>
              </w:rPr>
              <w:t>面积722.86</w:t>
            </w:r>
            <w:r>
              <w:rPr>
                <w:rFonts w:hint="default" w:ascii="Times New Roman" w:hAnsi="Times New Roman" w:eastAsia="仿宋_GB2312" w:cs="Times New Roman"/>
                <w:color w:val="auto"/>
                <w:sz w:val="21"/>
                <w:szCs w:val="21"/>
                <w:lang w:eastAsia="zh-CN"/>
              </w:rPr>
              <w:t>m²</w:t>
            </w:r>
            <w:r>
              <w:rPr>
                <w:rFonts w:hint="default" w:ascii="Times New Roman" w:hAnsi="Times New Roman" w:eastAsia="仿宋_GB2312" w:cs="Times New Roman"/>
                <w:color w:val="auto"/>
                <w:sz w:val="21"/>
                <w:szCs w:val="21"/>
              </w:rPr>
              <w:t>、</w:t>
            </w:r>
            <w:r>
              <w:rPr>
                <w:rFonts w:hint="eastAsia" w:eastAsia="仿宋_GB2312" w:cs="Times New Roman"/>
                <w:color w:val="auto"/>
                <w:sz w:val="21"/>
                <w:szCs w:val="21"/>
                <w:lang w:eastAsia="zh-CN"/>
              </w:rPr>
              <w:t>水泵房及水池</w:t>
            </w:r>
            <w:r>
              <w:rPr>
                <w:rFonts w:hint="default" w:ascii="Times New Roman" w:hAnsi="Times New Roman" w:eastAsia="仿宋_GB2312" w:cs="Times New Roman"/>
                <w:color w:val="auto"/>
                <w:sz w:val="21"/>
                <w:szCs w:val="21"/>
                <w:lang w:val="en-US" w:eastAsia="zh-CN"/>
              </w:rPr>
              <w:t>1栋面积</w:t>
            </w:r>
            <w:r>
              <w:rPr>
                <w:rFonts w:hint="eastAsia" w:eastAsia="仿宋_GB2312" w:cs="Times New Roman"/>
                <w:color w:val="auto"/>
                <w:sz w:val="21"/>
                <w:szCs w:val="21"/>
                <w:lang w:eastAsia="zh-CN"/>
              </w:rPr>
              <w:t>729.57</w:t>
            </w:r>
            <w:r>
              <w:rPr>
                <w:rFonts w:hint="default" w:ascii="Times New Roman" w:hAnsi="Times New Roman" w:eastAsia="仿宋_GB2312" w:cs="Times New Roman"/>
                <w:color w:val="auto"/>
                <w:sz w:val="21"/>
                <w:szCs w:val="21"/>
                <w:lang w:eastAsia="zh-CN"/>
              </w:rPr>
              <w:t>m²（</w:t>
            </w:r>
            <w:r>
              <w:rPr>
                <w:rFonts w:hint="default" w:ascii="Times New Roman" w:hAnsi="Times New Roman" w:eastAsia="仿宋_GB2312" w:cs="Times New Roman"/>
                <w:color w:val="auto"/>
                <w:sz w:val="21"/>
                <w:szCs w:val="21"/>
                <w:lang w:val="en-US" w:eastAsia="zh-CN"/>
              </w:rPr>
              <w:t>地上建筑面积</w:t>
            </w:r>
            <w:r>
              <w:rPr>
                <w:rFonts w:hint="eastAsia" w:eastAsia="仿宋_GB2312" w:cs="Times New Roman"/>
                <w:color w:val="auto"/>
                <w:sz w:val="21"/>
                <w:szCs w:val="21"/>
                <w:lang w:val="en-US" w:eastAsia="zh-CN"/>
              </w:rPr>
              <w:t>53</w:t>
            </w:r>
            <w:r>
              <w:rPr>
                <w:rFonts w:hint="default" w:ascii="Times New Roman" w:hAnsi="Times New Roman" w:eastAsia="仿宋_GB2312" w:cs="Times New Roman"/>
                <w:color w:val="auto"/>
                <w:sz w:val="21"/>
                <w:szCs w:val="21"/>
                <w:lang w:eastAsia="zh-CN"/>
              </w:rPr>
              <w:t>m²，</w:t>
            </w:r>
            <w:r>
              <w:rPr>
                <w:rFonts w:hint="default" w:ascii="Times New Roman" w:hAnsi="Times New Roman" w:eastAsia="仿宋_GB2312" w:cs="Times New Roman"/>
                <w:color w:val="auto"/>
                <w:sz w:val="21"/>
                <w:szCs w:val="21"/>
                <w:lang w:val="en-US" w:eastAsia="zh-CN"/>
              </w:rPr>
              <w:t>地下建筑面积</w:t>
            </w:r>
            <w:r>
              <w:rPr>
                <w:rFonts w:hint="eastAsia" w:eastAsia="仿宋_GB2312" w:cs="Times New Roman"/>
                <w:color w:val="auto"/>
                <w:sz w:val="21"/>
                <w:szCs w:val="21"/>
                <w:lang w:val="en-US" w:eastAsia="zh-CN"/>
              </w:rPr>
              <w:t>739.57</w:t>
            </w:r>
            <w:r>
              <w:rPr>
                <w:rFonts w:hint="default" w:ascii="Times New Roman" w:hAnsi="Times New Roman" w:eastAsia="仿宋_GB2312" w:cs="Times New Roman"/>
                <w:color w:val="auto"/>
                <w:sz w:val="21"/>
                <w:szCs w:val="21"/>
                <w:lang w:eastAsia="zh-CN"/>
              </w:rPr>
              <w:t>m²）</w:t>
            </w:r>
            <w:r>
              <w:rPr>
                <w:rFonts w:hint="default" w:ascii="Times New Roman" w:hAnsi="Times New Roman" w:eastAsia="仿宋_GB2312" w:cs="Times New Roman"/>
                <w:color w:val="auto"/>
                <w:sz w:val="21"/>
                <w:szCs w:val="21"/>
              </w:rPr>
              <w:t>、</w:t>
            </w:r>
            <w:r>
              <w:rPr>
                <w:rFonts w:hint="eastAsia" w:eastAsia="仿宋_GB2312" w:cs="Times New Roman"/>
                <w:color w:val="auto"/>
                <w:sz w:val="21"/>
                <w:szCs w:val="21"/>
                <w:lang w:eastAsia="zh-CN"/>
              </w:rPr>
              <w:t>成品岗亭</w:t>
            </w:r>
            <w:r>
              <w:rPr>
                <w:rFonts w:hint="eastAsia" w:eastAsia="仿宋_GB2312" w:cs="Times New Roman"/>
                <w:color w:val="auto"/>
                <w:sz w:val="21"/>
                <w:szCs w:val="21"/>
                <w:lang w:val="en-US" w:eastAsia="zh-CN"/>
              </w:rPr>
              <w:t>5栋</w:t>
            </w:r>
            <w:r>
              <w:rPr>
                <w:rFonts w:hint="default" w:ascii="Times New Roman" w:hAnsi="Times New Roman" w:eastAsia="仿宋_GB2312" w:cs="Times New Roman"/>
                <w:color w:val="auto"/>
                <w:sz w:val="21"/>
                <w:szCs w:val="21"/>
                <w:lang w:val="en-US" w:eastAsia="zh-CN"/>
              </w:rPr>
              <w:t>面积</w:t>
            </w:r>
            <w:r>
              <w:rPr>
                <w:rFonts w:hint="eastAsia" w:eastAsia="仿宋_GB2312" w:cs="Times New Roman"/>
                <w:color w:val="auto"/>
                <w:sz w:val="21"/>
                <w:szCs w:val="21"/>
                <w:lang w:val="en-US" w:eastAsia="zh-CN"/>
              </w:rPr>
              <w:t>30</w:t>
            </w:r>
            <w:r>
              <w:rPr>
                <w:rFonts w:hint="default" w:ascii="Times New Roman" w:hAnsi="Times New Roman" w:eastAsia="仿宋_GB2312" w:cs="Times New Roman"/>
                <w:color w:val="auto"/>
                <w:sz w:val="21"/>
                <w:szCs w:val="21"/>
                <w:lang w:eastAsia="zh-CN"/>
              </w:rPr>
              <w:t>m²</w:t>
            </w:r>
            <w:r>
              <w:rPr>
                <w:rFonts w:hint="default" w:ascii="Times New Roman" w:hAnsi="Times New Roman" w:eastAsia="仿宋_GB2312" w:cs="Times New Roman"/>
                <w:color w:val="auto"/>
                <w:sz w:val="21"/>
                <w:szCs w:val="21"/>
              </w:rPr>
              <w:t>。</w:t>
            </w:r>
            <w:r>
              <w:rPr>
                <w:rFonts w:hint="default" w:ascii="Times New Roman" w:hAnsi="Times New Roman" w:eastAsia="仿宋_GB2312" w:cs="Times New Roman"/>
                <w:color w:val="auto"/>
                <w:sz w:val="21"/>
                <w:szCs w:val="21"/>
                <w:lang w:eastAsia="zh-CN"/>
              </w:rPr>
              <w:t>道路及硬化</w:t>
            </w:r>
            <w:r>
              <w:rPr>
                <w:rFonts w:hint="default" w:ascii="Times New Roman" w:hAnsi="Times New Roman" w:eastAsia="仿宋_GB2312" w:cs="Times New Roman"/>
                <w:color w:val="auto"/>
                <w:sz w:val="21"/>
                <w:szCs w:val="21"/>
              </w:rPr>
              <w:t>面积</w:t>
            </w:r>
            <w:r>
              <w:rPr>
                <w:rFonts w:hint="eastAsia" w:eastAsia="仿宋_GB2312" w:cs="Times New Roman"/>
                <w:color w:val="auto"/>
                <w:sz w:val="21"/>
                <w:szCs w:val="21"/>
                <w:lang w:eastAsia="zh-CN"/>
              </w:rPr>
              <w:t>79857.96</w:t>
            </w:r>
            <w:r>
              <w:rPr>
                <w:rFonts w:hint="default" w:ascii="Times New Roman" w:hAnsi="Times New Roman" w:eastAsia="仿宋_GB2312" w:cs="Times New Roman"/>
                <w:color w:val="auto"/>
                <w:sz w:val="21"/>
                <w:szCs w:val="21"/>
                <w:lang w:eastAsia="zh-CN"/>
              </w:rPr>
              <w:t>m²</w:t>
            </w:r>
            <w:r>
              <w:rPr>
                <w:rFonts w:hint="default" w:ascii="Times New Roman" w:hAnsi="Times New Roman" w:eastAsia="仿宋_GB2312" w:cs="Times New Roman"/>
                <w:color w:val="auto"/>
                <w:sz w:val="21"/>
                <w:szCs w:val="21"/>
              </w:rPr>
              <w:t>；</w:t>
            </w:r>
            <w:r>
              <w:rPr>
                <w:rFonts w:hint="default" w:ascii="Times New Roman" w:hAnsi="Times New Roman" w:eastAsia="仿宋_GB2312" w:cs="Times New Roman"/>
                <w:color w:val="auto"/>
                <w:sz w:val="21"/>
                <w:szCs w:val="21"/>
                <w:lang w:eastAsia="zh-CN"/>
              </w:rPr>
              <w:t>绿化面积</w:t>
            </w:r>
            <w:r>
              <w:rPr>
                <w:rFonts w:hint="eastAsia" w:eastAsia="仿宋_GB2312" w:cs="Times New Roman"/>
                <w:color w:val="auto"/>
                <w:sz w:val="21"/>
                <w:szCs w:val="21"/>
                <w:lang w:val="en-US" w:eastAsia="zh-CN"/>
              </w:rPr>
              <w:t>39933.28</w:t>
            </w:r>
            <w:r>
              <w:rPr>
                <w:rFonts w:hint="default" w:ascii="Times New Roman" w:hAnsi="Times New Roman" w:eastAsia="仿宋_GB2312" w:cs="Times New Roman"/>
                <w:color w:val="auto"/>
                <w:sz w:val="21"/>
                <w:szCs w:val="21"/>
                <w:lang w:val="en-US" w:eastAsia="zh-CN"/>
              </w:rPr>
              <w:t>m²</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配套</w:t>
            </w:r>
            <w:r>
              <w:rPr>
                <w:rFonts w:hint="default" w:ascii="Times New Roman" w:hAnsi="Times New Roman" w:eastAsia="仿宋_GB2312" w:cs="Times New Roman"/>
                <w:color w:val="auto"/>
                <w:sz w:val="21"/>
                <w:szCs w:val="21"/>
                <w:lang w:eastAsia="zh-CN"/>
              </w:rPr>
              <w:t>供水管线和供电工程等基础设施工程</w:t>
            </w:r>
            <w:r>
              <w:rPr>
                <w:rFonts w:hint="default" w:ascii="Times New Roman" w:hAnsi="Times New Roman" w:eastAsia="仿宋_GB2312" w:cs="Times New Roman"/>
                <w:color w:val="auto"/>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586" w:type="dxa"/>
            <w:tcBorders>
              <w:lef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仿宋_GB2312" w:cs="Times New Roman"/>
                <w:spacing w:val="2"/>
                <w:sz w:val="20"/>
                <w:szCs w:val="20"/>
                <w:lang w:val="en-US" w:eastAsia="zh-CN"/>
              </w:rPr>
            </w:pPr>
            <w:r>
              <w:rPr>
                <w:rFonts w:hint="eastAsia" w:eastAsia="仿宋_GB2312" w:cs="Times New Roman"/>
                <w:spacing w:val="2"/>
                <w:sz w:val="20"/>
                <w:szCs w:val="20"/>
                <w:lang w:val="en-US" w:eastAsia="zh-CN"/>
              </w:rPr>
              <w:t>燃气</w:t>
            </w:r>
          </w:p>
        </w:tc>
        <w:tc>
          <w:tcPr>
            <w:tcW w:w="6759" w:type="dxa"/>
            <w:gridSpan w:val="8"/>
            <w:tcBorders>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404" w:firstLineChars="200"/>
              <w:jc w:val="both"/>
              <w:textAlignment w:val="auto"/>
              <w:rPr>
                <w:rFonts w:hint="eastAsia" w:ascii="Times New Roman" w:hAnsi="Times New Roman" w:eastAsia="仿宋_GB2312" w:cs="Times New Roman"/>
                <w:spacing w:val="1"/>
                <w:sz w:val="20"/>
                <w:szCs w:val="20"/>
                <w:highlight w:val="none"/>
                <w:lang w:eastAsia="zh-CN"/>
              </w:rPr>
            </w:pPr>
            <w:r>
              <w:rPr>
                <w:rFonts w:hint="default" w:ascii="Times New Roman" w:hAnsi="Times New Roman" w:eastAsia="仿宋_GB2312" w:cs="Times New Roman"/>
                <w:spacing w:val="1"/>
                <w:sz w:val="20"/>
                <w:szCs w:val="20"/>
                <w:highlight w:val="none"/>
              </w:rPr>
              <w:t>引自A地块燃气管网</w:t>
            </w:r>
            <w:r>
              <w:rPr>
                <w:rFonts w:hint="eastAsia" w:eastAsia="仿宋_GB2312" w:cs="Times New Roman"/>
                <w:spacing w:val="1"/>
                <w:sz w:val="20"/>
                <w:szCs w:val="20"/>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586" w:type="dxa"/>
            <w:tcBorders>
              <w:lef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仿宋_GB2312" w:cs="Times New Roman"/>
                <w:spacing w:val="2"/>
                <w:sz w:val="20"/>
                <w:szCs w:val="20"/>
                <w:lang w:val="en-US" w:eastAsia="zh-CN"/>
              </w:rPr>
            </w:pPr>
            <w:r>
              <w:rPr>
                <w:rFonts w:hint="eastAsia" w:eastAsia="仿宋_GB2312" w:cs="Times New Roman"/>
                <w:spacing w:val="2"/>
                <w:sz w:val="20"/>
                <w:szCs w:val="20"/>
                <w:lang w:val="en-US" w:eastAsia="zh-CN"/>
              </w:rPr>
              <w:t>给水</w:t>
            </w:r>
          </w:p>
        </w:tc>
        <w:tc>
          <w:tcPr>
            <w:tcW w:w="6759" w:type="dxa"/>
            <w:gridSpan w:val="8"/>
            <w:tcBorders>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404" w:firstLineChars="200"/>
              <w:jc w:val="both"/>
              <w:textAlignment w:val="auto"/>
              <w:rPr>
                <w:rFonts w:hint="eastAsia" w:ascii="Times New Roman" w:hAnsi="Times New Roman" w:eastAsia="仿宋_GB2312" w:cs="Times New Roman"/>
                <w:spacing w:val="1"/>
                <w:sz w:val="20"/>
                <w:szCs w:val="20"/>
                <w:highlight w:val="none"/>
                <w:lang w:eastAsia="zh-CN"/>
              </w:rPr>
            </w:pPr>
            <w:r>
              <w:rPr>
                <w:rFonts w:hint="default" w:ascii="Times New Roman" w:hAnsi="Times New Roman" w:eastAsia="仿宋_GB2312" w:cs="Times New Roman"/>
                <w:spacing w:val="1"/>
                <w:sz w:val="20"/>
                <w:szCs w:val="20"/>
                <w:highlight w:val="none"/>
              </w:rPr>
              <w:t>引自A地块给水管网</w:t>
            </w:r>
            <w:r>
              <w:rPr>
                <w:rFonts w:hint="eastAsia" w:eastAsia="仿宋_GB2312" w:cs="Times New Roman"/>
                <w:spacing w:val="1"/>
                <w:sz w:val="20"/>
                <w:szCs w:val="20"/>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586" w:type="dxa"/>
            <w:tcBorders>
              <w:lef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仿宋_GB2312" w:cs="Times New Roman"/>
                <w:spacing w:val="2"/>
                <w:sz w:val="20"/>
                <w:szCs w:val="20"/>
                <w:lang w:val="en-US" w:eastAsia="zh-CN"/>
              </w:rPr>
            </w:pPr>
            <w:r>
              <w:rPr>
                <w:rFonts w:hint="eastAsia" w:eastAsia="仿宋_GB2312" w:cs="Times New Roman"/>
                <w:spacing w:val="2"/>
                <w:sz w:val="20"/>
                <w:szCs w:val="20"/>
                <w:lang w:val="en-US" w:eastAsia="zh-CN"/>
              </w:rPr>
              <w:t>污水</w:t>
            </w:r>
          </w:p>
        </w:tc>
        <w:tc>
          <w:tcPr>
            <w:tcW w:w="6759" w:type="dxa"/>
            <w:gridSpan w:val="8"/>
            <w:tcBorders>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404" w:firstLineChars="200"/>
              <w:jc w:val="both"/>
              <w:textAlignment w:val="auto"/>
              <w:rPr>
                <w:rFonts w:hint="eastAsia" w:ascii="Times New Roman" w:hAnsi="Times New Roman" w:eastAsia="仿宋_GB2312" w:cs="Times New Roman"/>
                <w:spacing w:val="1"/>
                <w:sz w:val="20"/>
                <w:szCs w:val="20"/>
                <w:highlight w:val="none"/>
                <w:lang w:eastAsia="zh-CN"/>
              </w:rPr>
            </w:pPr>
            <w:r>
              <w:rPr>
                <w:rFonts w:hint="default" w:ascii="Times New Roman" w:hAnsi="Times New Roman" w:eastAsia="仿宋_GB2312" w:cs="Times New Roman"/>
                <w:spacing w:val="1"/>
                <w:sz w:val="20"/>
                <w:szCs w:val="20"/>
                <w:highlight w:val="none"/>
              </w:rPr>
              <w:t>排入英凯大街污水管线</w:t>
            </w:r>
            <w:r>
              <w:rPr>
                <w:rFonts w:hint="eastAsia" w:eastAsia="仿宋_GB2312" w:cs="Times New Roman"/>
                <w:spacing w:val="1"/>
                <w:sz w:val="20"/>
                <w:szCs w:val="20"/>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586" w:type="dxa"/>
            <w:tcBorders>
              <w:lef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仿宋_GB2312" w:cs="Times New Roman"/>
                <w:sz w:val="20"/>
                <w:szCs w:val="20"/>
                <w:lang w:eastAsia="zh-CN"/>
              </w:rPr>
            </w:pPr>
            <w:r>
              <w:rPr>
                <w:rFonts w:hint="eastAsia" w:eastAsia="仿宋_GB2312" w:cs="Times New Roman"/>
                <w:spacing w:val="2"/>
                <w:sz w:val="20"/>
                <w:szCs w:val="20"/>
                <w:lang w:val="en-US" w:eastAsia="zh-CN"/>
              </w:rPr>
              <w:t>雨水</w:t>
            </w:r>
          </w:p>
        </w:tc>
        <w:tc>
          <w:tcPr>
            <w:tcW w:w="6759" w:type="dxa"/>
            <w:gridSpan w:val="8"/>
            <w:tcBorders>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404" w:firstLineChars="200"/>
              <w:jc w:val="both"/>
              <w:textAlignment w:val="auto"/>
              <w:rPr>
                <w:rFonts w:hint="eastAsia" w:ascii="Times New Roman" w:hAnsi="Times New Roman" w:eastAsia="仿宋_GB2312" w:cs="Times New Roman"/>
                <w:spacing w:val="1"/>
                <w:sz w:val="20"/>
                <w:szCs w:val="20"/>
                <w:highlight w:val="none"/>
                <w:lang w:eastAsia="zh-CN"/>
              </w:rPr>
            </w:pPr>
            <w:r>
              <w:rPr>
                <w:rFonts w:hint="default" w:ascii="Times New Roman" w:hAnsi="Times New Roman" w:eastAsia="仿宋_GB2312" w:cs="Times New Roman"/>
                <w:spacing w:val="1"/>
                <w:sz w:val="20"/>
                <w:szCs w:val="20"/>
                <w:highlight w:val="none"/>
              </w:rPr>
              <w:t>排入英凯大街现状雨水管线</w:t>
            </w:r>
            <w:r>
              <w:rPr>
                <w:rFonts w:hint="eastAsia" w:eastAsia="仿宋_GB2312" w:cs="Times New Roman"/>
                <w:spacing w:val="1"/>
                <w:sz w:val="20"/>
                <w:szCs w:val="20"/>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jc w:val="center"/>
        </w:trPr>
        <w:tc>
          <w:tcPr>
            <w:tcW w:w="1586" w:type="dxa"/>
            <w:tcBorders>
              <w:lef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仿宋_GB2312" w:cs="Times New Roman"/>
                <w:sz w:val="20"/>
                <w:szCs w:val="20"/>
                <w:lang w:eastAsia="zh-CN"/>
              </w:rPr>
            </w:pPr>
            <w:r>
              <w:rPr>
                <w:rFonts w:hint="eastAsia" w:eastAsia="仿宋_GB2312" w:cs="Times New Roman"/>
                <w:spacing w:val="2"/>
                <w:sz w:val="20"/>
                <w:szCs w:val="20"/>
                <w:lang w:val="en-US" w:eastAsia="zh-CN"/>
              </w:rPr>
              <w:t>电力</w:t>
            </w:r>
          </w:p>
        </w:tc>
        <w:tc>
          <w:tcPr>
            <w:tcW w:w="6759" w:type="dxa"/>
            <w:gridSpan w:val="8"/>
            <w:tcBorders>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404" w:firstLineChars="200"/>
              <w:jc w:val="both"/>
              <w:textAlignment w:val="auto"/>
              <w:rPr>
                <w:rFonts w:hint="eastAsia" w:ascii="Times New Roman" w:hAnsi="Times New Roman" w:eastAsia="仿宋_GB2312" w:cs="Times New Roman"/>
                <w:spacing w:val="1"/>
                <w:sz w:val="20"/>
                <w:szCs w:val="20"/>
                <w:highlight w:val="none"/>
                <w:lang w:eastAsia="zh-CN"/>
              </w:rPr>
            </w:pPr>
            <w:r>
              <w:rPr>
                <w:rFonts w:hint="default" w:ascii="Times New Roman" w:hAnsi="Times New Roman" w:eastAsia="仿宋_GB2312" w:cs="Times New Roman"/>
                <w:spacing w:val="1"/>
                <w:sz w:val="20"/>
                <w:szCs w:val="20"/>
                <w:highlight w:val="none"/>
              </w:rPr>
              <w:t>引自英凯大街现状10KV电力线路</w:t>
            </w:r>
            <w:r>
              <w:rPr>
                <w:rFonts w:hint="eastAsia" w:eastAsia="仿宋_GB2312" w:cs="Times New Roman"/>
                <w:spacing w:val="1"/>
                <w:sz w:val="20"/>
                <w:szCs w:val="20"/>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586" w:type="dxa"/>
            <w:tcBorders>
              <w:lef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仿宋_GB2312" w:cs="Times New Roman"/>
                <w:sz w:val="20"/>
                <w:szCs w:val="20"/>
                <w:lang w:eastAsia="zh-CN"/>
              </w:rPr>
            </w:pPr>
            <w:r>
              <w:rPr>
                <w:rFonts w:hint="eastAsia" w:eastAsia="仿宋_GB2312" w:cs="Times New Roman"/>
                <w:spacing w:val="-1"/>
                <w:sz w:val="20"/>
                <w:szCs w:val="20"/>
                <w:lang w:val="en-US" w:eastAsia="zh-CN"/>
              </w:rPr>
              <w:t>通信</w:t>
            </w:r>
          </w:p>
        </w:tc>
        <w:tc>
          <w:tcPr>
            <w:tcW w:w="6759" w:type="dxa"/>
            <w:gridSpan w:val="8"/>
            <w:tcBorders>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404" w:firstLineChars="200"/>
              <w:jc w:val="both"/>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pacing w:val="1"/>
                <w:sz w:val="20"/>
                <w:szCs w:val="20"/>
                <w:highlight w:val="none"/>
              </w:rPr>
              <w:t>引自英凯大街规划通信管线。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586" w:type="dxa"/>
            <w:tcBorders>
              <w:lef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移民拆</w:t>
            </w:r>
            <w:r>
              <w:rPr>
                <w:rFonts w:hint="default" w:ascii="Times New Roman" w:hAnsi="Times New Roman" w:eastAsia="仿宋_GB2312" w:cs="Times New Roman"/>
                <w:spacing w:val="5"/>
                <w:sz w:val="20"/>
                <w:szCs w:val="20"/>
              </w:rPr>
              <w:t>迁</w:t>
            </w:r>
          </w:p>
        </w:tc>
        <w:tc>
          <w:tcPr>
            <w:tcW w:w="6759" w:type="dxa"/>
            <w:gridSpan w:val="8"/>
            <w:tcBorders>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400" w:firstLineChars="200"/>
              <w:jc w:val="both"/>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8345" w:type="dxa"/>
            <w:gridSpan w:val="9"/>
            <w:tcBorders>
              <w:left w:val="single" w:color="000000" w:sz="10" w:space="0"/>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b/>
                <w:bCs/>
                <w:spacing w:val="12"/>
                <w:sz w:val="20"/>
                <w:szCs w:val="20"/>
              </w:rPr>
              <w:t>二</w:t>
            </w:r>
            <w:r>
              <w:rPr>
                <w:rFonts w:hint="default" w:ascii="Times New Roman" w:hAnsi="Times New Roman" w:eastAsia="仿宋_GB2312" w:cs="Times New Roman"/>
                <w:b/>
                <w:bCs/>
                <w:spacing w:val="8"/>
                <w:sz w:val="20"/>
                <w:szCs w:val="20"/>
              </w:rPr>
              <w:t>、项目组成及主要技术指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586" w:type="dxa"/>
            <w:tcBorders>
              <w:lef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工程建设区</w:t>
            </w:r>
          </w:p>
        </w:tc>
        <w:tc>
          <w:tcPr>
            <w:tcW w:w="6759" w:type="dxa"/>
            <w:gridSpan w:val="8"/>
            <w:tcBorders>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420" w:firstLineChars="200"/>
              <w:jc w:val="both"/>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color w:val="auto"/>
                <w:sz w:val="21"/>
                <w:szCs w:val="21"/>
              </w:rPr>
              <w:t>厂房</w:t>
            </w:r>
            <w:r>
              <w:rPr>
                <w:rFonts w:hint="eastAsia" w:eastAsia="仿宋_GB2312" w:cs="Times New Roman"/>
                <w:color w:val="auto"/>
                <w:sz w:val="21"/>
                <w:szCs w:val="21"/>
                <w:lang w:val="en-US" w:eastAsia="zh-CN"/>
              </w:rPr>
              <w:t>6栋</w:t>
            </w:r>
            <w:r>
              <w:rPr>
                <w:rFonts w:hint="default" w:ascii="Times New Roman" w:hAnsi="Times New Roman" w:eastAsia="仿宋_GB2312" w:cs="Times New Roman"/>
                <w:color w:val="auto"/>
                <w:sz w:val="21"/>
                <w:szCs w:val="21"/>
              </w:rPr>
              <w:t>、</w:t>
            </w:r>
            <w:r>
              <w:rPr>
                <w:rFonts w:hint="eastAsia" w:eastAsia="仿宋_GB2312" w:cs="Times New Roman"/>
                <w:color w:val="auto"/>
                <w:sz w:val="21"/>
                <w:szCs w:val="21"/>
                <w:lang w:val="en-US" w:eastAsia="zh-CN"/>
              </w:rPr>
              <w:t>办公楼及食堂1栋</w:t>
            </w:r>
            <w:r>
              <w:rPr>
                <w:rFonts w:hint="default" w:ascii="Times New Roman" w:hAnsi="Times New Roman" w:eastAsia="仿宋_GB2312" w:cs="Times New Roman"/>
                <w:color w:val="auto"/>
                <w:sz w:val="21"/>
                <w:szCs w:val="21"/>
              </w:rPr>
              <w:t>、</w:t>
            </w:r>
            <w:r>
              <w:rPr>
                <w:rFonts w:hint="eastAsia" w:eastAsia="仿宋_GB2312" w:cs="Times New Roman"/>
                <w:color w:val="auto"/>
                <w:sz w:val="21"/>
                <w:szCs w:val="21"/>
                <w:lang w:val="en-US" w:eastAsia="zh-CN"/>
              </w:rPr>
              <w:t>宿舍楼1栋</w:t>
            </w:r>
            <w:r>
              <w:rPr>
                <w:rFonts w:hint="default" w:ascii="Times New Roman" w:hAnsi="Times New Roman" w:eastAsia="仿宋_GB2312" w:cs="Times New Roman"/>
                <w:color w:val="auto"/>
                <w:sz w:val="21"/>
                <w:szCs w:val="21"/>
              </w:rPr>
              <w:t>、</w:t>
            </w:r>
            <w:r>
              <w:rPr>
                <w:rFonts w:hint="eastAsia" w:eastAsia="仿宋_GB2312" w:cs="Times New Roman"/>
                <w:color w:val="auto"/>
                <w:sz w:val="21"/>
                <w:szCs w:val="21"/>
                <w:lang w:val="en-US" w:eastAsia="zh-CN"/>
              </w:rPr>
              <w:t>实验中心1栋</w:t>
            </w:r>
            <w:r>
              <w:rPr>
                <w:rFonts w:hint="default" w:ascii="Times New Roman" w:hAnsi="Times New Roman" w:eastAsia="仿宋_GB2312" w:cs="Times New Roman"/>
                <w:color w:val="auto"/>
                <w:sz w:val="21"/>
                <w:szCs w:val="21"/>
              </w:rPr>
              <w:t>、</w:t>
            </w:r>
            <w:r>
              <w:rPr>
                <w:rFonts w:hint="eastAsia" w:eastAsia="仿宋_GB2312" w:cs="Times New Roman"/>
                <w:color w:val="auto"/>
                <w:sz w:val="21"/>
                <w:szCs w:val="21"/>
                <w:lang w:val="en-US" w:eastAsia="zh-CN"/>
              </w:rPr>
              <w:t>食堂1栋</w:t>
            </w:r>
            <w:r>
              <w:rPr>
                <w:rFonts w:hint="default" w:ascii="Times New Roman" w:hAnsi="Times New Roman" w:eastAsia="仿宋_GB2312" w:cs="Times New Roman"/>
                <w:color w:val="auto"/>
                <w:sz w:val="21"/>
                <w:szCs w:val="21"/>
              </w:rPr>
              <w:t>、开闭站、变电所、柴发、锅炉房、</w:t>
            </w:r>
            <w:r>
              <w:rPr>
                <w:rFonts w:hint="eastAsia" w:eastAsia="仿宋_GB2312" w:cs="Times New Roman"/>
                <w:color w:val="auto"/>
                <w:sz w:val="21"/>
                <w:szCs w:val="21"/>
                <w:lang w:eastAsia="zh-CN"/>
              </w:rPr>
              <w:t>水泵房及水池</w:t>
            </w:r>
            <w:r>
              <w:rPr>
                <w:rFonts w:hint="default" w:ascii="Times New Roman" w:hAnsi="Times New Roman" w:eastAsia="仿宋_GB2312" w:cs="Times New Roman"/>
                <w:color w:val="auto"/>
                <w:sz w:val="21"/>
                <w:szCs w:val="21"/>
                <w:lang w:val="en-US" w:eastAsia="zh-CN"/>
              </w:rPr>
              <w:t>1栋</w:t>
            </w:r>
            <w:r>
              <w:rPr>
                <w:rFonts w:hint="default" w:ascii="Times New Roman" w:hAnsi="Times New Roman" w:eastAsia="仿宋_GB2312" w:cs="Times New Roman"/>
                <w:color w:val="auto"/>
                <w:sz w:val="21"/>
                <w:szCs w:val="21"/>
              </w:rPr>
              <w:t>、</w:t>
            </w:r>
            <w:r>
              <w:rPr>
                <w:rFonts w:hint="eastAsia" w:eastAsia="仿宋_GB2312" w:cs="Times New Roman"/>
                <w:color w:val="auto"/>
                <w:sz w:val="21"/>
                <w:szCs w:val="21"/>
                <w:lang w:eastAsia="zh-CN"/>
              </w:rPr>
              <w:t>成品岗亭</w:t>
            </w:r>
            <w:r>
              <w:rPr>
                <w:rFonts w:hint="eastAsia" w:eastAsia="仿宋_GB2312" w:cs="Times New Roman"/>
                <w:color w:val="auto"/>
                <w:sz w:val="21"/>
                <w:szCs w:val="21"/>
                <w:lang w:val="en-US" w:eastAsia="zh-CN"/>
              </w:rPr>
              <w:t>5栋</w:t>
            </w:r>
            <w:r>
              <w:rPr>
                <w:rFonts w:hint="default" w:ascii="Times New Roman" w:hAnsi="Times New Roman" w:eastAsia="仿宋_GB2312" w:cs="Times New Roman"/>
                <w:spacing w:val="6"/>
                <w:sz w:val="20"/>
                <w:szCs w:val="20"/>
              </w:rPr>
              <w:t>以及其他附属工程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8345" w:type="dxa"/>
            <w:gridSpan w:val="9"/>
            <w:tcBorders>
              <w:left w:val="single" w:color="000000" w:sz="10" w:space="0"/>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b/>
                <w:bCs/>
                <w:spacing w:val="8"/>
                <w:sz w:val="20"/>
                <w:szCs w:val="20"/>
              </w:rPr>
              <w:t>三</w:t>
            </w:r>
            <w:r>
              <w:rPr>
                <w:rFonts w:hint="default" w:ascii="Times New Roman" w:hAnsi="Times New Roman" w:eastAsia="仿宋_GB2312" w:cs="Times New Roman"/>
                <w:b/>
                <w:bCs/>
                <w:spacing w:val="6"/>
                <w:sz w:val="20"/>
                <w:szCs w:val="20"/>
              </w:rPr>
              <w:t>、项目组成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586" w:type="dxa"/>
            <w:vMerge w:val="restart"/>
            <w:tcBorders>
              <w:left w:val="single" w:color="000000" w:sz="10" w:space="0"/>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pacing w:val="6"/>
                <w:sz w:val="20"/>
                <w:szCs w:val="20"/>
              </w:rPr>
            </w:pPr>
            <w:r>
              <w:rPr>
                <w:rFonts w:hint="default" w:ascii="Times New Roman" w:hAnsi="Times New Roman" w:eastAsia="仿宋_GB2312" w:cs="Times New Roman"/>
                <w:spacing w:val="6"/>
                <w:sz w:val="20"/>
                <w:szCs w:val="20"/>
              </w:rPr>
              <w:t>项目占地</w:t>
            </w:r>
          </w:p>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pacing w:val="6"/>
                <w:sz w:val="20"/>
                <w:szCs w:val="20"/>
              </w:rPr>
            </w:pPr>
            <w:r>
              <w:rPr>
                <w:rFonts w:hint="default" w:ascii="Times New Roman" w:hAnsi="Times New Roman" w:eastAsia="仿宋_GB2312" w:cs="Times New Roman"/>
                <w:spacing w:val="6"/>
                <w:sz w:val="20"/>
                <w:szCs w:val="20"/>
              </w:rPr>
              <w:t>及土石方</w:t>
            </w:r>
          </w:p>
        </w:tc>
        <w:tc>
          <w:tcPr>
            <w:tcW w:w="3107"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2"/>
                <w:position w:val="1"/>
                <w:sz w:val="20"/>
                <w:szCs w:val="20"/>
              </w:rPr>
              <w:t>占地面积(</w:t>
            </w:r>
            <w:r>
              <w:rPr>
                <w:rFonts w:hint="default" w:ascii="Times New Roman" w:hAnsi="Times New Roman" w:eastAsia="仿宋_GB2312" w:cs="Times New Roman"/>
                <w:position w:val="1"/>
                <w:sz w:val="20"/>
                <w:szCs w:val="20"/>
              </w:rPr>
              <w:t>hm</w:t>
            </w:r>
            <w:r>
              <w:rPr>
                <w:rFonts w:hint="default" w:ascii="Times New Roman" w:hAnsi="Times New Roman" w:eastAsia="仿宋_GB2312" w:cs="Times New Roman"/>
                <w:spacing w:val="2"/>
                <w:position w:val="1"/>
                <w:sz w:val="20"/>
                <w:szCs w:val="20"/>
              </w:rPr>
              <w:t>²</w:t>
            </w:r>
            <w:r>
              <w:rPr>
                <w:rFonts w:hint="default" w:ascii="Times New Roman" w:hAnsi="Times New Roman" w:eastAsia="仿宋_GB2312" w:cs="Times New Roman"/>
                <w:position w:val="1"/>
                <w:sz w:val="20"/>
                <w:szCs w:val="20"/>
              </w:rPr>
              <w:t>)</w:t>
            </w:r>
          </w:p>
        </w:tc>
        <w:tc>
          <w:tcPr>
            <w:tcW w:w="3652" w:type="dxa"/>
            <w:gridSpan w:val="4"/>
            <w:tcBorders>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pacing w:val="12"/>
                <w:sz w:val="20"/>
                <w:szCs w:val="20"/>
                <w:highlight w:val="none"/>
              </w:rPr>
              <w:t>土石方量(万</w:t>
            </w:r>
            <w:r>
              <w:rPr>
                <w:rFonts w:hint="default" w:ascii="Times New Roman" w:hAnsi="Times New Roman" w:eastAsia="仿宋_GB2312" w:cs="Times New Roman"/>
                <w:sz w:val="20"/>
                <w:szCs w:val="20"/>
                <w:highlight w:val="none"/>
              </w:rPr>
              <w:t>m</w:t>
            </w:r>
            <w:r>
              <w:rPr>
                <w:rFonts w:hint="default" w:ascii="Times New Roman" w:hAnsi="Times New Roman" w:eastAsia="仿宋_GB2312" w:cs="Times New Roman"/>
                <w:spacing w:val="12"/>
                <w:sz w:val="20"/>
                <w:szCs w:val="20"/>
                <w:highlight w:val="none"/>
              </w:rPr>
              <w:t>³</w:t>
            </w:r>
            <w:r>
              <w:rPr>
                <w:rFonts w:hint="default" w:ascii="Times New Roman" w:hAnsi="Times New Roman" w:eastAsia="仿宋_GB2312" w:cs="Times New Roman"/>
                <w:spacing w:val="10"/>
                <w:sz w:val="20"/>
                <w:szCs w:val="20"/>
                <w:highlight w:val="none"/>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586" w:type="dxa"/>
            <w:vMerge w:val="continue"/>
            <w:tcBorders>
              <w:top w:val="nil"/>
              <w:lef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pacing w:val="6"/>
                <w:sz w:val="20"/>
                <w:szCs w:val="20"/>
              </w:rPr>
            </w:pPr>
          </w:p>
        </w:tc>
        <w:tc>
          <w:tcPr>
            <w:tcW w:w="99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pacing w:val="-1"/>
                <w:sz w:val="20"/>
                <w:szCs w:val="20"/>
              </w:rPr>
            </w:pPr>
            <w:r>
              <w:rPr>
                <w:rFonts w:hint="default" w:ascii="Times New Roman" w:hAnsi="Times New Roman" w:eastAsia="仿宋_GB2312" w:cs="Times New Roman"/>
                <w:spacing w:val="-1"/>
                <w:sz w:val="20"/>
                <w:szCs w:val="20"/>
              </w:rPr>
              <w:t>永久占地</w:t>
            </w:r>
          </w:p>
        </w:tc>
        <w:tc>
          <w:tcPr>
            <w:tcW w:w="9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pacing w:val="-1"/>
                <w:sz w:val="20"/>
                <w:szCs w:val="20"/>
              </w:rPr>
            </w:pPr>
            <w:r>
              <w:rPr>
                <w:rFonts w:hint="default" w:ascii="Times New Roman" w:hAnsi="Times New Roman" w:eastAsia="仿宋_GB2312" w:cs="Times New Roman"/>
                <w:spacing w:val="-1"/>
                <w:sz w:val="20"/>
                <w:szCs w:val="20"/>
              </w:rPr>
              <w:t>临时占地</w:t>
            </w:r>
          </w:p>
        </w:tc>
        <w:tc>
          <w:tcPr>
            <w:tcW w:w="112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合计</w:t>
            </w:r>
          </w:p>
        </w:tc>
        <w:tc>
          <w:tcPr>
            <w:tcW w:w="85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pacing w:val="2"/>
                <w:sz w:val="20"/>
                <w:szCs w:val="20"/>
                <w:highlight w:val="none"/>
              </w:rPr>
              <w:t>挖方</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pacing w:val="1"/>
                <w:sz w:val="20"/>
                <w:szCs w:val="20"/>
                <w:highlight w:val="none"/>
              </w:rPr>
              <w:t>填方</w:t>
            </w:r>
          </w:p>
        </w:tc>
        <w:tc>
          <w:tcPr>
            <w:tcW w:w="112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pacing w:val="1"/>
                <w:sz w:val="20"/>
                <w:szCs w:val="20"/>
                <w:highlight w:val="none"/>
              </w:rPr>
              <w:t>借方</w:t>
            </w:r>
          </w:p>
        </w:tc>
        <w:tc>
          <w:tcPr>
            <w:tcW w:w="828" w:type="dxa"/>
            <w:tcBorders>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pacing w:val="1"/>
                <w:sz w:val="20"/>
                <w:szCs w:val="20"/>
                <w:highlight w:val="none"/>
              </w:rPr>
              <w:t>余方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586" w:type="dxa"/>
            <w:tcBorders>
              <w:lef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pacing w:val="6"/>
                <w:sz w:val="20"/>
                <w:szCs w:val="20"/>
              </w:rPr>
            </w:pPr>
            <w:r>
              <w:rPr>
                <w:rFonts w:hint="default" w:ascii="Times New Roman" w:hAnsi="Times New Roman" w:eastAsia="仿宋_GB2312" w:cs="Times New Roman"/>
                <w:spacing w:val="6"/>
                <w:sz w:val="20"/>
                <w:szCs w:val="20"/>
              </w:rPr>
              <w:t>工程建设区</w:t>
            </w:r>
          </w:p>
        </w:tc>
        <w:tc>
          <w:tcPr>
            <w:tcW w:w="99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lang w:val="en-US" w:eastAsia="zh-CN"/>
              </w:rPr>
            </w:pPr>
            <w:r>
              <w:rPr>
                <w:rFonts w:hint="eastAsia" w:eastAsia="仿宋_GB2312" w:cs="Times New Roman"/>
                <w:spacing w:val="2"/>
                <w:sz w:val="20"/>
                <w:szCs w:val="20"/>
                <w:lang w:val="en-US" w:eastAsia="zh-CN"/>
              </w:rPr>
              <w:t>19.98</w:t>
            </w:r>
          </w:p>
        </w:tc>
        <w:tc>
          <w:tcPr>
            <w:tcW w:w="9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w:t>
            </w:r>
          </w:p>
        </w:tc>
        <w:tc>
          <w:tcPr>
            <w:tcW w:w="112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lang w:val="en-US" w:eastAsia="zh-CN"/>
              </w:rPr>
            </w:pPr>
            <w:r>
              <w:rPr>
                <w:rFonts w:hint="eastAsia" w:eastAsia="仿宋_GB2312" w:cs="Times New Roman"/>
                <w:spacing w:val="2"/>
                <w:sz w:val="20"/>
                <w:szCs w:val="20"/>
                <w:lang w:val="en-US" w:eastAsia="zh-CN"/>
              </w:rPr>
              <w:t>19.98</w:t>
            </w:r>
          </w:p>
        </w:tc>
        <w:tc>
          <w:tcPr>
            <w:tcW w:w="85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highlight w:val="none"/>
                <w:lang w:val="en-US" w:eastAsia="zh-CN"/>
              </w:rPr>
            </w:pPr>
            <w:r>
              <w:rPr>
                <w:rFonts w:hint="eastAsia" w:eastAsia="仿宋_GB2312" w:cs="Times New Roman"/>
                <w:spacing w:val="3"/>
                <w:sz w:val="20"/>
                <w:szCs w:val="20"/>
                <w:highlight w:val="none"/>
                <w:lang w:val="en-US" w:eastAsia="zh-CN"/>
              </w:rPr>
              <w:t>21.69</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highlight w:val="none"/>
                <w:lang w:val="en-US" w:eastAsia="zh-CN"/>
              </w:rPr>
            </w:pPr>
            <w:r>
              <w:rPr>
                <w:rFonts w:hint="eastAsia" w:eastAsia="仿宋_GB2312" w:cs="Times New Roman"/>
                <w:spacing w:val="6"/>
                <w:sz w:val="20"/>
                <w:szCs w:val="20"/>
                <w:highlight w:val="none"/>
                <w:lang w:val="en-US" w:eastAsia="zh-CN"/>
              </w:rPr>
              <w:t>22.89</w:t>
            </w:r>
          </w:p>
        </w:tc>
        <w:tc>
          <w:tcPr>
            <w:tcW w:w="112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highlight w:val="none"/>
                <w:lang w:val="en-US" w:eastAsia="zh-CN"/>
              </w:rPr>
            </w:pPr>
            <w:r>
              <w:rPr>
                <w:rFonts w:hint="eastAsia" w:eastAsia="仿宋_GB2312" w:cs="Times New Roman"/>
                <w:spacing w:val="4"/>
                <w:sz w:val="20"/>
                <w:szCs w:val="20"/>
                <w:highlight w:val="none"/>
                <w:lang w:val="en-US" w:eastAsia="zh-CN"/>
              </w:rPr>
              <w:t>1.20</w:t>
            </w:r>
          </w:p>
        </w:tc>
        <w:tc>
          <w:tcPr>
            <w:tcW w:w="828" w:type="dxa"/>
            <w:tcBorders>
              <w:right w:val="single" w:color="000000" w:sz="10"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w:t>
            </w:r>
          </w:p>
        </w:tc>
      </w:tr>
    </w:tbl>
    <w:p>
      <w:pPr>
        <w:pStyle w:val="6"/>
        <w:bidi w:val="0"/>
        <w:rPr>
          <w:rFonts w:hint="default" w:ascii="Times New Roman" w:hAnsi="Times New Roman" w:cs="Times New Roman"/>
        </w:rPr>
      </w:pPr>
      <w:r>
        <w:rPr>
          <w:rFonts w:hint="default" w:ascii="Times New Roman" w:hAnsi="Times New Roman" w:cs="Times New Roman"/>
        </w:rPr>
        <w:t>2.1.</w:t>
      </w:r>
      <w:r>
        <w:rPr>
          <w:rFonts w:hint="default" w:ascii="Times New Roman" w:hAnsi="Times New Roman" w:cs="Times New Roman"/>
          <w:lang w:val="en-US" w:eastAsia="zh-CN"/>
        </w:rPr>
        <w:t>3</w:t>
      </w:r>
      <w:r>
        <w:rPr>
          <w:rFonts w:hint="default" w:ascii="Times New Roman" w:hAnsi="Times New Roman" w:cs="Times New Roman"/>
        </w:rPr>
        <w:t>平面布置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项目总平面布置的基本原则是满足建筑防火、安全、卫生、环境保护及节约用地和减少工程投资等要求，结合项目实际合理布置，使总平面布置与建筑物的使用功能相协调，平面布置按照功能不同分区布置建构筑物、道路及硬化、绿化等区域。</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lang w:eastAsia="zh-CN"/>
        </w:rPr>
        <w:t>（</w:t>
      </w:r>
      <w:r>
        <w:rPr>
          <w:rFonts w:hint="default" w:ascii="Times New Roman" w:hAnsi="Times New Roman" w:eastAsia="仿宋_GB2312" w:cs="Times New Roman"/>
          <w:b/>
          <w:bCs/>
          <w:sz w:val="24"/>
          <w:szCs w:val="24"/>
          <w:lang w:val="en-US" w:eastAsia="zh-CN"/>
        </w:rPr>
        <w:t>1</w:t>
      </w:r>
      <w:r>
        <w:rPr>
          <w:rFonts w:hint="default" w:ascii="Times New Roman" w:hAnsi="Times New Roman" w:eastAsia="仿宋_GB2312" w:cs="Times New Roman"/>
          <w:b/>
          <w:bCs/>
          <w:sz w:val="24"/>
          <w:szCs w:val="24"/>
          <w:lang w:eastAsia="zh-CN"/>
        </w:rPr>
        <w:t>）</w:t>
      </w:r>
      <w:r>
        <w:rPr>
          <w:rFonts w:hint="default" w:ascii="Times New Roman" w:hAnsi="Times New Roman" w:eastAsia="仿宋_GB2312" w:cs="Times New Roman"/>
          <w:b/>
          <w:bCs/>
          <w:sz w:val="24"/>
          <w:szCs w:val="24"/>
        </w:rPr>
        <w:t>建筑物工程</w:t>
      </w:r>
    </w:p>
    <w:p>
      <w:pPr>
        <w:pStyle w:val="185"/>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本期</w:t>
      </w:r>
      <w:r>
        <w:rPr>
          <w:rFonts w:hint="default" w:ascii="Times New Roman" w:hAnsi="Times New Roman" w:eastAsia="仿宋_GB2312" w:cs="Times New Roman"/>
          <w:sz w:val="24"/>
          <w:szCs w:val="24"/>
        </w:rPr>
        <w:t>项目规划总用地面积</w:t>
      </w:r>
      <w:r>
        <w:rPr>
          <w:rFonts w:hint="eastAsia" w:ascii="Times New Roman" w:hAnsi="Times New Roman" w:eastAsia="仿宋_GB2312" w:cs="Times New Roman"/>
          <w:sz w:val="24"/>
          <w:szCs w:val="24"/>
          <w:lang w:eastAsia="zh-CN"/>
        </w:rPr>
        <w:t>199833</w:t>
      </w:r>
      <w:r>
        <w:rPr>
          <w:rFonts w:hint="default" w:ascii="Times New Roman" w:hAnsi="Times New Roman" w:eastAsia="仿宋_GB2312" w:cs="Times New Roman"/>
          <w:sz w:val="24"/>
          <w:szCs w:val="24"/>
          <w:lang w:eastAsia="zh-CN"/>
        </w:rPr>
        <w:t>m²</w:t>
      </w:r>
      <w:r>
        <w:rPr>
          <w:rFonts w:hint="default" w:ascii="Times New Roman" w:hAnsi="Times New Roman" w:eastAsia="仿宋_GB2312" w:cs="Times New Roman"/>
          <w:sz w:val="24"/>
          <w:szCs w:val="24"/>
        </w:rPr>
        <w:t>，整个场地平面呈</w:t>
      </w:r>
      <w:r>
        <w:rPr>
          <w:rFonts w:hint="default" w:ascii="Times New Roman" w:hAnsi="Times New Roman" w:eastAsia="仿宋_GB2312" w:cs="Times New Roman"/>
          <w:sz w:val="24"/>
          <w:szCs w:val="24"/>
          <w:lang w:val="en-US" w:eastAsia="zh-CN"/>
        </w:rPr>
        <w:t>不规则</w:t>
      </w:r>
      <w:r>
        <w:rPr>
          <w:rFonts w:hint="default" w:ascii="Times New Roman" w:hAnsi="Times New Roman" w:eastAsia="仿宋_GB2312" w:cs="Times New Roman"/>
          <w:sz w:val="24"/>
          <w:szCs w:val="24"/>
        </w:rPr>
        <w:t>矩形，项目建筑均匀分布。项目西侧、东侧、南侧沿街，其中东侧为场地车行、人行的主入口。同时为方便园区内部使用，在场地周围设置</w:t>
      </w:r>
      <w:r>
        <w:rPr>
          <w:rFonts w:hint="default" w:ascii="Times New Roman" w:hAnsi="Times New Roman" w:eastAsia="仿宋_GB2312" w:cs="Times New Roman"/>
          <w:sz w:val="24"/>
          <w:szCs w:val="24"/>
          <w:lang w:val="en-US" w:eastAsia="zh-CN"/>
        </w:rPr>
        <w:t>2</w:t>
      </w:r>
      <w:r>
        <w:rPr>
          <w:rFonts w:hint="default" w:ascii="Times New Roman" w:hAnsi="Times New Roman" w:eastAsia="仿宋_GB2312" w:cs="Times New Roman"/>
          <w:sz w:val="24"/>
          <w:szCs w:val="24"/>
        </w:rPr>
        <w:t>个次入口。园区内部形成交通环路。</w:t>
      </w:r>
    </w:p>
    <w:p>
      <w:pPr>
        <w:pStyle w:val="185"/>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b/>
          <w:bCs/>
          <w:color w:val="auto"/>
          <w:sz w:val="24"/>
          <w:szCs w:val="24"/>
        </w:rPr>
        <w:t>1#~4#厂房</w:t>
      </w:r>
      <w:r>
        <w:rPr>
          <w:rFonts w:hint="default" w:ascii="Times New Roman" w:hAnsi="Times New Roman" w:eastAsia="仿宋_GB2312" w:cs="Times New Roman"/>
          <w:color w:val="auto"/>
          <w:sz w:val="24"/>
          <w:szCs w:val="24"/>
        </w:rPr>
        <w:t>为钢结构厂房</w:t>
      </w:r>
      <w:r>
        <w:rPr>
          <w:rFonts w:hint="eastAsia"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防水等级Ⅰ级，生产类别为丙类。1.2m以下采用高精度蒸压砂加气砌块(B06)（涂料外墙），1.2m以上采用双层压型钢板复合保温外墙（竖排）</w:t>
      </w:r>
      <w:r>
        <w:rPr>
          <w:rFonts w:hint="eastAsia"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外墙外侧采用0.6mm钢板，内侧采用0.5mm非持力压型钢板，防潮层下砌体孔洞用C20混凝土灌实。厂房内附属用房部分与厂房隔墙采用耐火极限2.5h防火隔墙。</w:t>
      </w:r>
    </w:p>
    <w:p>
      <w:pPr>
        <w:pStyle w:val="185"/>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b/>
          <w:bCs/>
          <w:color w:val="auto"/>
          <w:sz w:val="24"/>
          <w:szCs w:val="24"/>
          <w:highlight w:val="none"/>
        </w:rPr>
        <w:t>5#、6#厂房</w:t>
      </w:r>
      <w:r>
        <w:rPr>
          <w:rFonts w:hint="default" w:ascii="Times New Roman" w:hAnsi="Times New Roman" w:eastAsia="仿宋_GB2312" w:cs="Times New Roman"/>
          <w:color w:val="auto"/>
          <w:sz w:val="24"/>
          <w:szCs w:val="24"/>
          <w:highlight w:val="none"/>
        </w:rPr>
        <w:t>地上5层框架结构，防水等级Ⅰ级，生产类别为丙类，5#、6#厂房建筑面积均为21274.47㎡，占地面积均为6540.47㎡，建筑高度为22.65m ，为多层厂房。建筑耐火等级为二级，设计使用年限为50年，地震基本烈度为7度，主要结构选型框架结构，屋面防水等级为I级。</w:t>
      </w:r>
    </w:p>
    <w:p>
      <w:pPr>
        <w:pStyle w:val="185"/>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b/>
          <w:bCs/>
          <w:color w:val="auto"/>
          <w:sz w:val="24"/>
          <w:szCs w:val="24"/>
        </w:rPr>
        <w:t>综合楼</w:t>
      </w:r>
      <w:r>
        <w:rPr>
          <w:rFonts w:hint="default" w:ascii="Times New Roman" w:hAnsi="Times New Roman" w:eastAsia="仿宋_GB2312" w:cs="Times New Roman"/>
          <w:color w:val="auto"/>
          <w:sz w:val="24"/>
          <w:szCs w:val="24"/>
        </w:rPr>
        <w:t>公共建筑地上3层，总建筑面积11063.98㎡。本建筑占地面积为2957.21㎡，建筑高度为22.00m，为多层公建。建筑耐火等级地上为二级，设计使用年限为50年，地震基本烈度为7度，主要结构选型框架结构，屋面防水等级为I级。办公部分设置2部电梯及两部开敞楼梯间，疏散距离与宽度满足规范要求。</w:t>
      </w:r>
    </w:p>
    <w:p>
      <w:pPr>
        <w:pStyle w:val="185"/>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b/>
          <w:bCs/>
          <w:color w:val="auto"/>
          <w:sz w:val="24"/>
          <w:szCs w:val="24"/>
        </w:rPr>
        <w:t>实验中心</w:t>
      </w:r>
      <w:r>
        <w:rPr>
          <w:rFonts w:hint="default" w:ascii="Times New Roman" w:hAnsi="Times New Roman" w:eastAsia="仿宋_GB2312" w:cs="Times New Roman"/>
          <w:color w:val="auto"/>
          <w:sz w:val="24"/>
          <w:szCs w:val="24"/>
        </w:rPr>
        <w:t>地上</w:t>
      </w:r>
      <w:r>
        <w:rPr>
          <w:rFonts w:hint="eastAsia" w:ascii="Times New Roman" w:hAnsi="Times New Roman" w:eastAsia="仿宋_GB2312" w:cs="Times New Roman"/>
          <w:color w:val="auto"/>
          <w:sz w:val="24"/>
          <w:szCs w:val="24"/>
          <w:lang w:val="en-US" w:eastAsia="zh-CN"/>
        </w:rPr>
        <w:t>3</w:t>
      </w:r>
      <w:r>
        <w:rPr>
          <w:rFonts w:hint="default" w:ascii="Times New Roman" w:hAnsi="Times New Roman" w:eastAsia="仿宋_GB2312" w:cs="Times New Roman"/>
          <w:color w:val="auto"/>
          <w:sz w:val="24"/>
          <w:szCs w:val="24"/>
        </w:rPr>
        <w:t>层，总建筑面积3955.97㎡。本建筑占地面积为1298.99㎡，建筑高度为13.5m，为多层公共建筑，设计使用年限为50年，地震基本烈度为7度，主要结构选型框架结构，屋面防水等级为Ⅰ级。</w:t>
      </w:r>
    </w:p>
    <w:p>
      <w:pPr>
        <w:pStyle w:val="185"/>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b/>
          <w:bCs/>
          <w:color w:val="auto"/>
          <w:sz w:val="24"/>
          <w:szCs w:val="24"/>
        </w:rPr>
        <w:t>餐饮中心</w:t>
      </w:r>
      <w:r>
        <w:rPr>
          <w:rFonts w:hint="default" w:ascii="Times New Roman" w:hAnsi="Times New Roman" w:eastAsia="仿宋_GB2312" w:cs="Times New Roman"/>
          <w:color w:val="auto"/>
          <w:sz w:val="24"/>
          <w:szCs w:val="24"/>
        </w:rPr>
        <w:t>公共建筑地上5层，总建筑面积2425.71㎡。本建筑占地面积为1183.47㎡，建筑高度为9.25m，为多层公建。建筑耐火等级地上为二级，设计使用年限为50年，地震基本烈度为7度，主要结构选型框架结构，屋面防水等级为I级。</w:t>
      </w:r>
    </w:p>
    <w:p>
      <w:pPr>
        <w:pStyle w:val="185"/>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b/>
          <w:bCs/>
          <w:color w:val="auto"/>
          <w:sz w:val="24"/>
          <w:szCs w:val="24"/>
        </w:rPr>
        <w:t>倒班宿舍</w:t>
      </w:r>
      <w:r>
        <w:rPr>
          <w:rFonts w:hint="default" w:ascii="Times New Roman" w:hAnsi="Times New Roman" w:eastAsia="仿宋_GB2312" w:cs="Times New Roman"/>
          <w:color w:val="auto"/>
          <w:sz w:val="24"/>
          <w:szCs w:val="24"/>
        </w:rPr>
        <w:t>公共建筑地上5层，总建筑面积7716.97㎡。本建筑占地面积为1517.25㎡，建筑高度为22.00m，为多层公建。建筑耐火等级地上为二级，设计使用年限为50年，地震基本烈度为7度，主要结构选型框架结构，屋面防水等级为I级。内部设置3部电梯及3部封闭楼梯间，疏散距离与宽度满足规范要求。</w:t>
      </w:r>
    </w:p>
    <w:p>
      <w:pPr>
        <w:pStyle w:val="185"/>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b/>
          <w:bCs/>
          <w:color w:val="auto"/>
          <w:sz w:val="24"/>
          <w:szCs w:val="24"/>
        </w:rPr>
        <w:t>设备用房</w:t>
      </w:r>
      <w:r>
        <w:rPr>
          <w:rFonts w:hint="default" w:ascii="Times New Roman" w:hAnsi="Times New Roman" w:eastAsia="仿宋_GB2312" w:cs="Times New Roman"/>
          <w:color w:val="auto"/>
          <w:sz w:val="24"/>
          <w:szCs w:val="24"/>
        </w:rPr>
        <w:t>公共建筑地上1层，总建筑面积722.86㎡。本建筑占地面积为722.86㎡，建筑高度为5.1m。建筑耐火等级地上为二级，设计使用年限为50年，地震基本烈度为7度，主要结构选型框架结构，屋面防水等级为I级。</w:t>
      </w:r>
    </w:p>
    <w:p>
      <w:pPr>
        <w:pStyle w:val="185"/>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b/>
          <w:bCs/>
          <w:color w:val="auto"/>
          <w:sz w:val="24"/>
          <w:szCs w:val="24"/>
        </w:rPr>
        <w:t>水泵房</w:t>
      </w:r>
      <w:r>
        <w:rPr>
          <w:rFonts w:hint="default" w:ascii="Times New Roman" w:hAnsi="Times New Roman" w:eastAsia="仿宋_GB2312" w:cs="Times New Roman"/>
          <w:color w:val="auto"/>
          <w:sz w:val="24"/>
          <w:szCs w:val="24"/>
        </w:rPr>
        <w:t>公共建筑地上1层，总建筑面积765.96㎡。本建筑占地面积为40.78㎡，建筑高度为3.5m。建筑耐火等级地上为二级，设计使用年限为50年，地震基本烈度为7度，主要结构选型框架结构，屋面防水等级为I级</w:t>
      </w:r>
    </w:p>
    <w:p>
      <w:pPr>
        <w:pStyle w:val="185"/>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b/>
          <w:bCs/>
          <w:color w:val="auto"/>
          <w:sz w:val="24"/>
          <w:szCs w:val="24"/>
        </w:rPr>
        <w:t>成品岗亭</w:t>
      </w:r>
      <w:r>
        <w:rPr>
          <w:rFonts w:hint="default" w:ascii="Times New Roman" w:hAnsi="Times New Roman" w:eastAsia="仿宋_GB2312" w:cs="Times New Roman"/>
          <w:color w:val="auto"/>
          <w:sz w:val="24"/>
          <w:szCs w:val="24"/>
        </w:rPr>
        <w:t>公共建筑地上1层，总建筑面积</w:t>
      </w:r>
      <w:r>
        <w:rPr>
          <w:rFonts w:hint="eastAsia" w:ascii="Times New Roman" w:hAnsi="Times New Roman" w:eastAsia="仿宋_GB2312" w:cs="Times New Roman"/>
          <w:color w:val="auto"/>
          <w:sz w:val="24"/>
          <w:szCs w:val="24"/>
          <w:lang w:val="en-US" w:eastAsia="zh-CN"/>
        </w:rPr>
        <w:t>30</w:t>
      </w:r>
      <w:r>
        <w:rPr>
          <w:rFonts w:hint="default" w:ascii="Times New Roman" w:hAnsi="Times New Roman" w:eastAsia="仿宋_GB2312" w:cs="Times New Roman"/>
          <w:color w:val="auto"/>
          <w:sz w:val="24"/>
          <w:szCs w:val="24"/>
        </w:rPr>
        <w:t>平方米。本建筑占地面积为6平方米，建筑高度为3.50m。</w:t>
      </w:r>
    </w:p>
    <w:p>
      <w:pPr>
        <w:pStyle w:val="2"/>
        <w:rPr>
          <w:rFonts w:hint="default" w:ascii="Times New Roman" w:hAnsi="Times New Roman" w:eastAsia="仿宋_GB2312" w:cs="Times New Roman"/>
          <w:sz w:val="24"/>
          <w:szCs w:val="24"/>
          <w:lang w:eastAsia="zh-CN"/>
        </w:rPr>
      </w:pPr>
    </w:p>
    <w:p>
      <w:pPr>
        <w:pStyle w:val="2"/>
        <w:rPr>
          <w:rFonts w:hint="default" w:ascii="Times New Roman" w:hAnsi="Times New Roman" w:eastAsia="仿宋_GB2312" w:cs="Times New Roman"/>
          <w:sz w:val="24"/>
          <w:szCs w:val="24"/>
          <w:lang w:eastAsia="zh-CN"/>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微软雅黑" w:cs="Times New Roman"/>
          <w:b w:val="0"/>
          <w:bCs w:val="0"/>
          <w:spacing w:val="-8"/>
          <w:sz w:val="21"/>
          <w:szCs w:val="21"/>
        </w:rPr>
      </w:pPr>
      <w:r>
        <w:rPr>
          <w:rFonts w:hint="default" w:ascii="Times New Roman" w:hAnsi="Times New Roman" w:eastAsia="微软雅黑" w:cs="Times New Roman"/>
          <w:b w:val="0"/>
          <w:bCs w:val="0"/>
          <w:spacing w:val="-8"/>
          <w:sz w:val="21"/>
          <w:szCs w:val="21"/>
        </w:rPr>
        <w:t>表2-</w:t>
      </w:r>
      <w:r>
        <w:rPr>
          <w:rFonts w:hint="default" w:ascii="Times New Roman" w:hAnsi="Times New Roman" w:eastAsia="微软雅黑" w:cs="Times New Roman"/>
          <w:b w:val="0"/>
          <w:bCs w:val="0"/>
          <w:spacing w:val="-8"/>
          <w:sz w:val="21"/>
          <w:szCs w:val="21"/>
          <w:lang w:val="en-US" w:eastAsia="zh-CN"/>
        </w:rPr>
        <w:t xml:space="preserve">2  </w:t>
      </w:r>
      <w:r>
        <w:rPr>
          <w:rFonts w:hint="default" w:ascii="Times New Roman" w:hAnsi="Times New Roman" w:eastAsia="微软雅黑" w:cs="Times New Roman"/>
          <w:b w:val="0"/>
          <w:bCs w:val="0"/>
          <w:spacing w:val="-8"/>
          <w:sz w:val="21"/>
          <w:szCs w:val="21"/>
        </w:rPr>
        <w:t>主要建构筑物一览表</w:t>
      </w:r>
    </w:p>
    <w:tbl>
      <w:tblPr>
        <w:tblStyle w:val="88"/>
        <w:tblW w:w="5000" w:type="pct"/>
        <w:jc w:val="center"/>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1811"/>
        <w:gridCol w:w="1009"/>
        <w:gridCol w:w="955"/>
        <w:gridCol w:w="927"/>
        <w:gridCol w:w="1009"/>
        <w:gridCol w:w="750"/>
        <w:gridCol w:w="1023"/>
        <w:gridCol w:w="980"/>
      </w:tblGrid>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PrEx>
        <w:trPr>
          <w:trHeight w:val="340" w:hRule="atLeast"/>
          <w:jc w:val="center"/>
        </w:trPr>
        <w:tc>
          <w:tcPr>
            <w:tcW w:w="106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val="en-US" w:eastAsia="zh-CN"/>
              </w:rPr>
              <w:t>建筑</w:t>
            </w:r>
            <w:r>
              <w:rPr>
                <w:rFonts w:hint="default" w:ascii="Times New Roman" w:hAnsi="Times New Roman" w:eastAsia="仿宋_GB2312" w:cs="Times New Roman"/>
                <w:color w:val="auto"/>
                <w:kern w:val="0"/>
                <w:sz w:val="21"/>
                <w:szCs w:val="21"/>
              </w:rPr>
              <w:t>名称</w:t>
            </w:r>
          </w:p>
        </w:tc>
        <w:tc>
          <w:tcPr>
            <w:tcW w:w="59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层数</w:t>
            </w:r>
          </w:p>
        </w:tc>
        <w:tc>
          <w:tcPr>
            <w:tcW w:w="56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结构类型</w:t>
            </w:r>
          </w:p>
        </w:tc>
        <w:tc>
          <w:tcPr>
            <w:tcW w:w="54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占地</w:t>
            </w:r>
            <w:r>
              <w:rPr>
                <w:rFonts w:hint="default" w:ascii="Times New Roman" w:hAnsi="Times New Roman" w:eastAsia="仿宋_GB2312" w:cs="Times New Roman"/>
                <w:color w:val="auto"/>
                <w:kern w:val="0"/>
                <w:sz w:val="21"/>
                <w:szCs w:val="21"/>
              </w:rPr>
              <w:t>面积（</w:t>
            </w:r>
            <w:r>
              <w:rPr>
                <w:rFonts w:hint="default" w:ascii="Times New Roman" w:hAnsi="Times New Roman" w:eastAsia="仿宋_GB2312" w:cs="Times New Roman"/>
                <w:color w:val="auto"/>
                <w:kern w:val="0"/>
                <w:sz w:val="21"/>
                <w:szCs w:val="21"/>
                <w:lang w:eastAsia="zh-CN"/>
              </w:rPr>
              <w:t>m²</w:t>
            </w:r>
            <w:r>
              <w:rPr>
                <w:rFonts w:hint="default" w:ascii="Times New Roman" w:hAnsi="Times New Roman" w:eastAsia="仿宋_GB2312" w:cs="Times New Roman"/>
                <w:color w:val="auto"/>
                <w:kern w:val="0"/>
                <w:sz w:val="21"/>
                <w:szCs w:val="21"/>
              </w:rPr>
              <w:t>）</w:t>
            </w:r>
          </w:p>
        </w:tc>
        <w:tc>
          <w:tcPr>
            <w:tcW w:w="59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地上</w:t>
            </w:r>
            <w:r>
              <w:rPr>
                <w:rFonts w:hint="default" w:ascii="Times New Roman" w:hAnsi="Times New Roman" w:eastAsia="仿宋_GB2312" w:cs="Times New Roman"/>
                <w:color w:val="auto"/>
                <w:kern w:val="0"/>
                <w:sz w:val="21"/>
                <w:szCs w:val="21"/>
              </w:rPr>
              <w:t>建筑面积（</w:t>
            </w:r>
            <w:r>
              <w:rPr>
                <w:rFonts w:hint="default" w:ascii="Times New Roman" w:hAnsi="Times New Roman" w:eastAsia="仿宋_GB2312" w:cs="Times New Roman"/>
                <w:color w:val="auto"/>
                <w:kern w:val="0"/>
                <w:sz w:val="21"/>
                <w:szCs w:val="21"/>
                <w:lang w:eastAsia="zh-CN"/>
              </w:rPr>
              <w:t>m²</w:t>
            </w:r>
            <w:r>
              <w:rPr>
                <w:rFonts w:hint="default" w:ascii="Times New Roman" w:hAnsi="Times New Roman" w:eastAsia="仿宋_GB2312" w:cs="Times New Roman"/>
                <w:color w:val="auto"/>
                <w:kern w:val="0"/>
                <w:sz w:val="21"/>
                <w:szCs w:val="21"/>
              </w:rPr>
              <w:t>）</w:t>
            </w:r>
          </w:p>
        </w:tc>
        <w:tc>
          <w:tcPr>
            <w:tcW w:w="44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地下</w:t>
            </w:r>
            <w:r>
              <w:rPr>
                <w:rFonts w:hint="default" w:ascii="Times New Roman" w:hAnsi="Times New Roman" w:eastAsia="仿宋_GB2312" w:cs="Times New Roman"/>
                <w:color w:val="auto"/>
                <w:kern w:val="0"/>
                <w:sz w:val="21"/>
                <w:szCs w:val="21"/>
              </w:rPr>
              <w:t>建筑面积（</w:t>
            </w:r>
            <w:r>
              <w:rPr>
                <w:rFonts w:hint="default" w:ascii="Times New Roman" w:hAnsi="Times New Roman" w:eastAsia="仿宋_GB2312" w:cs="Times New Roman"/>
                <w:color w:val="auto"/>
                <w:kern w:val="0"/>
                <w:sz w:val="21"/>
                <w:szCs w:val="21"/>
                <w:lang w:eastAsia="zh-CN"/>
              </w:rPr>
              <w:t>m²</w:t>
            </w:r>
            <w:r>
              <w:rPr>
                <w:rFonts w:hint="default" w:ascii="Times New Roman" w:hAnsi="Times New Roman" w:eastAsia="仿宋_GB2312" w:cs="Times New Roman"/>
                <w:color w:val="auto"/>
                <w:kern w:val="0"/>
                <w:sz w:val="21"/>
                <w:szCs w:val="21"/>
              </w:rPr>
              <w:t>）</w:t>
            </w:r>
          </w:p>
        </w:tc>
        <w:tc>
          <w:tcPr>
            <w:tcW w:w="60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eastAsia" w:eastAsia="仿宋_GB2312" w:cs="Times New Roman"/>
                <w:color w:val="auto"/>
                <w:kern w:val="0"/>
                <w:sz w:val="21"/>
                <w:szCs w:val="21"/>
                <w:lang w:val="en-US" w:eastAsia="zh-CN"/>
              </w:rPr>
              <w:t>建筑总面积（</w:t>
            </w:r>
            <w:r>
              <w:rPr>
                <w:rFonts w:hint="default" w:ascii="Times New Roman" w:hAnsi="Times New Roman" w:eastAsia="仿宋_GB2312" w:cs="Times New Roman"/>
                <w:color w:val="auto"/>
                <w:kern w:val="0"/>
                <w:sz w:val="21"/>
                <w:szCs w:val="21"/>
                <w:lang w:eastAsia="zh-CN"/>
              </w:rPr>
              <w:t>m²</w:t>
            </w:r>
            <w:r>
              <w:rPr>
                <w:rFonts w:hint="eastAsia" w:eastAsia="仿宋_GB2312" w:cs="Times New Roman"/>
                <w:color w:val="auto"/>
                <w:kern w:val="0"/>
                <w:sz w:val="21"/>
                <w:szCs w:val="21"/>
                <w:lang w:val="en-US" w:eastAsia="zh-CN"/>
              </w:rPr>
              <w:t>）</w:t>
            </w:r>
          </w:p>
        </w:tc>
        <w:tc>
          <w:tcPr>
            <w:tcW w:w="57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计容面积（</w:t>
            </w:r>
            <w:r>
              <w:rPr>
                <w:rFonts w:hint="default" w:ascii="Times New Roman" w:hAnsi="Times New Roman" w:eastAsia="仿宋_GB2312" w:cs="Times New Roman"/>
                <w:color w:val="auto"/>
                <w:kern w:val="0"/>
                <w:sz w:val="21"/>
                <w:szCs w:val="21"/>
                <w:lang w:eastAsia="zh-CN"/>
              </w:rPr>
              <w:t>m²</w:t>
            </w:r>
            <w:r>
              <w:rPr>
                <w:rFonts w:hint="default" w:ascii="Times New Roman" w:hAnsi="Times New Roman" w:eastAsia="仿宋_GB2312" w:cs="Times New Roman"/>
                <w:color w:val="auto"/>
                <w:kern w:val="0"/>
                <w:sz w:val="21"/>
                <w:szCs w:val="21"/>
              </w:rPr>
              <w:t>）</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2230" w:type="pct"/>
            <w:gridSpan w:val="3"/>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创新产业园</w:t>
            </w:r>
          </w:p>
        </w:tc>
        <w:tc>
          <w:tcPr>
            <w:tcW w:w="547"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eastAsia="zh-CN"/>
              </w:rPr>
            </w:pPr>
            <w:r>
              <w:rPr>
                <w:rFonts w:hint="default" w:ascii="Times New Roman" w:hAnsi="Times New Roman" w:eastAsia="仿宋_GB2312" w:cs="Times New Roman"/>
                <w:color w:val="auto"/>
                <w:kern w:val="0"/>
                <w:sz w:val="21"/>
                <w:szCs w:val="21"/>
                <w:lang w:eastAsia="zh-CN"/>
              </w:rPr>
              <w:t>80041.76</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eastAsia="zh-CN"/>
              </w:rPr>
            </w:pPr>
            <w:r>
              <w:rPr>
                <w:rFonts w:hint="default" w:ascii="Times New Roman" w:hAnsi="Times New Roman" w:eastAsia="仿宋_GB2312" w:cs="Times New Roman"/>
                <w:color w:val="auto"/>
                <w:kern w:val="0"/>
                <w:sz w:val="21"/>
                <w:szCs w:val="21"/>
                <w:lang w:eastAsia="zh-CN"/>
              </w:rPr>
              <w:t>132784.35</w:t>
            </w:r>
          </w:p>
        </w:tc>
        <w:tc>
          <w:tcPr>
            <w:tcW w:w="443"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eastAsia="zh-CN"/>
              </w:rPr>
            </w:pPr>
          </w:p>
        </w:tc>
        <w:tc>
          <w:tcPr>
            <w:tcW w:w="60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eastAsia="zh-CN"/>
              </w:rPr>
            </w:pPr>
            <w:r>
              <w:rPr>
                <w:rFonts w:hint="default" w:ascii="Times New Roman" w:hAnsi="Times New Roman" w:eastAsia="仿宋_GB2312" w:cs="Times New Roman"/>
                <w:color w:val="auto"/>
                <w:kern w:val="0"/>
                <w:sz w:val="21"/>
                <w:szCs w:val="21"/>
                <w:lang w:eastAsia="zh-CN"/>
              </w:rPr>
              <w:t>133523.92</w:t>
            </w:r>
          </w:p>
        </w:tc>
        <w:tc>
          <w:tcPr>
            <w:tcW w:w="57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eastAsia="zh-CN"/>
              </w:rPr>
            </w:pPr>
            <w:r>
              <w:rPr>
                <w:rFonts w:hint="default" w:ascii="Times New Roman" w:hAnsi="Times New Roman" w:eastAsia="仿宋_GB2312" w:cs="Times New Roman"/>
                <w:color w:val="auto"/>
                <w:kern w:val="0"/>
                <w:sz w:val="21"/>
                <w:szCs w:val="21"/>
                <w:lang w:eastAsia="zh-CN"/>
              </w:rPr>
              <w:t>186913.51</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06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eastAsia" w:eastAsia="仿宋_GB2312" w:cs="Times New Roman"/>
                <w:color w:val="auto"/>
                <w:kern w:val="0"/>
                <w:sz w:val="21"/>
                <w:szCs w:val="21"/>
                <w:lang w:val="en-US" w:eastAsia="zh-CN"/>
              </w:rPr>
              <w:t>B1#厂房</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eastAsia="zh-CN"/>
              </w:rPr>
            </w:pPr>
            <w:r>
              <w:rPr>
                <w:rFonts w:hint="default" w:ascii="Times New Roman" w:hAnsi="Times New Roman" w:eastAsia="仿宋_GB2312" w:cs="Times New Roman"/>
                <w:color w:val="auto"/>
                <w:kern w:val="0"/>
                <w:sz w:val="21"/>
                <w:szCs w:val="21"/>
                <w:lang w:eastAsia="zh-CN"/>
              </w:rPr>
              <w:t>单层厂房，局部二层</w:t>
            </w:r>
          </w:p>
        </w:tc>
        <w:tc>
          <w:tcPr>
            <w:tcW w:w="56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eastAsia" w:ascii="Times New Roman" w:hAnsi="Times New Roman" w:eastAsia="仿宋_GB2312" w:cs="Times New Roman"/>
                <w:color w:val="auto"/>
                <w:kern w:val="0"/>
                <w:sz w:val="21"/>
                <w:szCs w:val="21"/>
                <w:lang w:val="en-US" w:eastAsia="zh-CN"/>
              </w:rPr>
            </w:pPr>
            <w:r>
              <w:rPr>
                <w:rFonts w:hint="eastAsia" w:eastAsia="仿宋_GB2312" w:cs="Times New Roman"/>
                <w:color w:val="auto"/>
                <w:kern w:val="0"/>
                <w:sz w:val="21"/>
                <w:szCs w:val="21"/>
                <w:lang w:val="en-US" w:eastAsia="zh-CN"/>
              </w:rPr>
              <w:t>钢结构</w:t>
            </w:r>
          </w:p>
        </w:tc>
        <w:tc>
          <w:tcPr>
            <w:tcW w:w="547"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8386.56</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8910.72</w:t>
            </w:r>
          </w:p>
        </w:tc>
        <w:tc>
          <w:tcPr>
            <w:tcW w:w="443"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p>
        </w:tc>
        <w:tc>
          <w:tcPr>
            <w:tcW w:w="60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eastAsia="zh-CN" w:bidi="ar-SA"/>
              </w:rPr>
            </w:pPr>
            <w:r>
              <w:rPr>
                <w:rFonts w:hint="default" w:ascii="Times New Roman" w:hAnsi="Times New Roman" w:eastAsia="仿宋_GB2312" w:cs="Times New Roman"/>
                <w:color w:val="auto"/>
                <w:kern w:val="0"/>
                <w:sz w:val="21"/>
                <w:szCs w:val="21"/>
                <w:lang w:eastAsia="zh-CN"/>
              </w:rPr>
              <w:t>8910.72</w:t>
            </w:r>
          </w:p>
        </w:tc>
        <w:tc>
          <w:tcPr>
            <w:tcW w:w="57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16773.12</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06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B2#厂房</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eastAsia="zh-CN"/>
              </w:rPr>
            </w:pPr>
            <w:r>
              <w:rPr>
                <w:rFonts w:hint="default" w:ascii="Times New Roman" w:hAnsi="Times New Roman" w:eastAsia="仿宋_GB2312" w:cs="Times New Roman"/>
                <w:color w:val="auto"/>
                <w:kern w:val="0"/>
                <w:sz w:val="21"/>
                <w:szCs w:val="21"/>
                <w:lang w:eastAsia="zh-CN"/>
              </w:rPr>
              <w:t>单层厂房，局部二层</w:t>
            </w:r>
          </w:p>
        </w:tc>
        <w:tc>
          <w:tcPr>
            <w:tcW w:w="56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钢结构</w:t>
            </w:r>
          </w:p>
        </w:tc>
        <w:tc>
          <w:tcPr>
            <w:tcW w:w="547"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12966.36</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14359.9</w:t>
            </w:r>
          </w:p>
        </w:tc>
        <w:tc>
          <w:tcPr>
            <w:tcW w:w="443"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p>
        </w:tc>
        <w:tc>
          <w:tcPr>
            <w:tcW w:w="60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bidi="ar-SA"/>
              </w:rPr>
            </w:pPr>
            <w:r>
              <w:rPr>
                <w:rFonts w:hint="eastAsia"/>
              </w:rPr>
              <w:t>14359.9</w:t>
            </w:r>
          </w:p>
        </w:tc>
        <w:tc>
          <w:tcPr>
            <w:tcW w:w="57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eastAsia"/>
              </w:rPr>
              <w:t>25932.72</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06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B3#厂房</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eastAsia="zh-CN"/>
              </w:rPr>
              <w:t>单层厂房，局部二层</w:t>
            </w:r>
          </w:p>
        </w:tc>
        <w:tc>
          <w:tcPr>
            <w:tcW w:w="56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钢结构</w:t>
            </w:r>
          </w:p>
        </w:tc>
        <w:tc>
          <w:tcPr>
            <w:tcW w:w="547"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12966.36</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14359.9</w:t>
            </w:r>
          </w:p>
        </w:tc>
        <w:tc>
          <w:tcPr>
            <w:tcW w:w="443"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p>
        </w:tc>
        <w:tc>
          <w:tcPr>
            <w:tcW w:w="60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bidi="ar-SA"/>
              </w:rPr>
            </w:pPr>
            <w:r>
              <w:rPr>
                <w:rFonts w:hint="eastAsia"/>
              </w:rPr>
              <w:t>14359.9</w:t>
            </w:r>
          </w:p>
        </w:tc>
        <w:tc>
          <w:tcPr>
            <w:tcW w:w="57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eastAsia"/>
              </w:rPr>
              <w:t>25932.72</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06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eastAsia" w:eastAsia="仿宋_GB2312" w:cs="Times New Roman"/>
                <w:color w:val="auto"/>
                <w:kern w:val="0"/>
                <w:sz w:val="21"/>
                <w:szCs w:val="21"/>
                <w:lang w:val="en-US" w:eastAsia="zh-CN"/>
              </w:rPr>
              <w:t>B4#厂房</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eastAsia="zh-CN"/>
              </w:rPr>
              <w:t>单层厂房，局部二层</w:t>
            </w:r>
          </w:p>
        </w:tc>
        <w:tc>
          <w:tcPr>
            <w:tcW w:w="56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eastAsia="zh-CN"/>
              </w:rPr>
            </w:pPr>
            <w:r>
              <w:rPr>
                <w:rFonts w:hint="eastAsia" w:eastAsia="仿宋_GB2312" w:cs="Times New Roman"/>
                <w:color w:val="auto"/>
                <w:kern w:val="0"/>
                <w:sz w:val="21"/>
                <w:szCs w:val="21"/>
                <w:lang w:val="en-US" w:eastAsia="zh-CN"/>
              </w:rPr>
              <w:t>钢结构</w:t>
            </w:r>
          </w:p>
        </w:tc>
        <w:tc>
          <w:tcPr>
            <w:tcW w:w="547"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24878.76</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26636.4</w:t>
            </w:r>
          </w:p>
        </w:tc>
        <w:tc>
          <w:tcPr>
            <w:tcW w:w="443"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eastAsia="zh-CN"/>
              </w:rPr>
            </w:pPr>
          </w:p>
        </w:tc>
        <w:tc>
          <w:tcPr>
            <w:tcW w:w="60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26636.4</w:t>
            </w:r>
          </w:p>
        </w:tc>
        <w:tc>
          <w:tcPr>
            <w:tcW w:w="57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49757.52</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06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eastAsia="zh-CN"/>
              </w:rPr>
            </w:pPr>
            <w:r>
              <w:rPr>
                <w:rFonts w:hint="eastAsia" w:eastAsia="仿宋_GB2312" w:cs="Times New Roman"/>
                <w:color w:val="auto"/>
                <w:kern w:val="0"/>
                <w:sz w:val="21"/>
                <w:szCs w:val="21"/>
                <w:lang w:val="en-US" w:eastAsia="zh-CN"/>
              </w:rPr>
              <w:t>B5#厂房</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eastAsia" w:eastAsia="仿宋_GB2312" w:cs="Times New Roman"/>
                <w:color w:val="auto"/>
                <w:kern w:val="0"/>
                <w:sz w:val="21"/>
                <w:szCs w:val="21"/>
                <w:lang w:val="en-US" w:eastAsia="zh-CN"/>
              </w:rPr>
              <w:t>5F</w:t>
            </w:r>
          </w:p>
        </w:tc>
        <w:tc>
          <w:tcPr>
            <w:tcW w:w="56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eastAsia" w:eastAsia="仿宋_GB2312" w:cs="Times New Roman"/>
                <w:color w:val="auto"/>
                <w:kern w:val="0"/>
                <w:sz w:val="21"/>
                <w:szCs w:val="21"/>
                <w:lang w:val="en-US" w:eastAsia="zh-CN"/>
              </w:rPr>
              <w:t>框架结构</w:t>
            </w:r>
          </w:p>
        </w:tc>
        <w:tc>
          <w:tcPr>
            <w:tcW w:w="547"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rPr>
            </w:pPr>
            <w:r>
              <w:rPr>
                <w:rFonts w:hint="default" w:ascii="Times New Roman" w:hAnsi="Times New Roman" w:eastAsia="仿宋_GB2312" w:cs="Times New Roman"/>
                <w:color w:val="auto"/>
                <w:kern w:val="0"/>
                <w:sz w:val="21"/>
                <w:szCs w:val="21"/>
                <w:lang w:val="en-US"/>
              </w:rPr>
              <w:t>6540.47</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rPr>
            </w:pPr>
            <w:r>
              <w:rPr>
                <w:rFonts w:hint="eastAsia"/>
              </w:rPr>
              <w:t>21274.47</w:t>
            </w:r>
          </w:p>
        </w:tc>
        <w:tc>
          <w:tcPr>
            <w:tcW w:w="443"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p>
        </w:tc>
        <w:tc>
          <w:tcPr>
            <w:tcW w:w="60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rPr>
            </w:pPr>
            <w:r>
              <w:rPr>
                <w:rFonts w:hint="eastAsia"/>
              </w:rPr>
              <w:t>21274.47</w:t>
            </w:r>
          </w:p>
        </w:tc>
        <w:tc>
          <w:tcPr>
            <w:tcW w:w="57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rPr>
            </w:pPr>
            <w:r>
              <w:rPr>
                <w:rFonts w:hint="eastAsia"/>
              </w:rPr>
              <w:t>21274.47</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06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B6#厂房</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5F</w:t>
            </w:r>
          </w:p>
        </w:tc>
        <w:tc>
          <w:tcPr>
            <w:tcW w:w="56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eastAsia="zh-CN"/>
              </w:rPr>
            </w:pPr>
            <w:r>
              <w:rPr>
                <w:rFonts w:hint="eastAsia" w:eastAsia="仿宋_GB2312" w:cs="Times New Roman"/>
                <w:color w:val="auto"/>
                <w:kern w:val="0"/>
                <w:sz w:val="21"/>
                <w:szCs w:val="21"/>
                <w:lang w:val="en-US" w:eastAsia="zh-CN"/>
              </w:rPr>
              <w:t>框架结构</w:t>
            </w:r>
          </w:p>
        </w:tc>
        <w:tc>
          <w:tcPr>
            <w:tcW w:w="547"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6540.47</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eastAsia"/>
              </w:rPr>
              <w:t>21274.47</w:t>
            </w:r>
          </w:p>
        </w:tc>
        <w:tc>
          <w:tcPr>
            <w:tcW w:w="443"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p>
        </w:tc>
        <w:tc>
          <w:tcPr>
            <w:tcW w:w="60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eastAsia"/>
              </w:rPr>
              <w:t>21274.47</w:t>
            </w:r>
          </w:p>
        </w:tc>
        <w:tc>
          <w:tcPr>
            <w:tcW w:w="57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eastAsia"/>
              </w:rPr>
              <w:t>21274.47</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PrEx>
        <w:trPr>
          <w:trHeight w:val="340" w:hRule="atLeast"/>
          <w:jc w:val="center"/>
        </w:trPr>
        <w:tc>
          <w:tcPr>
            <w:tcW w:w="106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rPr>
            </w:pPr>
            <w:r>
              <w:rPr>
                <w:rFonts w:hint="eastAsia" w:eastAsia="仿宋_GB2312" w:cs="Times New Roman"/>
                <w:color w:val="auto"/>
                <w:kern w:val="0"/>
                <w:sz w:val="21"/>
                <w:szCs w:val="21"/>
                <w:lang w:val="en-US" w:eastAsia="zh-CN"/>
              </w:rPr>
              <w:t>B7#办公楼及食堂</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5F</w:t>
            </w:r>
          </w:p>
        </w:tc>
        <w:tc>
          <w:tcPr>
            <w:tcW w:w="56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eastAsia="zh-CN"/>
              </w:rPr>
            </w:pPr>
            <w:r>
              <w:rPr>
                <w:rFonts w:hint="eastAsia" w:eastAsia="仿宋_GB2312" w:cs="Times New Roman"/>
                <w:color w:val="auto"/>
                <w:kern w:val="0"/>
                <w:sz w:val="21"/>
                <w:szCs w:val="21"/>
                <w:lang w:val="en-US" w:eastAsia="zh-CN"/>
              </w:rPr>
              <w:t>框架结构</w:t>
            </w:r>
          </w:p>
        </w:tc>
        <w:tc>
          <w:tcPr>
            <w:tcW w:w="547"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2957.21</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11063.98</w:t>
            </w:r>
          </w:p>
        </w:tc>
        <w:tc>
          <w:tcPr>
            <w:tcW w:w="443"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p>
        </w:tc>
        <w:tc>
          <w:tcPr>
            <w:tcW w:w="60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11063.98</w:t>
            </w:r>
          </w:p>
        </w:tc>
        <w:tc>
          <w:tcPr>
            <w:tcW w:w="57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rPr>
            </w:pPr>
            <w:r>
              <w:rPr>
                <w:rFonts w:hint="eastAsia"/>
              </w:rPr>
              <w:t>11063.98</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06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rPr>
            </w:pPr>
            <w:r>
              <w:rPr>
                <w:rFonts w:hint="eastAsia" w:eastAsia="仿宋_GB2312" w:cs="Times New Roman"/>
                <w:color w:val="auto"/>
                <w:kern w:val="0"/>
                <w:sz w:val="21"/>
                <w:szCs w:val="21"/>
                <w:lang w:val="en-US" w:eastAsia="zh-CN"/>
              </w:rPr>
              <w:t>B8#宿舍楼</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5F</w:t>
            </w:r>
          </w:p>
        </w:tc>
        <w:tc>
          <w:tcPr>
            <w:tcW w:w="56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eastAsia="zh-CN"/>
              </w:rPr>
            </w:pPr>
            <w:r>
              <w:rPr>
                <w:rFonts w:hint="eastAsia" w:eastAsia="仿宋_GB2312" w:cs="Times New Roman"/>
                <w:color w:val="auto"/>
                <w:kern w:val="0"/>
                <w:sz w:val="21"/>
                <w:szCs w:val="21"/>
                <w:lang w:val="en-US" w:eastAsia="zh-CN"/>
              </w:rPr>
              <w:t>框架结构</w:t>
            </w:r>
          </w:p>
        </w:tc>
        <w:tc>
          <w:tcPr>
            <w:tcW w:w="547"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1517.25</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7716.97</w:t>
            </w:r>
          </w:p>
        </w:tc>
        <w:tc>
          <w:tcPr>
            <w:tcW w:w="443"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p>
        </w:tc>
        <w:tc>
          <w:tcPr>
            <w:tcW w:w="60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val="en-US" w:eastAsia="zh-CN"/>
              </w:rPr>
              <w:t>7716.97</w:t>
            </w:r>
          </w:p>
        </w:tc>
        <w:tc>
          <w:tcPr>
            <w:tcW w:w="57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rPr>
            </w:pPr>
            <w:r>
              <w:rPr>
                <w:rFonts w:hint="eastAsia"/>
              </w:rPr>
              <w:t>7716.97</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06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rPr>
            </w:pPr>
            <w:r>
              <w:rPr>
                <w:rFonts w:hint="eastAsia" w:eastAsia="仿宋_GB2312" w:cs="Times New Roman"/>
                <w:color w:val="auto"/>
                <w:kern w:val="0"/>
                <w:sz w:val="21"/>
                <w:szCs w:val="21"/>
                <w:lang w:val="en-US" w:eastAsia="zh-CN"/>
              </w:rPr>
              <w:t>B9#实验中心</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eastAsia" w:eastAsia="仿宋_GB2312" w:cs="Times New Roman"/>
                <w:color w:val="auto"/>
                <w:kern w:val="0"/>
                <w:sz w:val="21"/>
                <w:szCs w:val="21"/>
                <w:lang w:val="en-US" w:eastAsia="zh-CN"/>
              </w:rPr>
              <w:t>3F</w:t>
            </w:r>
          </w:p>
        </w:tc>
        <w:tc>
          <w:tcPr>
            <w:tcW w:w="56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eastAsia="zh-CN"/>
              </w:rPr>
            </w:pPr>
            <w:r>
              <w:rPr>
                <w:rFonts w:hint="eastAsia" w:eastAsia="仿宋_GB2312" w:cs="Times New Roman"/>
                <w:color w:val="auto"/>
                <w:kern w:val="0"/>
                <w:sz w:val="21"/>
                <w:szCs w:val="21"/>
                <w:lang w:val="en-US" w:eastAsia="zh-CN"/>
              </w:rPr>
              <w:t>框架结构</w:t>
            </w:r>
          </w:p>
        </w:tc>
        <w:tc>
          <w:tcPr>
            <w:tcW w:w="547"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1298.99</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3955.97</w:t>
            </w:r>
          </w:p>
        </w:tc>
        <w:tc>
          <w:tcPr>
            <w:tcW w:w="443"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p>
        </w:tc>
        <w:tc>
          <w:tcPr>
            <w:tcW w:w="60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3955.97</w:t>
            </w:r>
          </w:p>
        </w:tc>
        <w:tc>
          <w:tcPr>
            <w:tcW w:w="57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rPr>
            </w:pPr>
            <w:r>
              <w:rPr>
                <w:rFonts w:hint="eastAsia"/>
              </w:rPr>
              <w:t>3955.97</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06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rPr>
            </w:pPr>
            <w:r>
              <w:rPr>
                <w:rFonts w:hint="eastAsia" w:eastAsia="仿宋_GB2312" w:cs="Times New Roman"/>
                <w:color w:val="auto"/>
                <w:kern w:val="0"/>
                <w:sz w:val="21"/>
                <w:szCs w:val="21"/>
                <w:lang w:val="en-US" w:eastAsia="zh-CN"/>
              </w:rPr>
              <w:t>B10#食堂</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eastAsia" w:eastAsia="仿宋_GB2312" w:cs="Times New Roman"/>
                <w:color w:val="auto"/>
                <w:kern w:val="0"/>
                <w:sz w:val="21"/>
                <w:szCs w:val="21"/>
                <w:lang w:val="en-US" w:eastAsia="zh-CN"/>
              </w:rPr>
              <w:t>2F</w:t>
            </w:r>
          </w:p>
        </w:tc>
        <w:tc>
          <w:tcPr>
            <w:tcW w:w="56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eastAsia="zh-CN"/>
              </w:rPr>
            </w:pPr>
            <w:r>
              <w:rPr>
                <w:rFonts w:hint="eastAsia" w:eastAsia="仿宋_GB2312" w:cs="Times New Roman"/>
                <w:color w:val="auto"/>
                <w:kern w:val="0"/>
                <w:sz w:val="21"/>
                <w:szCs w:val="21"/>
                <w:lang w:val="en-US" w:eastAsia="zh-CN"/>
              </w:rPr>
              <w:t>框架结构</w:t>
            </w:r>
          </w:p>
        </w:tc>
        <w:tc>
          <w:tcPr>
            <w:tcW w:w="547"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1183.47</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2425.71</w:t>
            </w:r>
          </w:p>
        </w:tc>
        <w:tc>
          <w:tcPr>
            <w:tcW w:w="443"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p>
        </w:tc>
        <w:tc>
          <w:tcPr>
            <w:tcW w:w="60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2425.71</w:t>
            </w:r>
          </w:p>
        </w:tc>
        <w:tc>
          <w:tcPr>
            <w:tcW w:w="57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rPr>
            </w:pPr>
            <w:r>
              <w:rPr>
                <w:rFonts w:hint="eastAsia"/>
              </w:rPr>
              <w:t>2425.71</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06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B11#开闭站、变电所、柴发、锅炉房</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eastAsia" w:eastAsia="仿宋_GB2312" w:cs="Times New Roman"/>
                <w:color w:val="auto"/>
                <w:kern w:val="0"/>
                <w:sz w:val="21"/>
                <w:szCs w:val="21"/>
                <w:lang w:val="en-US" w:eastAsia="zh-CN"/>
              </w:rPr>
              <w:t>1F</w:t>
            </w:r>
          </w:p>
        </w:tc>
        <w:tc>
          <w:tcPr>
            <w:tcW w:w="56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eastAsia="zh-CN"/>
              </w:rPr>
            </w:pPr>
            <w:r>
              <w:rPr>
                <w:rFonts w:hint="eastAsia" w:eastAsia="仿宋_GB2312" w:cs="Times New Roman"/>
                <w:color w:val="auto"/>
                <w:kern w:val="0"/>
                <w:sz w:val="21"/>
                <w:szCs w:val="21"/>
                <w:lang w:val="en-US" w:eastAsia="zh-CN"/>
              </w:rPr>
              <w:t>框架结构</w:t>
            </w:r>
          </w:p>
        </w:tc>
        <w:tc>
          <w:tcPr>
            <w:tcW w:w="547"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722.86</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722.86</w:t>
            </w:r>
          </w:p>
        </w:tc>
        <w:tc>
          <w:tcPr>
            <w:tcW w:w="443"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p>
        </w:tc>
        <w:tc>
          <w:tcPr>
            <w:tcW w:w="60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722.86</w:t>
            </w:r>
          </w:p>
        </w:tc>
        <w:tc>
          <w:tcPr>
            <w:tcW w:w="57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rPr>
            </w:pPr>
            <w:r>
              <w:rPr>
                <w:rFonts w:hint="eastAsia"/>
              </w:rPr>
              <w:t>722.86</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06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rPr>
            </w:pPr>
            <w:r>
              <w:rPr>
                <w:rFonts w:hint="eastAsia" w:eastAsia="仿宋_GB2312" w:cs="Times New Roman"/>
                <w:color w:val="auto"/>
                <w:kern w:val="0"/>
                <w:sz w:val="21"/>
                <w:szCs w:val="21"/>
                <w:lang w:val="en-US" w:eastAsia="zh-CN"/>
              </w:rPr>
              <w:t>B12#水泵房及水池</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eastAsia" w:eastAsia="仿宋_GB2312" w:cs="Times New Roman"/>
                <w:color w:val="auto"/>
                <w:kern w:val="0"/>
                <w:sz w:val="21"/>
                <w:szCs w:val="21"/>
                <w:lang w:val="en-US" w:eastAsia="zh-CN"/>
              </w:rPr>
              <w:t>1F/-1F</w:t>
            </w:r>
          </w:p>
        </w:tc>
        <w:tc>
          <w:tcPr>
            <w:tcW w:w="56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eastAsia="zh-CN"/>
              </w:rPr>
            </w:pPr>
            <w:r>
              <w:rPr>
                <w:rFonts w:hint="eastAsia" w:eastAsia="仿宋_GB2312" w:cs="Times New Roman"/>
                <w:color w:val="auto"/>
                <w:kern w:val="0"/>
                <w:sz w:val="21"/>
                <w:szCs w:val="21"/>
                <w:lang w:val="en-US" w:eastAsia="zh-CN"/>
              </w:rPr>
              <w:t>框架结构</w:t>
            </w:r>
          </w:p>
        </w:tc>
        <w:tc>
          <w:tcPr>
            <w:tcW w:w="547"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eastAsia" w:eastAsia="仿宋_GB2312" w:cs="Times New Roman"/>
                <w:color w:val="auto"/>
                <w:kern w:val="0"/>
                <w:sz w:val="21"/>
                <w:szCs w:val="21"/>
                <w:lang w:val="en-US" w:eastAsia="zh-CN"/>
              </w:rPr>
              <w:t>53</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53</w:t>
            </w:r>
          </w:p>
        </w:tc>
        <w:tc>
          <w:tcPr>
            <w:tcW w:w="443"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eastAsia" w:eastAsia="仿宋_GB2312" w:cs="Times New Roman"/>
                <w:color w:val="auto"/>
                <w:kern w:val="0"/>
                <w:sz w:val="21"/>
                <w:szCs w:val="21"/>
                <w:lang w:val="en-US" w:eastAsia="zh-CN"/>
              </w:rPr>
              <w:t>739.57</w:t>
            </w:r>
          </w:p>
        </w:tc>
        <w:tc>
          <w:tcPr>
            <w:tcW w:w="60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792.57</w:t>
            </w:r>
          </w:p>
        </w:tc>
        <w:tc>
          <w:tcPr>
            <w:tcW w:w="57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rPr>
            </w:pPr>
            <w:r>
              <w:rPr>
                <w:rFonts w:hint="eastAsia"/>
              </w:rPr>
              <w:t>53</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06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rPr>
            </w:pPr>
            <w:r>
              <w:rPr>
                <w:rFonts w:hint="eastAsia" w:eastAsia="仿宋_GB2312" w:cs="Times New Roman"/>
                <w:color w:val="auto"/>
                <w:kern w:val="0"/>
                <w:sz w:val="21"/>
                <w:szCs w:val="21"/>
                <w:lang w:val="en-US" w:eastAsia="zh-CN"/>
              </w:rPr>
              <w:t>B13#成品岗亭</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1F</w:t>
            </w:r>
          </w:p>
        </w:tc>
        <w:tc>
          <w:tcPr>
            <w:tcW w:w="56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eastAsia="zh-CN"/>
              </w:rPr>
            </w:pPr>
          </w:p>
        </w:tc>
        <w:tc>
          <w:tcPr>
            <w:tcW w:w="547"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eastAsia" w:eastAsia="仿宋_GB2312" w:cs="Times New Roman"/>
                <w:color w:val="auto"/>
                <w:kern w:val="0"/>
                <w:sz w:val="21"/>
                <w:szCs w:val="21"/>
                <w:lang w:val="en-US" w:eastAsia="zh-CN"/>
              </w:rPr>
              <w:t>6</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6</w:t>
            </w:r>
          </w:p>
        </w:tc>
        <w:tc>
          <w:tcPr>
            <w:tcW w:w="443"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p>
        </w:tc>
        <w:tc>
          <w:tcPr>
            <w:tcW w:w="60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6</w:t>
            </w:r>
          </w:p>
        </w:tc>
        <w:tc>
          <w:tcPr>
            <w:tcW w:w="57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6</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06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B14#成品岗亭</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1F</w:t>
            </w:r>
          </w:p>
        </w:tc>
        <w:tc>
          <w:tcPr>
            <w:tcW w:w="56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eastAsia="zh-CN"/>
              </w:rPr>
            </w:pPr>
          </w:p>
        </w:tc>
        <w:tc>
          <w:tcPr>
            <w:tcW w:w="547"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eastAsia" w:eastAsia="仿宋_GB2312" w:cs="Times New Roman"/>
                <w:color w:val="auto"/>
                <w:kern w:val="0"/>
                <w:sz w:val="21"/>
                <w:szCs w:val="21"/>
                <w:lang w:val="en-US" w:eastAsia="zh-CN"/>
              </w:rPr>
              <w:t>6</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6</w:t>
            </w:r>
          </w:p>
        </w:tc>
        <w:tc>
          <w:tcPr>
            <w:tcW w:w="443"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p>
        </w:tc>
        <w:tc>
          <w:tcPr>
            <w:tcW w:w="60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6</w:t>
            </w:r>
          </w:p>
        </w:tc>
        <w:tc>
          <w:tcPr>
            <w:tcW w:w="57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6</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06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B15#成品岗亭</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1F</w:t>
            </w:r>
          </w:p>
        </w:tc>
        <w:tc>
          <w:tcPr>
            <w:tcW w:w="56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eastAsia="zh-CN"/>
              </w:rPr>
            </w:pPr>
          </w:p>
        </w:tc>
        <w:tc>
          <w:tcPr>
            <w:tcW w:w="547"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eastAsia" w:ascii="Times New Roman" w:hAnsi="Times New Roman" w:eastAsia="仿宋_GB2312" w:cs="Times New Roman"/>
                <w:color w:val="auto"/>
                <w:kern w:val="0"/>
                <w:sz w:val="21"/>
                <w:szCs w:val="21"/>
                <w:lang w:val="en-US" w:eastAsia="zh-CN"/>
              </w:rPr>
            </w:pPr>
            <w:r>
              <w:rPr>
                <w:rFonts w:hint="eastAsia" w:eastAsia="仿宋_GB2312" w:cs="Times New Roman"/>
                <w:color w:val="auto"/>
                <w:kern w:val="0"/>
                <w:sz w:val="21"/>
                <w:szCs w:val="21"/>
                <w:lang w:val="en-US" w:eastAsia="zh-CN"/>
              </w:rPr>
              <w:t>6</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6</w:t>
            </w:r>
          </w:p>
        </w:tc>
        <w:tc>
          <w:tcPr>
            <w:tcW w:w="443"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p>
        </w:tc>
        <w:tc>
          <w:tcPr>
            <w:tcW w:w="60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6</w:t>
            </w:r>
          </w:p>
        </w:tc>
        <w:tc>
          <w:tcPr>
            <w:tcW w:w="57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6</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06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B16#成品岗亭</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1F</w:t>
            </w:r>
          </w:p>
        </w:tc>
        <w:tc>
          <w:tcPr>
            <w:tcW w:w="56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eastAsia="zh-CN"/>
              </w:rPr>
            </w:pPr>
          </w:p>
        </w:tc>
        <w:tc>
          <w:tcPr>
            <w:tcW w:w="547"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eastAsia" w:ascii="Times New Roman" w:hAnsi="Times New Roman" w:eastAsia="仿宋_GB2312" w:cs="Times New Roman"/>
                <w:color w:val="auto"/>
                <w:kern w:val="0"/>
                <w:sz w:val="21"/>
                <w:szCs w:val="21"/>
                <w:lang w:val="en-US" w:eastAsia="zh-CN"/>
              </w:rPr>
            </w:pPr>
            <w:r>
              <w:rPr>
                <w:rFonts w:hint="eastAsia" w:eastAsia="仿宋_GB2312" w:cs="Times New Roman"/>
                <w:color w:val="auto"/>
                <w:kern w:val="0"/>
                <w:sz w:val="21"/>
                <w:szCs w:val="21"/>
                <w:lang w:val="en-US" w:eastAsia="zh-CN"/>
              </w:rPr>
              <w:t>6</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6</w:t>
            </w:r>
          </w:p>
        </w:tc>
        <w:tc>
          <w:tcPr>
            <w:tcW w:w="443"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p>
        </w:tc>
        <w:tc>
          <w:tcPr>
            <w:tcW w:w="60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6</w:t>
            </w:r>
          </w:p>
        </w:tc>
        <w:tc>
          <w:tcPr>
            <w:tcW w:w="57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6</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06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B17#成品岗亭</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1F</w:t>
            </w:r>
          </w:p>
        </w:tc>
        <w:tc>
          <w:tcPr>
            <w:tcW w:w="56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lang w:eastAsia="zh-CN"/>
              </w:rPr>
            </w:pPr>
          </w:p>
        </w:tc>
        <w:tc>
          <w:tcPr>
            <w:tcW w:w="547"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eastAsia" w:ascii="Times New Roman" w:hAnsi="Times New Roman" w:eastAsia="仿宋_GB2312" w:cs="Times New Roman"/>
                <w:color w:val="auto"/>
                <w:kern w:val="0"/>
                <w:sz w:val="21"/>
                <w:szCs w:val="21"/>
                <w:lang w:val="en-US" w:eastAsia="zh-CN"/>
              </w:rPr>
            </w:pPr>
            <w:r>
              <w:rPr>
                <w:rFonts w:hint="eastAsia" w:eastAsia="仿宋_GB2312" w:cs="Times New Roman"/>
                <w:color w:val="auto"/>
                <w:kern w:val="0"/>
                <w:sz w:val="21"/>
                <w:szCs w:val="21"/>
                <w:lang w:val="en-US" w:eastAsia="zh-CN"/>
              </w:rPr>
              <w:t>6</w:t>
            </w:r>
          </w:p>
        </w:tc>
        <w:tc>
          <w:tcPr>
            <w:tcW w:w="596"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6</w:t>
            </w:r>
          </w:p>
        </w:tc>
        <w:tc>
          <w:tcPr>
            <w:tcW w:w="443"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p>
        </w:tc>
        <w:tc>
          <w:tcPr>
            <w:tcW w:w="604"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6</w:t>
            </w:r>
          </w:p>
        </w:tc>
        <w:tc>
          <w:tcPr>
            <w:tcW w:w="57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auto"/>
                <w:kern w:val="0"/>
                <w:sz w:val="21"/>
                <w:szCs w:val="21"/>
              </w:rPr>
            </w:pPr>
            <w:r>
              <w:rPr>
                <w:rFonts w:hint="eastAsia" w:eastAsia="仿宋_GB2312" w:cs="Times New Roman"/>
                <w:color w:val="auto"/>
                <w:kern w:val="0"/>
                <w:sz w:val="21"/>
                <w:szCs w:val="21"/>
                <w:lang w:val="en-US" w:eastAsia="zh-CN"/>
              </w:rPr>
              <w:t>6</w:t>
            </w:r>
          </w:p>
        </w:tc>
      </w:tr>
    </w:tbl>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lang w:eastAsia="zh-CN"/>
        </w:rPr>
      </w:pPr>
      <w:r>
        <w:rPr>
          <w:rFonts w:hint="default" w:ascii="Times New Roman" w:hAnsi="Times New Roman" w:eastAsia="仿宋_GB2312" w:cs="Times New Roman"/>
          <w:b/>
          <w:bCs/>
          <w:sz w:val="24"/>
          <w:szCs w:val="24"/>
          <w:lang w:eastAsia="zh-CN"/>
        </w:rPr>
        <w:t>（</w:t>
      </w:r>
      <w:r>
        <w:rPr>
          <w:rFonts w:hint="default" w:ascii="Times New Roman" w:hAnsi="Times New Roman" w:eastAsia="仿宋_GB2312" w:cs="Times New Roman"/>
          <w:b/>
          <w:bCs/>
          <w:sz w:val="24"/>
          <w:szCs w:val="24"/>
          <w:lang w:val="en-US" w:eastAsia="zh-CN"/>
        </w:rPr>
        <w:t>2</w:t>
      </w:r>
      <w:r>
        <w:rPr>
          <w:rFonts w:hint="default" w:ascii="Times New Roman" w:hAnsi="Times New Roman" w:eastAsia="仿宋_GB2312" w:cs="Times New Roman"/>
          <w:b/>
          <w:bCs/>
          <w:sz w:val="24"/>
          <w:szCs w:val="24"/>
          <w:lang w:eastAsia="zh-CN"/>
        </w:rPr>
        <w:t>）道路及地面硬化工程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eastAsia" w:eastAsia="仿宋_GB2312" w:cs="Times New Roman"/>
          <w:sz w:val="24"/>
          <w:szCs w:val="24"/>
          <w:lang w:val="en-US" w:eastAsia="zh-CN"/>
        </w:rPr>
        <w:t>a）道路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项目规划沿建筑四周修建环形机动车道路和人行硬化路面布置。根据园区设计情况，将园区内道路划分为园区内干路和园区内支路。园区干路路宽9米，</w:t>
      </w:r>
      <w:bookmarkStart w:id="166" w:name="OLE_LINK64"/>
      <w:bookmarkStart w:id="167" w:name="OLE_LINK63"/>
      <w:r>
        <w:rPr>
          <w:rFonts w:hint="default" w:ascii="Times New Roman" w:hAnsi="Times New Roman" w:eastAsia="仿宋_GB2312" w:cs="Times New Roman"/>
          <w:sz w:val="24"/>
          <w:szCs w:val="24"/>
        </w:rPr>
        <w:t>限制车速V≤20km/h</w:t>
      </w:r>
      <w:bookmarkEnd w:id="166"/>
      <w:bookmarkEnd w:id="167"/>
      <w:r>
        <w:rPr>
          <w:rFonts w:hint="default" w:ascii="Times New Roman" w:hAnsi="Times New Roman" w:eastAsia="仿宋_GB2312" w:cs="Times New Roman"/>
          <w:sz w:val="24"/>
          <w:szCs w:val="24"/>
        </w:rPr>
        <w:t>。由于园区内场地及交通运输量的具体情况，项目所设计道路均为单幅路形式。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道路横断面包括以下两种形式：</w:t>
      </w:r>
    </w:p>
    <w:p>
      <w:pPr>
        <w:pStyle w:val="2"/>
        <w:jc w:val="center"/>
        <w:rPr>
          <w:rFonts w:hint="default"/>
          <w:lang w:eastAsia="zh-CN"/>
        </w:rPr>
      </w:pPr>
      <w:r>
        <w:rPr>
          <w:rFonts w:ascii="Times New Roman"/>
        </w:rPr>
        <w:drawing>
          <wp:inline distT="0" distB="0" distL="0" distR="0">
            <wp:extent cx="2289175" cy="1800225"/>
            <wp:effectExtent l="0" t="0" r="0"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45"/>
                    <a:srcRect/>
                    <a:stretch>
                      <a:fillRect/>
                    </a:stretch>
                  </pic:blipFill>
                  <pic:spPr>
                    <a:xfrm>
                      <a:off x="0" y="0"/>
                      <a:ext cx="2289175" cy="1800225"/>
                    </a:xfrm>
                    <a:prstGeom prst="rect">
                      <a:avLst/>
                    </a:prstGeom>
                    <a:noFill/>
                    <a:ln w="9525">
                      <a:noFill/>
                      <a:miter lim="800000"/>
                      <a:headEnd/>
                      <a:tailEnd/>
                    </a:ln>
                  </pic:spPr>
                </pic:pic>
              </a:graphicData>
            </a:graphic>
          </wp:inline>
        </w:drawing>
      </w:r>
      <w:r>
        <w:rPr>
          <w:rFonts w:ascii="Times New Roman"/>
        </w:rPr>
        <w:drawing>
          <wp:inline distT="0" distB="0" distL="0" distR="0">
            <wp:extent cx="2483485" cy="1800225"/>
            <wp:effectExtent l="0" t="0" r="12065" b="9525"/>
            <wp:docPr id="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6"/>
                    <pic:cNvPicPr>
                      <a:picLocks noChangeAspect="1" noChangeArrowheads="1"/>
                    </pic:cNvPicPr>
                  </pic:nvPicPr>
                  <pic:blipFill>
                    <a:blip r:embed="rId46"/>
                    <a:srcRect/>
                    <a:stretch>
                      <a:fillRect/>
                    </a:stretch>
                  </pic:blipFill>
                  <pic:spPr>
                    <a:xfrm>
                      <a:off x="0" y="0"/>
                      <a:ext cx="2483485" cy="1800225"/>
                    </a:xfrm>
                    <a:prstGeom prst="rect">
                      <a:avLst/>
                    </a:prstGeom>
                    <a:noFill/>
                    <a:ln w="9525">
                      <a:noFill/>
                      <a:miter lim="800000"/>
                      <a:headEnd/>
                      <a:tailE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路基强度必须达到《城市道路设计规范》（CJJ37-2012）相关要求，该园区道路路槽底回填模量≥30Mpa。</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规划园区道路及停车场面积</w:t>
      </w:r>
      <w:r>
        <w:rPr>
          <w:rFonts w:hint="eastAsia" w:ascii="Times New Roman" w:hAnsi="Times New Roman" w:eastAsia="仿宋_GB2312" w:cs="Times New Roman"/>
          <w:sz w:val="24"/>
          <w:szCs w:val="24"/>
        </w:rPr>
        <w:t>79857.96</w:t>
      </w:r>
      <w:r>
        <w:rPr>
          <w:rFonts w:hint="default" w:ascii="Times New Roman" w:hAnsi="Times New Roman" w:eastAsia="仿宋_GB2312" w:cs="Times New Roman"/>
          <w:sz w:val="24"/>
          <w:szCs w:val="24"/>
        </w:rPr>
        <w:t>㎡。停车场铺装结构与邻近路面结构一致，具体路面结构如下：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——园区干路路面结构（</w:t>
      </w:r>
      <w:bookmarkStart w:id="168" w:name="OLE_LINK70"/>
      <w:r>
        <w:rPr>
          <w:rFonts w:hint="default" w:ascii="Times New Roman" w:hAnsi="Times New Roman" w:eastAsia="仿宋_GB2312" w:cs="Times New Roman"/>
          <w:sz w:val="24"/>
          <w:szCs w:val="24"/>
        </w:rPr>
        <w:t>总厚80cm</w:t>
      </w:r>
      <w:bookmarkEnd w:id="168"/>
      <w:r>
        <w:rPr>
          <w:rFonts w:hint="default" w:ascii="Times New Roman" w:hAnsi="Times New Roman" w:eastAsia="仿宋_GB2312" w:cs="Times New Roman"/>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25cm水泥混凝土路面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40cm石灰粉煤灰砂砾基层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15cm石灰土(12:88)垫层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eastAsia" w:eastAsia="仿宋_GB2312" w:cs="Times New Roman"/>
          <w:sz w:val="24"/>
          <w:szCs w:val="24"/>
          <w:lang w:val="en-US" w:eastAsia="zh-CN"/>
        </w:rPr>
        <w:t>b）硬化地面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场地内硬化地面行走车辆多为小型车，荷载较小，结构层厚度拟采用</w:t>
      </w:r>
      <w:r>
        <w:rPr>
          <w:rFonts w:hint="eastAsia" w:ascii="Times New Roman" w:hAnsi="Times New Roman" w:eastAsia="仿宋_GB2312" w:cs="Times New Roman"/>
          <w:sz w:val="24"/>
          <w:szCs w:val="24"/>
        </w:rPr>
        <w:t>40</w:t>
      </w:r>
      <w:r>
        <w:rPr>
          <w:rFonts w:hint="default" w:ascii="Times New Roman" w:hAnsi="Times New Roman" w:eastAsia="仿宋_GB2312" w:cs="Times New Roman"/>
          <w:sz w:val="24"/>
          <w:szCs w:val="24"/>
        </w:rPr>
        <w:t>cm，为便于维护和场区环境的整体统一，非机动车停车位的结构与人行硬化路面结构一致。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采用8+2+10cm预制装配式透水砼基层+20级配碎石=40cm</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lang w:eastAsia="zh-CN"/>
        </w:rPr>
      </w:pPr>
      <w:r>
        <w:rPr>
          <w:rFonts w:hint="default" w:ascii="Times New Roman" w:hAnsi="Times New Roman" w:eastAsia="仿宋_GB2312" w:cs="Times New Roman"/>
          <w:b/>
          <w:bCs/>
          <w:sz w:val="24"/>
          <w:szCs w:val="24"/>
          <w:lang w:eastAsia="zh-CN"/>
        </w:rPr>
        <w:t>（</w:t>
      </w:r>
      <w:r>
        <w:rPr>
          <w:rFonts w:hint="default" w:ascii="Times New Roman" w:hAnsi="Times New Roman" w:eastAsia="仿宋_GB2312" w:cs="Times New Roman"/>
          <w:b/>
          <w:bCs/>
          <w:sz w:val="24"/>
          <w:szCs w:val="24"/>
          <w:lang w:val="en-US" w:eastAsia="zh-CN"/>
        </w:rPr>
        <w:t>3</w:t>
      </w:r>
      <w:r>
        <w:rPr>
          <w:rFonts w:hint="default" w:ascii="Times New Roman" w:hAnsi="Times New Roman" w:eastAsia="仿宋_GB2312" w:cs="Times New Roman"/>
          <w:b/>
          <w:bCs/>
          <w:sz w:val="24"/>
          <w:szCs w:val="24"/>
          <w:lang w:eastAsia="zh-CN"/>
        </w:rPr>
        <w:t>）绿化工程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项目主要在建筑物和道路周边进行景观绿化，本项目景观绿化面积</w:t>
      </w:r>
      <w:r>
        <w:rPr>
          <w:rFonts w:hint="eastAsia" w:eastAsia="仿宋_GB2312" w:cs="Times New Roman"/>
          <w:color w:val="auto"/>
          <w:sz w:val="24"/>
          <w:szCs w:val="24"/>
          <w:lang w:val="en-US" w:eastAsia="zh-CN"/>
        </w:rPr>
        <w:t>39933.28</w:t>
      </w:r>
      <w:r>
        <w:rPr>
          <w:rFonts w:hint="default" w:ascii="Times New Roman" w:hAnsi="Times New Roman" w:eastAsia="仿宋_GB2312" w:cs="Times New Roman"/>
          <w:sz w:val="24"/>
          <w:szCs w:val="24"/>
        </w:rPr>
        <w:t>㎡，绿地率19.</w:t>
      </w:r>
      <w:r>
        <w:rPr>
          <w:rFonts w:hint="eastAsia" w:eastAsia="仿宋_GB2312" w:cs="Times New Roman"/>
          <w:sz w:val="24"/>
          <w:szCs w:val="24"/>
          <w:lang w:val="en-US" w:eastAsia="zh-CN"/>
        </w:rPr>
        <w:t>98</w:t>
      </w:r>
      <w:r>
        <w:rPr>
          <w:rFonts w:hint="default" w:ascii="Times New Roman" w:hAnsi="Times New Roman" w:eastAsia="仿宋_GB2312" w:cs="Times New Roman"/>
          <w:sz w:val="24"/>
          <w:szCs w:val="24"/>
        </w:rPr>
        <w:t>%。本项目坚持点，线，面相结合的绿化原则，尽可能提高项目区内部绿化率，采取乔木，灌木和草坪高中低混值形式，构成立体绿色空间，充分发挥绿地的防护，活动功能和改善环境的作用，以保持产业园区环境优美整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建设内容见表2-</w:t>
      </w: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pacing w:val="-8"/>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pacing w:val="-8"/>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pacing w:val="-8"/>
          <w:sz w:val="21"/>
          <w:szCs w:val="21"/>
          <w:lang w:val="en-US" w:eastAsia="zh-CN"/>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微软雅黑" w:cs="Times New Roman"/>
          <w:b w:val="0"/>
          <w:bCs w:val="0"/>
          <w:spacing w:val="-8"/>
          <w:sz w:val="21"/>
          <w:szCs w:val="21"/>
          <w:lang w:val="en-US" w:eastAsia="zh-CN"/>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微软雅黑" w:cs="Times New Roman"/>
          <w:b w:val="0"/>
          <w:bCs w:val="0"/>
          <w:spacing w:val="-8"/>
          <w:sz w:val="21"/>
          <w:szCs w:val="21"/>
        </w:rPr>
      </w:pPr>
      <w:r>
        <w:rPr>
          <w:rFonts w:hint="default" w:ascii="Times New Roman" w:hAnsi="Times New Roman" w:eastAsia="微软雅黑" w:cs="Times New Roman"/>
          <w:b w:val="0"/>
          <w:bCs w:val="0"/>
          <w:spacing w:val="-8"/>
          <w:sz w:val="21"/>
          <w:szCs w:val="21"/>
          <w:lang w:val="en-US" w:eastAsia="zh-CN"/>
        </w:rPr>
        <w:t xml:space="preserve">表2-3  </w:t>
      </w:r>
      <w:r>
        <w:rPr>
          <w:rFonts w:hint="default" w:ascii="Times New Roman" w:hAnsi="Times New Roman" w:eastAsia="微软雅黑" w:cs="Times New Roman"/>
          <w:b w:val="0"/>
          <w:bCs w:val="0"/>
          <w:spacing w:val="-8"/>
          <w:sz w:val="21"/>
          <w:szCs w:val="21"/>
        </w:rPr>
        <w:t>项目主要技术指标表</w:t>
      </w:r>
    </w:p>
    <w:tbl>
      <w:tblPr>
        <w:tblStyle w:val="88"/>
        <w:tblW w:w="510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702"/>
        <w:gridCol w:w="2094"/>
        <w:gridCol w:w="855"/>
        <w:gridCol w:w="2093"/>
        <w:gridCol w:w="287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0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bookmarkStart w:id="169" w:name="OLE_LINK52"/>
            <w:r>
              <w:rPr>
                <w:rFonts w:hint="default" w:ascii="Times New Roman" w:hAnsi="Times New Roman" w:eastAsia="仿宋_GB2312" w:cs="Times New Roman"/>
                <w:color w:val="000000"/>
                <w:sz w:val="21"/>
                <w:szCs w:val="21"/>
              </w:rPr>
              <w:t>序号</w:t>
            </w:r>
          </w:p>
        </w:tc>
        <w:tc>
          <w:tcPr>
            <w:tcW w:w="1215"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项目</w:t>
            </w:r>
          </w:p>
        </w:tc>
        <w:tc>
          <w:tcPr>
            <w:tcW w:w="49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单位</w:t>
            </w:r>
          </w:p>
        </w:tc>
        <w:tc>
          <w:tcPr>
            <w:tcW w:w="1214"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指标</w:t>
            </w:r>
          </w:p>
        </w:tc>
        <w:tc>
          <w:tcPr>
            <w:tcW w:w="166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0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1</w:t>
            </w:r>
          </w:p>
        </w:tc>
        <w:tc>
          <w:tcPr>
            <w:tcW w:w="1215"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val="en-US" w:eastAsia="zh-CN"/>
              </w:rPr>
              <w:t>总用</w:t>
            </w:r>
            <w:r>
              <w:rPr>
                <w:rFonts w:hint="default" w:ascii="Times New Roman" w:hAnsi="Times New Roman" w:eastAsia="仿宋_GB2312" w:cs="Times New Roman"/>
                <w:color w:val="000000"/>
                <w:sz w:val="21"/>
                <w:szCs w:val="21"/>
              </w:rPr>
              <w:t>地面积</w:t>
            </w:r>
          </w:p>
        </w:tc>
        <w:tc>
          <w:tcPr>
            <w:tcW w:w="49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m²</w:t>
            </w:r>
          </w:p>
        </w:tc>
        <w:tc>
          <w:tcPr>
            <w:tcW w:w="1214"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eastAsia" w:eastAsia="仿宋_GB2312" w:cs="Times New Roman"/>
                <w:color w:val="000000"/>
                <w:sz w:val="21"/>
                <w:szCs w:val="21"/>
                <w:lang w:eastAsia="zh-CN"/>
              </w:rPr>
              <w:t>199833</w:t>
            </w:r>
          </w:p>
        </w:tc>
        <w:tc>
          <w:tcPr>
            <w:tcW w:w="166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0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2</w:t>
            </w:r>
          </w:p>
        </w:tc>
        <w:tc>
          <w:tcPr>
            <w:tcW w:w="1215"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eastAsia" w:eastAsia="仿宋_GB2312" w:cs="Times New Roman"/>
                <w:color w:val="000000"/>
                <w:sz w:val="21"/>
                <w:szCs w:val="21"/>
                <w:lang w:val="en-US" w:eastAsia="zh-CN"/>
              </w:rPr>
              <w:t>总</w:t>
            </w:r>
            <w:r>
              <w:rPr>
                <w:rFonts w:hint="default" w:ascii="Times New Roman" w:hAnsi="Times New Roman" w:eastAsia="仿宋_GB2312" w:cs="Times New Roman"/>
                <w:color w:val="000000"/>
                <w:sz w:val="21"/>
                <w:szCs w:val="21"/>
                <w:lang w:val="en-US" w:eastAsia="zh-CN"/>
              </w:rPr>
              <w:t>占地</w:t>
            </w:r>
            <w:r>
              <w:rPr>
                <w:rFonts w:hint="default" w:ascii="Times New Roman" w:hAnsi="Times New Roman" w:eastAsia="仿宋_GB2312" w:cs="Times New Roman"/>
                <w:color w:val="000000"/>
                <w:sz w:val="21"/>
                <w:szCs w:val="21"/>
              </w:rPr>
              <w:t>面积</w:t>
            </w:r>
          </w:p>
        </w:tc>
        <w:tc>
          <w:tcPr>
            <w:tcW w:w="49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m²</w:t>
            </w:r>
          </w:p>
        </w:tc>
        <w:tc>
          <w:tcPr>
            <w:tcW w:w="1214"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eastAsia" w:eastAsia="仿宋_GB2312" w:cs="Times New Roman"/>
                <w:color w:val="000000"/>
                <w:sz w:val="21"/>
                <w:szCs w:val="21"/>
                <w:lang w:eastAsia="zh-CN"/>
              </w:rPr>
              <w:t>80041.76</w:t>
            </w:r>
          </w:p>
        </w:tc>
        <w:tc>
          <w:tcPr>
            <w:tcW w:w="166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0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3</w:t>
            </w:r>
          </w:p>
        </w:tc>
        <w:tc>
          <w:tcPr>
            <w:tcW w:w="1215"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lang w:val="en-US" w:eastAsia="zh-CN"/>
              </w:rPr>
              <w:t>总建筑面积</w:t>
            </w:r>
          </w:p>
        </w:tc>
        <w:tc>
          <w:tcPr>
            <w:tcW w:w="49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m²</w:t>
            </w:r>
          </w:p>
        </w:tc>
        <w:tc>
          <w:tcPr>
            <w:tcW w:w="1214"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val="en-US" w:eastAsia="zh-CN"/>
              </w:rPr>
            </w:pPr>
            <w:r>
              <w:rPr>
                <w:rFonts w:hint="eastAsia" w:eastAsia="仿宋_GB2312" w:cs="Times New Roman"/>
                <w:color w:val="000000"/>
                <w:sz w:val="21"/>
                <w:szCs w:val="21"/>
                <w:lang w:val="en-US" w:eastAsia="zh-CN"/>
              </w:rPr>
              <w:t>133523.92</w:t>
            </w:r>
          </w:p>
        </w:tc>
        <w:tc>
          <w:tcPr>
            <w:tcW w:w="166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0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w:t>
            </w:r>
            <w:r>
              <w:rPr>
                <w:rFonts w:hint="default" w:ascii="Times New Roman" w:hAnsi="Times New Roman" w:eastAsia="仿宋_GB2312" w:cs="Times New Roman"/>
                <w:color w:val="000000"/>
                <w:sz w:val="21"/>
                <w:szCs w:val="21"/>
                <w:lang w:val="en-US" w:eastAsia="zh-CN"/>
              </w:rPr>
              <w:t>1</w:t>
            </w:r>
            <w:r>
              <w:rPr>
                <w:rFonts w:hint="default" w:ascii="Times New Roman" w:hAnsi="Times New Roman" w:eastAsia="仿宋_GB2312" w:cs="Times New Roman"/>
                <w:color w:val="000000"/>
                <w:sz w:val="21"/>
                <w:szCs w:val="21"/>
                <w:lang w:eastAsia="zh-CN"/>
              </w:rPr>
              <w:t>）</w:t>
            </w:r>
          </w:p>
        </w:tc>
        <w:tc>
          <w:tcPr>
            <w:tcW w:w="1215"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val="en-US" w:eastAsia="zh-CN"/>
              </w:rPr>
              <w:t>地上</w:t>
            </w:r>
            <w:r>
              <w:rPr>
                <w:rFonts w:hint="default" w:ascii="Times New Roman" w:hAnsi="Times New Roman" w:eastAsia="仿宋_GB2312" w:cs="Times New Roman"/>
                <w:color w:val="000000"/>
                <w:sz w:val="21"/>
                <w:szCs w:val="21"/>
              </w:rPr>
              <w:t>建筑面积</w:t>
            </w:r>
          </w:p>
        </w:tc>
        <w:tc>
          <w:tcPr>
            <w:tcW w:w="49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m²</w:t>
            </w:r>
          </w:p>
        </w:tc>
        <w:tc>
          <w:tcPr>
            <w:tcW w:w="1214"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eastAsia" w:eastAsia="仿宋_GB2312" w:cs="Times New Roman"/>
                <w:color w:val="000000"/>
                <w:sz w:val="21"/>
                <w:szCs w:val="21"/>
                <w:lang w:eastAsia="zh-CN"/>
              </w:rPr>
              <w:t>132784.35</w:t>
            </w:r>
          </w:p>
        </w:tc>
        <w:tc>
          <w:tcPr>
            <w:tcW w:w="166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0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w:t>
            </w:r>
            <w:r>
              <w:rPr>
                <w:rFonts w:hint="default" w:ascii="Times New Roman" w:hAnsi="Times New Roman" w:eastAsia="仿宋_GB2312" w:cs="Times New Roman"/>
                <w:color w:val="000000"/>
                <w:sz w:val="21"/>
                <w:szCs w:val="21"/>
                <w:lang w:val="en-US" w:eastAsia="zh-CN"/>
              </w:rPr>
              <w:t>2</w:t>
            </w:r>
            <w:r>
              <w:rPr>
                <w:rFonts w:hint="default" w:ascii="Times New Roman" w:hAnsi="Times New Roman" w:eastAsia="仿宋_GB2312" w:cs="Times New Roman"/>
                <w:color w:val="000000"/>
                <w:sz w:val="21"/>
                <w:szCs w:val="21"/>
                <w:lang w:eastAsia="zh-CN"/>
              </w:rPr>
              <w:t>）</w:t>
            </w:r>
          </w:p>
        </w:tc>
        <w:tc>
          <w:tcPr>
            <w:tcW w:w="1215"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lang w:val="en-US" w:eastAsia="zh-CN"/>
              </w:rPr>
              <w:t>半地下建筑面积</w:t>
            </w:r>
          </w:p>
        </w:tc>
        <w:tc>
          <w:tcPr>
            <w:tcW w:w="49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m²</w:t>
            </w:r>
          </w:p>
        </w:tc>
        <w:tc>
          <w:tcPr>
            <w:tcW w:w="1214"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val="en-US" w:eastAsia="zh-CN"/>
              </w:rPr>
            </w:pPr>
            <w:r>
              <w:rPr>
                <w:rFonts w:hint="eastAsia" w:eastAsia="仿宋_GB2312" w:cs="Times New Roman"/>
                <w:color w:val="000000"/>
                <w:sz w:val="21"/>
                <w:szCs w:val="21"/>
                <w:lang w:val="en-US" w:eastAsia="zh-CN"/>
              </w:rPr>
              <w:t>739.57</w:t>
            </w:r>
          </w:p>
        </w:tc>
        <w:tc>
          <w:tcPr>
            <w:tcW w:w="166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0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lang w:val="en-US" w:eastAsia="zh-CN"/>
              </w:rPr>
              <w:t>4</w:t>
            </w:r>
          </w:p>
        </w:tc>
        <w:tc>
          <w:tcPr>
            <w:tcW w:w="1215"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Cs w:val="28"/>
                <w:lang w:val="zh-CN"/>
              </w:rPr>
              <w:t>道路</w:t>
            </w:r>
            <w:r>
              <w:rPr>
                <w:rFonts w:hint="default" w:ascii="Times New Roman" w:hAnsi="Times New Roman" w:eastAsia="仿宋_GB2312" w:cs="Times New Roman"/>
                <w:color w:val="000000"/>
                <w:kern w:val="0"/>
                <w:szCs w:val="28"/>
              </w:rPr>
              <w:t>及</w:t>
            </w:r>
            <w:r>
              <w:rPr>
                <w:rFonts w:hint="default" w:ascii="Times New Roman" w:hAnsi="Times New Roman" w:eastAsia="仿宋_GB2312" w:cs="Times New Roman"/>
                <w:color w:val="000000"/>
                <w:kern w:val="0"/>
                <w:szCs w:val="28"/>
                <w:lang w:val="zh-CN"/>
              </w:rPr>
              <w:t>硬化面积</w:t>
            </w:r>
          </w:p>
        </w:tc>
        <w:tc>
          <w:tcPr>
            <w:tcW w:w="49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m²</w:t>
            </w:r>
          </w:p>
        </w:tc>
        <w:tc>
          <w:tcPr>
            <w:tcW w:w="1214"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eastAsia" w:eastAsia="仿宋_GB2312" w:cs="Times New Roman"/>
                <w:color w:val="000000"/>
                <w:sz w:val="21"/>
                <w:szCs w:val="21"/>
                <w:lang w:eastAsia="zh-CN"/>
              </w:rPr>
              <w:t>79857.96</w:t>
            </w:r>
          </w:p>
        </w:tc>
        <w:tc>
          <w:tcPr>
            <w:tcW w:w="166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0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val="en-US" w:eastAsia="zh-CN"/>
              </w:rPr>
              <w:t>5</w:t>
            </w:r>
          </w:p>
        </w:tc>
        <w:tc>
          <w:tcPr>
            <w:tcW w:w="1215"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绿化面积</w:t>
            </w:r>
          </w:p>
        </w:tc>
        <w:tc>
          <w:tcPr>
            <w:tcW w:w="49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m²</w:t>
            </w:r>
          </w:p>
        </w:tc>
        <w:tc>
          <w:tcPr>
            <w:tcW w:w="1214"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eastAsia" w:eastAsia="仿宋_GB2312" w:cs="Times New Roman"/>
                <w:color w:val="000000"/>
                <w:sz w:val="21"/>
                <w:szCs w:val="21"/>
                <w:lang w:eastAsia="zh-CN"/>
              </w:rPr>
              <w:t>39933.28</w:t>
            </w:r>
          </w:p>
        </w:tc>
        <w:tc>
          <w:tcPr>
            <w:tcW w:w="166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0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val="en-US" w:eastAsia="zh-CN"/>
              </w:rPr>
              <w:t>6</w:t>
            </w:r>
          </w:p>
        </w:tc>
        <w:tc>
          <w:tcPr>
            <w:tcW w:w="1215"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容积率</w:t>
            </w:r>
          </w:p>
        </w:tc>
        <w:tc>
          <w:tcPr>
            <w:tcW w:w="49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w:t>
            </w:r>
          </w:p>
        </w:tc>
        <w:tc>
          <w:tcPr>
            <w:tcW w:w="1214"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eastAsia" w:eastAsia="仿宋_GB2312" w:cs="Times New Roman"/>
                <w:color w:val="000000"/>
                <w:sz w:val="21"/>
                <w:szCs w:val="21"/>
                <w:lang w:eastAsia="zh-CN"/>
              </w:rPr>
              <w:t>0.94</w:t>
            </w:r>
          </w:p>
        </w:tc>
        <w:tc>
          <w:tcPr>
            <w:tcW w:w="166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计算容积率时，超过8m单层建筑按双层建筑面积计算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0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val="en-US" w:eastAsia="zh-CN"/>
              </w:rPr>
              <w:t>7</w:t>
            </w:r>
          </w:p>
        </w:tc>
        <w:tc>
          <w:tcPr>
            <w:tcW w:w="1215"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建筑密度</w:t>
            </w:r>
          </w:p>
        </w:tc>
        <w:tc>
          <w:tcPr>
            <w:tcW w:w="49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w:t>
            </w:r>
          </w:p>
        </w:tc>
        <w:tc>
          <w:tcPr>
            <w:tcW w:w="1214"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eastAsia" w:eastAsia="仿宋_GB2312" w:cs="Times New Roman"/>
                <w:color w:val="000000"/>
                <w:sz w:val="21"/>
                <w:szCs w:val="21"/>
                <w:lang w:eastAsia="zh-CN"/>
              </w:rPr>
              <w:t>40.05</w:t>
            </w:r>
          </w:p>
        </w:tc>
        <w:tc>
          <w:tcPr>
            <w:tcW w:w="166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0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val="en-US" w:eastAsia="zh-CN"/>
              </w:rPr>
              <w:t>8</w:t>
            </w:r>
          </w:p>
        </w:tc>
        <w:tc>
          <w:tcPr>
            <w:tcW w:w="1215"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绿化率</w:t>
            </w:r>
          </w:p>
        </w:tc>
        <w:tc>
          <w:tcPr>
            <w:tcW w:w="49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w:t>
            </w:r>
          </w:p>
        </w:tc>
        <w:tc>
          <w:tcPr>
            <w:tcW w:w="1214"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eastAsia" w:eastAsia="仿宋_GB2312" w:cs="Times New Roman"/>
                <w:color w:val="000000"/>
                <w:sz w:val="21"/>
                <w:szCs w:val="21"/>
                <w:lang w:eastAsia="zh-CN"/>
              </w:rPr>
              <w:t>19.98</w:t>
            </w:r>
          </w:p>
        </w:tc>
        <w:tc>
          <w:tcPr>
            <w:tcW w:w="166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0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val="en-US" w:eastAsia="zh-CN"/>
              </w:rPr>
              <w:t>9</w:t>
            </w:r>
          </w:p>
        </w:tc>
        <w:tc>
          <w:tcPr>
            <w:tcW w:w="1215"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val="en-US" w:eastAsia="zh-CN"/>
              </w:rPr>
              <w:t>机动车</w:t>
            </w:r>
            <w:r>
              <w:rPr>
                <w:rFonts w:hint="default" w:ascii="Times New Roman" w:hAnsi="Times New Roman" w:eastAsia="仿宋_GB2312" w:cs="Times New Roman"/>
                <w:color w:val="000000"/>
                <w:sz w:val="21"/>
                <w:szCs w:val="21"/>
              </w:rPr>
              <w:t>停车位</w:t>
            </w:r>
          </w:p>
        </w:tc>
        <w:tc>
          <w:tcPr>
            <w:tcW w:w="49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个</w:t>
            </w:r>
          </w:p>
        </w:tc>
        <w:tc>
          <w:tcPr>
            <w:tcW w:w="1214"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val="en-US" w:eastAsia="zh-CN"/>
              </w:rPr>
            </w:pPr>
            <w:r>
              <w:rPr>
                <w:rFonts w:hint="eastAsia" w:eastAsia="仿宋_GB2312" w:cs="Times New Roman"/>
                <w:color w:val="000000"/>
                <w:sz w:val="21"/>
                <w:szCs w:val="21"/>
                <w:lang w:val="en-US" w:eastAsia="zh-CN"/>
              </w:rPr>
              <w:t>153</w:t>
            </w:r>
          </w:p>
        </w:tc>
        <w:tc>
          <w:tcPr>
            <w:tcW w:w="166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0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lang w:val="en-US" w:eastAsia="zh-CN"/>
              </w:rPr>
              <w:t>10</w:t>
            </w:r>
          </w:p>
        </w:tc>
        <w:tc>
          <w:tcPr>
            <w:tcW w:w="1215"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lang w:val="en-US" w:eastAsia="zh-CN"/>
              </w:rPr>
              <w:t>非机动车停车位</w:t>
            </w:r>
          </w:p>
        </w:tc>
        <w:tc>
          <w:tcPr>
            <w:tcW w:w="49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个</w:t>
            </w:r>
          </w:p>
        </w:tc>
        <w:tc>
          <w:tcPr>
            <w:tcW w:w="1214"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val="en-US" w:eastAsia="zh-CN"/>
              </w:rPr>
            </w:pPr>
            <w:r>
              <w:rPr>
                <w:rFonts w:hint="eastAsia" w:eastAsia="仿宋_GB2312" w:cs="Times New Roman"/>
                <w:color w:val="000000"/>
                <w:sz w:val="21"/>
                <w:szCs w:val="21"/>
                <w:lang w:val="en-US" w:eastAsia="zh-CN"/>
              </w:rPr>
              <w:t>232</w:t>
            </w:r>
          </w:p>
        </w:tc>
        <w:tc>
          <w:tcPr>
            <w:tcW w:w="1666"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p>
        </w:tc>
      </w:tr>
      <w:bookmarkEnd w:id="169"/>
    </w:tbl>
    <w:p>
      <w:pPr>
        <w:pStyle w:val="6"/>
        <w:bidi w:val="0"/>
        <w:rPr>
          <w:rFonts w:hint="default" w:ascii="Times New Roman" w:hAnsi="Times New Roman" w:cs="Times New Roman"/>
        </w:rPr>
      </w:pPr>
      <w:r>
        <w:rPr>
          <w:rFonts w:hint="default" w:ascii="Times New Roman" w:hAnsi="Times New Roman" w:cs="Times New Roman"/>
        </w:rPr>
        <w:t>2.1.4竖向布置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场地地貌单元为波状台地，地势西高东低、北高南低，自然高程为230～250米，东西高差约10</w:t>
      </w:r>
      <w:r>
        <w:rPr>
          <w:rFonts w:hint="eastAsia" w:eastAsia="仿宋_GB2312" w:cs="Times New Roman"/>
          <w:sz w:val="24"/>
          <w:szCs w:val="24"/>
          <w:highlight w:val="none"/>
          <w:lang w:val="en-US" w:eastAsia="zh-CN"/>
        </w:rPr>
        <w:t>m</w:t>
      </w:r>
      <w:r>
        <w:rPr>
          <w:rFonts w:hint="eastAsia" w:ascii="Times New Roman" w:hAnsi="Times New Roman" w:eastAsia="仿宋_GB2312" w:cs="Times New Roman"/>
          <w:sz w:val="24"/>
          <w:szCs w:val="24"/>
          <w:highlight w:val="none"/>
          <w:lang w:eastAsia="zh-CN"/>
        </w:rPr>
        <w:t>，</w:t>
      </w:r>
      <w:r>
        <w:rPr>
          <w:rFonts w:hint="eastAsia" w:ascii="Times New Roman" w:hAnsi="Times New Roman" w:eastAsia="仿宋_GB2312" w:cs="Times New Roman"/>
          <w:sz w:val="24"/>
          <w:szCs w:val="24"/>
          <w:highlight w:val="none"/>
          <w:lang w:val="en-US" w:eastAsia="zh-CN"/>
        </w:rPr>
        <w:t>设计标高234.75~241.95m。</w:t>
      </w:r>
      <w:r>
        <w:rPr>
          <w:rFonts w:hint="default" w:ascii="Times New Roman" w:hAnsi="Times New Roman" w:eastAsia="仿宋_GB2312" w:cs="Times New Roman"/>
          <w:sz w:val="24"/>
          <w:szCs w:val="24"/>
          <w:highlight w:val="none"/>
        </w:rPr>
        <w:t>场地在满足工艺需求的前提下，根据场地现有自然地形及外部主要连接市政道路标高，以减少土方量、顺接外部联系道路及市政重力流管线的原则，</w:t>
      </w:r>
      <w:commentRangeStart w:id="2"/>
      <w:commentRangeStart w:id="3"/>
      <w:r>
        <w:rPr>
          <w:rFonts w:hint="default" w:ascii="Times New Roman" w:hAnsi="Times New Roman" w:eastAsia="仿宋_GB2312" w:cs="Times New Roman"/>
          <w:sz w:val="24"/>
          <w:szCs w:val="24"/>
          <w:highlight w:val="none"/>
        </w:rPr>
        <w:t>场地竖向采用台阶式布局，从西向东由高到低设置5个台地</w:t>
      </w:r>
      <w:commentRangeEnd w:id="2"/>
      <w:r>
        <w:commentReference w:id="2"/>
      </w:r>
      <w:commentRangeEnd w:id="3"/>
      <w:r>
        <w:commentReference w:id="3"/>
      </w:r>
      <w:r>
        <w:rPr>
          <w:rFonts w:hint="default" w:ascii="Times New Roman" w:hAnsi="Times New Roman" w:eastAsia="仿宋_GB2312" w:cs="Times New Roman"/>
          <w:sz w:val="24"/>
          <w:szCs w:val="24"/>
          <w:highlight w:val="none"/>
        </w:rPr>
        <w:t>，场区道路最大纵坡不超过8%，满足规范相关要求。</w:t>
      </w:r>
    </w:p>
    <w:p>
      <w:pPr>
        <w:pStyle w:val="6"/>
        <w:bidi w:val="0"/>
        <w:rPr>
          <w:rFonts w:hint="default" w:ascii="Times New Roman" w:hAnsi="Times New Roman" w:cs="Times New Roman"/>
        </w:rPr>
      </w:pPr>
      <w:r>
        <w:rPr>
          <w:rFonts w:hint="default" w:ascii="Times New Roman" w:hAnsi="Times New Roman" w:cs="Times New Roman"/>
        </w:rPr>
        <w:t>2.1.5公用工程</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（1）供水系统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项目用水主要是生活用水，消防用水，水源</w:t>
      </w:r>
      <w:r>
        <w:rPr>
          <w:rFonts w:hint="default" w:ascii="Times New Roman" w:hAnsi="Times New Roman" w:eastAsia="仿宋_GB2312" w:cs="Times New Roman"/>
          <w:sz w:val="24"/>
          <w:szCs w:val="24"/>
          <w:highlight w:val="none"/>
        </w:rPr>
        <w:t>引自A地块给水管网</w:t>
      </w:r>
      <w:r>
        <w:rPr>
          <w:rFonts w:hint="default" w:ascii="Times New Roman" w:hAnsi="Times New Roman" w:eastAsia="仿宋_GB2312" w:cs="Times New Roman"/>
          <w:sz w:val="24"/>
          <w:szCs w:val="24"/>
          <w:highlight w:val="none"/>
          <w:lang w:val="en-US" w:eastAsia="zh-CN"/>
        </w:rPr>
        <w:t>，</w:t>
      </w:r>
      <w:r>
        <w:rPr>
          <w:rFonts w:hint="default" w:ascii="Times New Roman" w:hAnsi="Times New Roman" w:eastAsia="仿宋_GB2312" w:cs="Times New Roman"/>
          <w:sz w:val="24"/>
          <w:szCs w:val="24"/>
          <w:highlight w:val="none"/>
        </w:rPr>
        <w:t>进户管径为DN300。给水管道室外埋深2.0m，采用PE管，室内采用PP-R给水管，热熔连接。</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（2）排水系统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该园区排水主要为生产，生活污水及雨水，生活污水通过建筑内的排水管收集汇入地下排污管线，排入园区污水处理站，经集中处理达标后，排入市政管网。项目雨水由排水网直接排入水政雨水管网内</w:t>
      </w:r>
      <w:r>
        <w:rPr>
          <w:rFonts w:hint="eastAsia" w:ascii="Times New Roman" w:hAnsi="Times New Roman" w:eastAsia="仿宋_GB2312" w:cs="Times New Roman"/>
          <w:sz w:val="24"/>
          <w:szCs w:val="24"/>
          <w:highlight w:val="none"/>
          <w:lang w:val="en-US" w:eastAsia="zh-CN"/>
        </w:rPr>
        <w:t>，排水管内底标高高程为230.7，雨水管内底标高高程为232.06</w:t>
      </w:r>
      <w:r>
        <w:rPr>
          <w:rFonts w:hint="default" w:ascii="Times New Roman" w:hAnsi="Times New Roman" w:eastAsia="仿宋_GB2312" w:cs="Times New Roman"/>
          <w:sz w:val="24"/>
          <w:szCs w:val="24"/>
          <w:highlight w:val="none"/>
          <w:lang w:val="en-US" w:eastAsia="zh-CN"/>
        </w:rPr>
        <w:t>。雨水管线采用DN500，污水管线采用DN350。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场区内雨水排入选址区域东侧英凯大街市政雨水管线DN1000，污水排入选址区域东侧英凯大街市政污水管线DN600。项目场区排水外网沿场区道路方向敷设。管材选用钢筋混凝土管，接口采用承插口橡胶圈，</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（3）供电系统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项目用电主要为生产用电及照明用电及生活用电。用电接口位于项目</w:t>
      </w:r>
      <w:r>
        <w:rPr>
          <w:rFonts w:hint="default" w:ascii="Times New Roman" w:hAnsi="Times New Roman" w:eastAsia="仿宋_GB2312" w:cs="Times New Roman"/>
          <w:spacing w:val="1"/>
          <w:sz w:val="24"/>
          <w:szCs w:val="24"/>
          <w:highlight w:val="none"/>
        </w:rPr>
        <w:t>英凯大街</w:t>
      </w:r>
      <w:r>
        <w:rPr>
          <w:rFonts w:hint="default" w:ascii="Times New Roman" w:hAnsi="Times New Roman" w:eastAsia="仿宋_GB2312" w:cs="Times New Roman"/>
          <w:sz w:val="24"/>
          <w:szCs w:val="24"/>
          <w:lang w:eastAsia="zh-CN"/>
        </w:rPr>
        <w:t>上变电所一路10kV供电线路提供。柴油发电机组作为备用电源，电源采用三相五线制，电压等级为380/220V。</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（4）供热系统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项目采用集中供热，热源从选址区域规划集中供热锅炉提供，供热管网引入设备用房内换热站，换热站位于</w:t>
      </w:r>
      <w:r>
        <w:rPr>
          <w:rFonts w:hint="eastAsia" w:ascii="Times New Roman" w:hAnsi="Times New Roman" w:eastAsia="仿宋_GB2312" w:cs="Times New Roman"/>
          <w:sz w:val="24"/>
          <w:szCs w:val="24"/>
          <w:lang w:eastAsia="zh-CN"/>
        </w:rPr>
        <w:t>设备用房</w:t>
      </w:r>
      <w:r>
        <w:rPr>
          <w:rFonts w:hint="default" w:ascii="Times New Roman" w:hAnsi="Times New Roman" w:eastAsia="仿宋_GB2312" w:cs="Times New Roman"/>
          <w:sz w:val="24"/>
          <w:szCs w:val="24"/>
          <w:lang w:eastAsia="zh-CN"/>
        </w:rPr>
        <w:t>处，进户管径DN200，采暖热媒为热水。区内供热管线敷设规模为DN125管线1400m。项目场区内热力外网沿场区道路方向敷设。供热管材选用钢管，管网采取地下直埋方式敷设，保温材料采用硬质聚氨酯泡沫塑料，外防护为两布三油玻璃钢。</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（5）燃气系统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本项目餐饮中心采用天然气，引自A地块的DN200的燃气管网，管道压力0.2~0.4MPa，入场管网沿东西向就近采用DN200管直埋敷设至园区内中压调压柜，经调压后送至用气单元。中压调压柜位于</w:t>
      </w:r>
      <w:r>
        <w:rPr>
          <w:rFonts w:hint="eastAsia" w:ascii="Times New Roman" w:hAnsi="Times New Roman" w:eastAsia="仿宋_GB2312" w:cs="Times New Roman"/>
          <w:sz w:val="24"/>
          <w:szCs w:val="24"/>
          <w:lang w:val="en-US" w:eastAsia="zh-CN"/>
        </w:rPr>
        <w:t>A地块的</w:t>
      </w:r>
      <w:r>
        <w:rPr>
          <w:rFonts w:hint="eastAsia" w:ascii="Times New Roman" w:hAnsi="Times New Roman" w:eastAsia="仿宋_GB2312" w:cs="Times New Roman"/>
          <w:sz w:val="24"/>
          <w:szCs w:val="24"/>
          <w:lang w:eastAsia="zh-CN"/>
        </w:rPr>
        <w:t>综合楼</w:t>
      </w:r>
      <w:r>
        <w:rPr>
          <w:rFonts w:hint="default" w:ascii="Times New Roman" w:hAnsi="Times New Roman" w:eastAsia="仿宋_GB2312" w:cs="Times New Roman"/>
          <w:sz w:val="24"/>
          <w:szCs w:val="24"/>
          <w:lang w:eastAsia="zh-CN"/>
        </w:rPr>
        <w:t>负一层。</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（6）</w:t>
      </w:r>
      <w:r>
        <w:rPr>
          <w:rFonts w:hint="eastAsia" w:eastAsia="仿宋_GB2312" w:cs="Times New Roman"/>
          <w:b/>
          <w:bCs/>
          <w:sz w:val="24"/>
          <w:szCs w:val="24"/>
          <w:lang w:val="en-US" w:eastAsia="zh-CN"/>
        </w:rPr>
        <w:t>通讯系统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eastAsia="zh-CN"/>
        </w:rPr>
        <w:t>场址附近现有通讯及宽带网，可供本项目使用，通讯发达，有线电话，移动电话等通讯设施均已覆盖项目区，接口位于项目建设位置东侧英凯大街上</w:t>
      </w:r>
      <w:r>
        <w:rPr>
          <w:rFonts w:hint="eastAsia" w:ascii="Times New Roman" w:hAnsi="Times New Roman" w:eastAsia="仿宋_GB2312" w:cs="Times New Roman"/>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lang w:val="en-US" w:eastAsia="zh-CN"/>
        </w:rPr>
      </w:pPr>
      <w:r>
        <w:rPr>
          <w:rFonts w:hint="eastAsia" w:eastAsia="仿宋_GB2312" w:cs="Times New Roman"/>
          <w:b/>
          <w:bCs/>
          <w:sz w:val="24"/>
          <w:szCs w:val="24"/>
          <w:lang w:val="en-US" w:eastAsia="zh-CN"/>
        </w:rPr>
        <w:t>（7）</w:t>
      </w:r>
      <w:r>
        <w:rPr>
          <w:rFonts w:hint="default" w:ascii="Times New Roman" w:hAnsi="Times New Roman" w:eastAsia="仿宋_GB2312" w:cs="Times New Roman"/>
          <w:b/>
          <w:bCs/>
          <w:sz w:val="24"/>
          <w:szCs w:val="24"/>
          <w:lang w:val="en-US" w:eastAsia="zh-CN"/>
        </w:rPr>
        <w:t>项目内外交通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本期</w:t>
      </w:r>
      <w:r>
        <w:rPr>
          <w:rFonts w:hint="default" w:ascii="Times New Roman" w:hAnsi="Times New Roman" w:eastAsia="仿宋_GB2312" w:cs="Times New Roman"/>
          <w:sz w:val="24"/>
          <w:szCs w:val="24"/>
        </w:rPr>
        <w:t>项目区紧邻既有市政道路，</w:t>
      </w:r>
      <w:r>
        <w:rPr>
          <w:rFonts w:hint="default" w:ascii="Times New Roman" w:hAnsi="Times New Roman" w:eastAsia="仿宋_GB2312" w:cs="Times New Roman"/>
          <w:sz w:val="24"/>
          <w:szCs w:val="24"/>
          <w:lang w:eastAsia="zh-CN"/>
        </w:rPr>
        <w:t>英俊东街</w:t>
      </w:r>
      <w:r>
        <w:rPr>
          <w:rFonts w:hint="default" w:ascii="Times New Roman" w:hAnsi="Times New Roman" w:eastAsia="仿宋_GB2312" w:cs="Times New Roman"/>
          <w:sz w:val="24"/>
          <w:szCs w:val="24"/>
        </w:rPr>
        <w:t>可直接利用。工程建设内部道路采用永临结合的方式，能够满足</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施工期间各种材料的运输，工程施工期间不需修建其它外部施工道路。</w:t>
      </w:r>
    </w:p>
    <w:p>
      <w:pPr>
        <w:pStyle w:val="5"/>
        <w:bidi w:val="0"/>
        <w:rPr>
          <w:rFonts w:hint="default" w:ascii="Times New Roman" w:hAnsi="Times New Roman" w:cs="Times New Roman"/>
        </w:rPr>
      </w:pPr>
      <w:bookmarkStart w:id="170" w:name="_Toc19120"/>
      <w:bookmarkStart w:id="171" w:name="_Toc7299"/>
      <w:bookmarkStart w:id="172" w:name="_Toc3387"/>
      <w:bookmarkStart w:id="173" w:name="_Toc387325524"/>
      <w:r>
        <w:rPr>
          <w:rFonts w:hint="default" w:ascii="Times New Roman" w:hAnsi="Times New Roman" w:cs="Times New Roman"/>
        </w:rPr>
        <w:t>2.2施工组织</w:t>
      </w:r>
      <w:bookmarkEnd w:id="170"/>
      <w:bookmarkEnd w:id="171"/>
      <w:bookmarkEnd w:id="172"/>
      <w:bookmarkEnd w:id="173"/>
    </w:p>
    <w:p>
      <w:pPr>
        <w:pStyle w:val="6"/>
        <w:bidi w:val="0"/>
        <w:rPr>
          <w:rFonts w:hint="default" w:ascii="Times New Roman" w:hAnsi="Times New Roman" w:cs="Times New Roman"/>
          <w:lang w:val="en-US" w:eastAsia="zh-CN"/>
        </w:rPr>
      </w:pPr>
      <w:r>
        <w:rPr>
          <w:rFonts w:hint="default" w:ascii="Times New Roman" w:hAnsi="Times New Roman" w:cs="Times New Roman"/>
        </w:rPr>
        <w:t>2.2.1</w:t>
      </w:r>
      <w:r>
        <w:rPr>
          <w:rFonts w:hint="default" w:ascii="Times New Roman" w:hAnsi="Times New Roman" w:cs="Times New Roman"/>
          <w:lang w:val="en-US" w:eastAsia="zh-CN"/>
        </w:rPr>
        <w:t>施工布置</w:t>
      </w:r>
    </w:p>
    <w:p>
      <w:pPr>
        <w:pStyle w:val="8"/>
        <w:keepNext/>
        <w:keepLines/>
        <w:pageBreakBefore w:val="0"/>
        <w:widowControl w:val="0"/>
        <w:numPr>
          <w:ilvl w:val="0"/>
          <w:numId w:val="0"/>
        </w:numPr>
        <w:tabs>
          <w:tab w:val="clear" w:pos="864"/>
        </w:tabs>
        <w:kinsoku/>
        <w:wordWrap/>
        <w:overflowPunct/>
        <w:topLinePunct w:val="0"/>
        <w:autoSpaceDE/>
        <w:autoSpaceDN/>
        <w:bidi w:val="0"/>
        <w:adjustRightInd w:val="0"/>
        <w:snapToGrid/>
        <w:spacing w:line="360" w:lineRule="auto"/>
        <w:ind w:leftChars="0" w:firstLine="482" w:firstLineChars="200"/>
        <w:textAlignment w:val="baseline"/>
        <w:rPr>
          <w:rFonts w:hint="default" w:ascii="Times New Roman" w:hAnsi="Times New Roman" w:eastAsia="仿宋_GB2312" w:cs="Times New Roman"/>
          <w:b/>
          <w:bCs/>
          <w:i w:val="0"/>
          <w:iCs w:val="0"/>
          <w:sz w:val="24"/>
          <w:szCs w:val="24"/>
          <w:lang w:val="en-US" w:eastAsia="zh-CN"/>
        </w:rPr>
      </w:pPr>
      <w:r>
        <w:rPr>
          <w:rFonts w:hint="default" w:ascii="Times New Roman" w:hAnsi="Times New Roman" w:eastAsia="仿宋_GB2312" w:cs="Times New Roman"/>
          <w:b/>
          <w:bCs/>
          <w:i w:val="0"/>
          <w:iCs w:val="0"/>
          <w:sz w:val="24"/>
          <w:szCs w:val="24"/>
          <w:lang w:val="en-US" w:eastAsia="zh-CN"/>
        </w:rPr>
        <w:t>2.2.1.1施工生产生活区布设</w:t>
      </w:r>
    </w:p>
    <w:p>
      <w:pPr>
        <w:pageBreakBefore w:val="0"/>
        <w:kinsoku/>
        <w:wordWrap/>
        <w:bidi w:val="0"/>
        <w:spacing w:line="360" w:lineRule="auto"/>
        <w:ind w:firstLine="480" w:firstLineChars="200"/>
        <w:rPr>
          <w:rFonts w:hint="default" w:ascii="Times New Roman" w:hAnsi="Times New Roman" w:eastAsia="仿宋_GB2312" w:cs="Times New Roman"/>
          <w:color w:val="auto"/>
          <w:sz w:val="24"/>
          <w:highlight w:val="none"/>
          <w:lang w:eastAsia="zh-CN"/>
        </w:rPr>
      </w:pPr>
      <w:bookmarkStart w:id="174" w:name="_Hlk78795630"/>
      <w:r>
        <w:rPr>
          <w:rFonts w:hint="default" w:ascii="Times New Roman" w:hAnsi="Times New Roman" w:eastAsia="仿宋_GB2312" w:cs="Times New Roman"/>
          <w:color w:val="auto"/>
          <w:sz w:val="24"/>
          <w:highlight w:val="none"/>
          <w:lang w:eastAsia="zh-CN"/>
        </w:rPr>
        <w:t>根据现场调查，本期项目施工生产生活区位于场区</w:t>
      </w:r>
      <w:r>
        <w:rPr>
          <w:rFonts w:hint="default" w:ascii="Times New Roman" w:hAnsi="Times New Roman" w:eastAsia="仿宋_GB2312" w:cs="Times New Roman"/>
          <w:color w:val="auto"/>
          <w:sz w:val="24"/>
          <w:highlight w:val="none"/>
          <w:lang w:val="en-US" w:eastAsia="zh-CN"/>
        </w:rPr>
        <w:t>北</w:t>
      </w:r>
      <w:r>
        <w:rPr>
          <w:rFonts w:hint="default" w:ascii="Times New Roman" w:hAnsi="Times New Roman" w:eastAsia="仿宋_GB2312" w:cs="Times New Roman"/>
          <w:color w:val="auto"/>
          <w:sz w:val="24"/>
          <w:highlight w:val="none"/>
          <w:lang w:eastAsia="zh-CN"/>
        </w:rPr>
        <w:t>侧，占地面积</w:t>
      </w:r>
      <w:r>
        <w:rPr>
          <w:rFonts w:hint="eastAsia" w:eastAsia="仿宋_GB2312" w:cs="Times New Roman"/>
          <w:color w:val="auto"/>
          <w:sz w:val="24"/>
          <w:highlight w:val="none"/>
          <w:lang w:val="en-US" w:eastAsia="zh-CN"/>
        </w:rPr>
        <w:t>0.30</w:t>
      </w:r>
      <w:r>
        <w:rPr>
          <w:rFonts w:hint="default" w:ascii="Times New Roman" w:hAnsi="Times New Roman" w:eastAsia="仿宋_GB2312" w:cs="Times New Roman"/>
          <w:color w:val="auto"/>
          <w:sz w:val="24"/>
          <w:highlight w:val="none"/>
          <w:lang w:val="en-US" w:eastAsia="zh-CN"/>
        </w:rPr>
        <w:t>hm</w:t>
      </w:r>
      <w:r>
        <w:rPr>
          <w:rFonts w:hint="default" w:ascii="Times New Roman" w:hAnsi="Times New Roman" w:eastAsia="仿宋_GB2312" w:cs="Times New Roman"/>
          <w:color w:val="auto"/>
          <w:sz w:val="24"/>
          <w:highlight w:val="none"/>
          <w:vertAlign w:val="superscript"/>
          <w:lang w:val="en-US" w:eastAsia="zh-CN"/>
        </w:rPr>
        <w:t>2</w:t>
      </w:r>
      <w:r>
        <w:rPr>
          <w:rFonts w:hint="default" w:ascii="Times New Roman" w:hAnsi="Times New Roman" w:eastAsia="仿宋_GB2312" w:cs="Times New Roman"/>
          <w:color w:val="auto"/>
          <w:sz w:val="24"/>
          <w:highlight w:val="none"/>
          <w:lang w:val="en-US" w:eastAsia="zh-CN"/>
        </w:rPr>
        <w:t>，生活</w:t>
      </w:r>
      <w:r>
        <w:rPr>
          <w:rFonts w:hint="default" w:ascii="Times New Roman" w:hAnsi="Times New Roman" w:eastAsia="仿宋_GB2312" w:cs="Times New Roman"/>
          <w:color w:val="auto"/>
          <w:sz w:val="24"/>
          <w:highlight w:val="none"/>
          <w:lang w:eastAsia="zh-CN"/>
        </w:rPr>
        <w:t>区为简易彩钢房，施工结束后进行拆除。</w:t>
      </w:r>
      <w:bookmarkEnd w:id="174"/>
    </w:p>
    <w:p>
      <w:pPr>
        <w:pStyle w:val="152"/>
        <w:jc w:val="center"/>
        <w:rPr>
          <w:rFonts w:hint="eastAsia" w:ascii="Times New Roman" w:hAnsi="Times New Roman" w:eastAsia="宋体" w:cs="Times New Roman"/>
          <w:lang w:eastAsia="zh-CN"/>
        </w:rPr>
      </w:pPr>
      <w:r>
        <w:rPr>
          <w:rFonts w:hint="default" w:ascii="Times New Roman" w:hAnsi="Times New Roman" w:cs="Times New Roman"/>
          <w:sz w:val="24"/>
        </w:rPr>
        <mc:AlternateContent>
          <mc:Choice Requires="wps">
            <w:drawing>
              <wp:anchor distT="0" distB="0" distL="114300" distR="114300" simplePos="0" relativeHeight="251684864" behindDoc="0" locked="0" layoutInCell="1" allowOverlap="1">
                <wp:simplePos x="0" y="0"/>
                <wp:positionH relativeFrom="column">
                  <wp:posOffset>3604260</wp:posOffset>
                </wp:positionH>
                <wp:positionV relativeFrom="paragraph">
                  <wp:posOffset>1579880</wp:posOffset>
                </wp:positionV>
                <wp:extent cx="1130300" cy="314325"/>
                <wp:effectExtent l="5080" t="4445" r="7620" b="81280"/>
                <wp:wrapNone/>
                <wp:docPr id="139" name="自选图形 877"/>
                <wp:cNvGraphicFramePr/>
                <a:graphic xmlns:a="http://schemas.openxmlformats.org/drawingml/2006/main">
                  <a:graphicData uri="http://schemas.microsoft.com/office/word/2010/wordprocessingShape">
                    <wps:wsp>
                      <wps:cNvSpPr/>
                      <wps:spPr>
                        <a:xfrm>
                          <a:off x="0" y="0"/>
                          <a:ext cx="1130300" cy="314325"/>
                        </a:xfrm>
                        <a:prstGeom prst="wedgeRectCallout">
                          <a:avLst>
                            <a:gd name="adj1" fmla="val -43750"/>
                            <a:gd name="adj2" fmla="val 70000"/>
                          </a:avLst>
                        </a:prstGeom>
                        <a:solidFill>
                          <a:schemeClr val="bg1"/>
                        </a:solidFill>
                        <a:ln w="9525" cap="flat" cmpd="sng">
                          <a:solidFill>
                            <a:srgbClr val="FF0000"/>
                          </a:solidFill>
                          <a:prstDash val="solid"/>
                          <a:miter/>
                          <a:headEnd type="none" w="med" len="med"/>
                          <a:tailEnd type="none" w="med" len="med"/>
                        </a:ln>
                      </wps:spPr>
                      <wps:txbx>
                        <w:txbxContent>
                          <w:p>
                            <w:pPr>
                              <w:rPr>
                                <w:rFonts w:hint="default" w:ascii="Times New Roman" w:hAnsi="Times New Roman" w:eastAsia="仿宋_GB2312" w:cs="Times New Roman"/>
                                <w:color w:val="auto"/>
                                <w:lang w:val="en-US" w:eastAsia="zh-CN"/>
                              </w:rPr>
                            </w:pPr>
                            <w:r>
                              <w:rPr>
                                <w:rFonts w:hint="eastAsia" w:eastAsia="仿宋_GB2312" w:cs="Times New Roman"/>
                                <w:color w:val="auto"/>
                                <w:lang w:val="en-US" w:eastAsia="zh-CN"/>
                              </w:rPr>
                              <w:t>施工生产生活区</w:t>
                            </w:r>
                          </w:p>
                        </w:txbxContent>
                      </wps:txbx>
                      <wps:bodyPr vert="horz" wrap="square" anchor="t" anchorCtr="0" upright="1"/>
                    </wps:wsp>
                  </a:graphicData>
                </a:graphic>
              </wp:anchor>
            </w:drawing>
          </mc:Choice>
          <mc:Fallback>
            <w:pict>
              <v:shape id="自选图形 877" o:spid="_x0000_s1026" o:spt="61" type="#_x0000_t61" style="position:absolute;left:0pt;margin-left:283.8pt;margin-top:124.4pt;height:24.75pt;width:89pt;z-index:251684864;mso-width-relative:page;mso-height-relative:page;" fillcolor="#FFFFFF [3212]" filled="t" stroked="t" coordsize="21600,21600" o:gfxdata="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mibqL&#10;2AAAAAsBAAAPAAAAAAAAAAEAIAAAACIAAABkcnMvZG93bnJldi54bWxQSwECFAAUAAAACACHTuJA&#10;jY2O/1oCAADEBAAADgAAAAAAAAABACAAAAAnAQAAZHJzL2Uyb0RvYy54bWxQSwUGAAAAAAYABgBZ&#10;AQAA8wUAAAAA&#10;" adj="1350,25920">
                <v:fill on="t" focussize="0,0"/>
                <v:stroke color="#FF0000" joinstyle="miter"/>
                <v:imagedata o:title=""/>
                <o:lock v:ext="edit" aspectratio="f"/>
                <v:textbox>
                  <w:txbxContent>
                    <w:p>
                      <w:pPr>
                        <w:rPr>
                          <w:rFonts w:hint="default" w:ascii="Times New Roman" w:hAnsi="Times New Roman" w:eastAsia="仿宋_GB2312" w:cs="Times New Roman"/>
                          <w:color w:val="auto"/>
                          <w:lang w:val="en-US" w:eastAsia="zh-CN"/>
                        </w:rPr>
                      </w:pPr>
                      <w:r>
                        <w:rPr>
                          <w:rFonts w:hint="eastAsia" w:eastAsia="仿宋_GB2312" w:cs="Times New Roman"/>
                          <w:color w:val="auto"/>
                          <w:lang w:val="en-US" w:eastAsia="zh-CN"/>
                        </w:rPr>
                        <w:t>施工生产生活区</w:t>
                      </w:r>
                    </w:p>
                  </w:txbxContent>
                </v:textbox>
              </v:shape>
            </w:pict>
          </mc:Fallback>
        </mc:AlternateContent>
      </w:r>
      <w:r>
        <w:rPr>
          <w:rFonts w:hint="eastAsia" w:ascii="Times New Roman" w:hAnsi="Times New Roman" w:eastAsia="宋体" w:cs="Times New Roman"/>
          <w:lang w:eastAsia="zh-CN"/>
        </w:rPr>
        <w:drawing>
          <wp:inline distT="0" distB="0" distL="114300" distR="114300">
            <wp:extent cx="5255895" cy="4411345"/>
            <wp:effectExtent l="0" t="0" r="1905" b="8255"/>
            <wp:docPr id="22" name="图片 22" descr="2023.05.23 B地块总平面图(规划)_t3 B地块总平面图 (1)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2023.05.23 B地块总平面图(规划)_t3 B地块总平面图 (1)_00"/>
                    <pic:cNvPicPr>
                      <a:picLocks noChangeAspect="1"/>
                    </pic:cNvPicPr>
                  </pic:nvPicPr>
                  <pic:blipFill>
                    <a:blip r:embed="rId47"/>
                    <a:srcRect l="7716" r="8039"/>
                    <a:stretch>
                      <a:fillRect/>
                    </a:stretch>
                  </pic:blipFill>
                  <pic:spPr>
                    <a:xfrm>
                      <a:off x="0" y="0"/>
                      <a:ext cx="5255895" cy="441134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微软雅黑" w:cs="Times New Roman"/>
          <w:b w:val="0"/>
          <w:bCs w:val="0"/>
          <w:spacing w:val="-8"/>
          <w:sz w:val="21"/>
          <w:szCs w:val="21"/>
          <w:lang w:val="en-US" w:eastAsia="zh-CN"/>
        </w:rPr>
      </w:pPr>
      <w:r>
        <w:rPr>
          <w:rFonts w:hint="eastAsia" w:ascii="Times New Roman" w:hAnsi="Times New Roman" w:eastAsia="微软雅黑" w:cs="Times New Roman"/>
          <w:b w:val="0"/>
          <w:bCs w:val="0"/>
          <w:spacing w:val="-8"/>
          <w:sz w:val="21"/>
          <w:szCs w:val="21"/>
          <w:lang w:val="en-US" w:eastAsia="zh-CN"/>
        </w:rPr>
        <w:t>图2-3  施工生产生活区位置示意图</w:t>
      </w:r>
    </w:p>
    <w:p>
      <w:pPr>
        <w:pStyle w:val="8"/>
        <w:keepNext/>
        <w:keepLines/>
        <w:pageBreakBefore w:val="0"/>
        <w:widowControl w:val="0"/>
        <w:numPr>
          <w:ilvl w:val="0"/>
          <w:numId w:val="0"/>
        </w:numPr>
        <w:tabs>
          <w:tab w:val="clear" w:pos="864"/>
        </w:tabs>
        <w:kinsoku/>
        <w:wordWrap/>
        <w:overflowPunct/>
        <w:topLinePunct w:val="0"/>
        <w:autoSpaceDE/>
        <w:autoSpaceDN/>
        <w:bidi w:val="0"/>
        <w:adjustRightInd w:val="0"/>
        <w:snapToGrid/>
        <w:spacing w:line="360" w:lineRule="auto"/>
        <w:ind w:leftChars="0" w:firstLine="482" w:firstLineChars="200"/>
        <w:textAlignment w:val="baseline"/>
        <w:rPr>
          <w:rFonts w:hint="default" w:ascii="Times New Roman" w:hAnsi="Times New Roman" w:eastAsia="仿宋_GB2312" w:cs="Times New Roman"/>
          <w:b/>
          <w:bCs/>
          <w:i w:val="0"/>
          <w:iCs w:val="0"/>
          <w:sz w:val="24"/>
          <w:szCs w:val="24"/>
          <w:lang w:val="en-US" w:eastAsia="zh-CN"/>
        </w:rPr>
      </w:pPr>
      <w:r>
        <w:rPr>
          <w:rFonts w:hint="default" w:ascii="Times New Roman" w:hAnsi="Times New Roman" w:eastAsia="仿宋_GB2312" w:cs="Times New Roman"/>
          <w:b/>
          <w:bCs/>
          <w:i w:val="0"/>
          <w:iCs w:val="0"/>
          <w:sz w:val="24"/>
          <w:szCs w:val="24"/>
          <w:lang w:val="en-US" w:eastAsia="zh-CN"/>
        </w:rPr>
        <w:t>2.2.1.2施工道路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所在地区交通方便，工程建设区紧邻</w:t>
      </w:r>
      <w:r>
        <w:rPr>
          <w:rFonts w:hint="default" w:ascii="Times New Roman" w:hAnsi="Times New Roman" w:eastAsia="仿宋_GB2312" w:cs="Times New Roman"/>
          <w:sz w:val="24"/>
          <w:szCs w:val="24"/>
          <w:lang w:eastAsia="zh-CN"/>
        </w:rPr>
        <w:t>英俊东街</w:t>
      </w:r>
      <w:r>
        <w:rPr>
          <w:rFonts w:hint="default" w:ascii="Times New Roman" w:hAnsi="Times New Roman" w:eastAsia="仿宋_GB2312" w:cs="Times New Roman"/>
          <w:sz w:val="24"/>
          <w:szCs w:val="24"/>
        </w:rPr>
        <w:t>，完全满足</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施工期间各种材料的运输，工程施工期间不需修建外部施工道路，工程建设区内部道路采用永临结合的方式，施工道路主要沿场区内道路设置，道路宽度为</w:t>
      </w:r>
      <w:r>
        <w:rPr>
          <w:rFonts w:hint="default" w:ascii="Times New Roman" w:hAnsi="Times New Roman" w:eastAsia="仿宋_GB2312" w:cs="Times New Roman"/>
          <w:sz w:val="24"/>
          <w:szCs w:val="24"/>
          <w:lang w:val="en-US" w:eastAsia="zh-CN"/>
        </w:rPr>
        <w:t>6</w:t>
      </w:r>
      <w:r>
        <w:rPr>
          <w:rFonts w:hint="default" w:ascii="Times New Roman" w:hAnsi="Times New Roman" w:eastAsia="仿宋_GB2312" w:cs="Times New Roman"/>
          <w:sz w:val="24"/>
          <w:szCs w:val="24"/>
        </w:rPr>
        <w:t>m，并连接至各个建筑物施工场地、生产生活区，</w:t>
      </w:r>
      <w:r>
        <w:rPr>
          <w:rFonts w:hint="default" w:ascii="Times New Roman" w:hAnsi="Times New Roman" w:eastAsia="仿宋_GB2312" w:cs="Times New Roman"/>
          <w:sz w:val="24"/>
          <w:szCs w:val="24"/>
          <w:lang w:val="en-US" w:eastAsia="zh-CN"/>
        </w:rPr>
        <w:t>满足施工要求。</w:t>
      </w:r>
      <w:r>
        <w:rPr>
          <w:rFonts w:hint="default" w:ascii="Times New Roman" w:hAnsi="Times New Roman" w:eastAsia="仿宋_GB2312" w:cs="Times New Roman"/>
          <w:sz w:val="24"/>
          <w:szCs w:val="24"/>
        </w:rPr>
        <w:t>施工结束后，施工道路区域作为沥青道路铺筑基层使用。</w:t>
      </w:r>
    </w:p>
    <w:p>
      <w:pPr>
        <w:pStyle w:val="8"/>
        <w:keepNext/>
        <w:keepLines/>
        <w:pageBreakBefore w:val="0"/>
        <w:widowControl w:val="0"/>
        <w:numPr>
          <w:ilvl w:val="0"/>
          <w:numId w:val="0"/>
        </w:numPr>
        <w:tabs>
          <w:tab w:val="clear" w:pos="864"/>
        </w:tabs>
        <w:kinsoku/>
        <w:wordWrap/>
        <w:overflowPunct/>
        <w:topLinePunct w:val="0"/>
        <w:autoSpaceDE/>
        <w:autoSpaceDN/>
        <w:bidi w:val="0"/>
        <w:adjustRightInd w:val="0"/>
        <w:snapToGrid/>
        <w:spacing w:line="360" w:lineRule="auto"/>
        <w:ind w:leftChars="0" w:firstLine="482" w:firstLineChars="200"/>
        <w:textAlignment w:val="baseline"/>
        <w:rPr>
          <w:rFonts w:hint="default" w:ascii="Times New Roman" w:hAnsi="Times New Roman" w:eastAsia="仿宋_GB2312" w:cs="Times New Roman"/>
          <w:b/>
          <w:bCs/>
          <w:i w:val="0"/>
          <w:iCs w:val="0"/>
          <w:sz w:val="24"/>
          <w:szCs w:val="24"/>
          <w:highlight w:val="none"/>
          <w:lang w:val="en-US" w:eastAsia="zh-CN"/>
        </w:rPr>
      </w:pPr>
      <w:r>
        <w:rPr>
          <w:rFonts w:hint="default" w:ascii="Times New Roman" w:hAnsi="Times New Roman" w:eastAsia="仿宋_GB2312" w:cs="Times New Roman"/>
          <w:b/>
          <w:bCs/>
          <w:i w:val="0"/>
          <w:iCs w:val="0"/>
          <w:sz w:val="24"/>
          <w:szCs w:val="24"/>
          <w:highlight w:val="none"/>
          <w:lang w:val="en-US" w:eastAsia="zh-CN"/>
        </w:rPr>
        <w:t>2.2.1.3临时堆土区布设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lang w:val="en-US" w:eastAsia="zh-CN"/>
        </w:rPr>
        <w:t>本期项目共布设临时堆土区</w:t>
      </w:r>
      <w:r>
        <w:rPr>
          <w:rFonts w:hint="eastAsia" w:eastAsia="仿宋_GB2312" w:cs="Times New Roman"/>
          <w:sz w:val="24"/>
          <w:szCs w:val="24"/>
          <w:highlight w:val="none"/>
          <w:lang w:val="en-US" w:eastAsia="zh-CN"/>
        </w:rPr>
        <w:t>1</w:t>
      </w:r>
      <w:r>
        <w:rPr>
          <w:rFonts w:hint="default" w:ascii="Times New Roman" w:hAnsi="Times New Roman" w:eastAsia="仿宋_GB2312" w:cs="Times New Roman"/>
          <w:sz w:val="24"/>
          <w:szCs w:val="24"/>
          <w:highlight w:val="none"/>
          <w:lang w:val="en-US" w:eastAsia="zh-CN"/>
        </w:rPr>
        <w:t>个，位于</w:t>
      </w:r>
      <w:r>
        <w:rPr>
          <w:rFonts w:hint="eastAsia" w:eastAsia="仿宋_GB2312" w:cs="Times New Roman"/>
          <w:sz w:val="24"/>
          <w:szCs w:val="24"/>
          <w:highlight w:val="none"/>
          <w:lang w:val="en-US" w:eastAsia="zh-CN"/>
        </w:rPr>
        <w:t>B10</w:t>
      </w:r>
      <w:r>
        <w:rPr>
          <w:rFonts w:hint="default" w:ascii="Times New Roman" w:hAnsi="Times New Roman" w:eastAsia="仿宋_GB2312" w:cs="Times New Roman"/>
          <w:sz w:val="24"/>
          <w:szCs w:val="24"/>
          <w:highlight w:val="none"/>
          <w:lang w:val="en-US" w:eastAsia="zh-CN"/>
        </w:rPr>
        <w:t>#</w:t>
      </w:r>
      <w:r>
        <w:rPr>
          <w:rFonts w:hint="eastAsia" w:eastAsia="仿宋_GB2312" w:cs="Times New Roman"/>
          <w:sz w:val="24"/>
          <w:szCs w:val="24"/>
          <w:highlight w:val="none"/>
          <w:lang w:val="en-US" w:eastAsia="zh-CN"/>
        </w:rPr>
        <w:t>食堂和B3</w:t>
      </w:r>
      <w:r>
        <w:rPr>
          <w:rFonts w:hint="default" w:ascii="Times New Roman" w:hAnsi="Times New Roman" w:eastAsia="仿宋_GB2312" w:cs="Times New Roman"/>
          <w:sz w:val="24"/>
          <w:szCs w:val="24"/>
          <w:highlight w:val="none"/>
          <w:lang w:val="en-US" w:eastAsia="zh-CN"/>
        </w:rPr>
        <w:t>#厂房之间，长</w:t>
      </w:r>
      <w:r>
        <w:rPr>
          <w:rFonts w:hint="eastAsia" w:eastAsia="仿宋_GB2312" w:cs="Times New Roman"/>
          <w:sz w:val="24"/>
          <w:szCs w:val="24"/>
          <w:highlight w:val="none"/>
          <w:lang w:val="en-US" w:eastAsia="zh-CN"/>
        </w:rPr>
        <w:t>73.6</w:t>
      </w:r>
      <w:r>
        <w:rPr>
          <w:rFonts w:hint="default" w:ascii="Times New Roman" w:hAnsi="Times New Roman" w:eastAsia="仿宋_GB2312" w:cs="Times New Roman"/>
          <w:sz w:val="24"/>
          <w:szCs w:val="24"/>
          <w:highlight w:val="none"/>
          <w:lang w:val="en-US" w:eastAsia="zh-CN"/>
        </w:rPr>
        <w:t>m，宽</w:t>
      </w:r>
      <w:r>
        <w:rPr>
          <w:rFonts w:hint="eastAsia" w:eastAsia="仿宋_GB2312" w:cs="Times New Roman"/>
          <w:sz w:val="24"/>
          <w:szCs w:val="24"/>
          <w:highlight w:val="none"/>
          <w:lang w:val="en-US" w:eastAsia="zh-CN"/>
        </w:rPr>
        <w:t>31</w:t>
      </w:r>
      <w:r>
        <w:rPr>
          <w:rFonts w:hint="default" w:ascii="Times New Roman" w:hAnsi="Times New Roman" w:eastAsia="仿宋_GB2312" w:cs="Times New Roman"/>
          <w:sz w:val="24"/>
          <w:szCs w:val="24"/>
          <w:highlight w:val="none"/>
          <w:lang w:val="en-US" w:eastAsia="zh-CN"/>
        </w:rPr>
        <w:t>m，</w:t>
      </w:r>
      <w:r>
        <w:rPr>
          <w:rFonts w:hint="eastAsia" w:eastAsia="仿宋_GB2312" w:cs="Times New Roman"/>
          <w:sz w:val="24"/>
          <w:szCs w:val="24"/>
          <w:highlight w:val="none"/>
          <w:lang w:val="en-US" w:eastAsia="zh-CN"/>
        </w:rPr>
        <w:t>堆放面积2281，</w:t>
      </w:r>
      <w:r>
        <w:rPr>
          <w:rFonts w:hint="default" w:ascii="Times New Roman" w:hAnsi="Times New Roman" w:eastAsia="仿宋_GB2312" w:cs="Times New Roman"/>
          <w:sz w:val="24"/>
          <w:szCs w:val="24"/>
          <w:highlight w:val="none"/>
          <w:lang w:val="en-US" w:eastAsia="zh-CN"/>
        </w:rPr>
        <w:t>堆土高度</w:t>
      </w:r>
      <w:r>
        <w:rPr>
          <w:rFonts w:hint="eastAsia" w:eastAsia="仿宋_GB2312" w:cs="Times New Roman"/>
          <w:sz w:val="24"/>
          <w:szCs w:val="24"/>
          <w:highlight w:val="none"/>
          <w:lang w:val="en-US" w:eastAsia="zh-CN"/>
        </w:rPr>
        <w:t>4</w:t>
      </w:r>
      <w:r>
        <w:rPr>
          <w:rFonts w:hint="default" w:ascii="Times New Roman" w:hAnsi="Times New Roman" w:eastAsia="仿宋_GB2312" w:cs="Times New Roman"/>
          <w:sz w:val="24"/>
          <w:szCs w:val="24"/>
          <w:highlight w:val="none"/>
          <w:lang w:val="en-US" w:eastAsia="zh-CN"/>
        </w:rPr>
        <w:t>m，</w:t>
      </w:r>
      <w:r>
        <w:rPr>
          <w:rFonts w:hint="default" w:ascii="Times New Roman" w:hAnsi="Times New Roman" w:eastAsia="仿宋_GB2312" w:cs="Times New Roman"/>
          <w:sz w:val="24"/>
          <w:szCs w:val="24"/>
          <w:highlight w:val="none"/>
        </w:rPr>
        <w:t>堆土边坡1：1.5，设计容积约</w:t>
      </w:r>
      <w:r>
        <w:rPr>
          <w:rFonts w:hint="eastAsia" w:eastAsia="仿宋_GB2312" w:cs="Times New Roman"/>
          <w:sz w:val="24"/>
          <w:szCs w:val="24"/>
          <w:highlight w:val="none"/>
          <w:lang w:val="en-US" w:eastAsia="zh-CN"/>
        </w:rPr>
        <w:t>0.70</w:t>
      </w:r>
      <w:r>
        <w:rPr>
          <w:rFonts w:hint="default" w:ascii="Times New Roman" w:hAnsi="Times New Roman" w:eastAsia="仿宋_GB2312" w:cs="Times New Roman"/>
          <w:sz w:val="24"/>
          <w:szCs w:val="24"/>
          <w:highlight w:val="none"/>
        </w:rPr>
        <w:t>万m³</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lang w:val="en-US" w:eastAsia="zh-CN"/>
        </w:rPr>
        <w:t>实际堆土量</w:t>
      </w:r>
      <w:r>
        <w:rPr>
          <w:rFonts w:hint="eastAsia" w:eastAsia="仿宋_GB2312" w:cs="Times New Roman"/>
          <w:sz w:val="24"/>
          <w:szCs w:val="24"/>
          <w:highlight w:val="none"/>
          <w:lang w:val="en-US" w:eastAsia="zh-CN"/>
        </w:rPr>
        <w:t>0.69</w:t>
      </w:r>
      <w:r>
        <w:rPr>
          <w:rFonts w:hint="default" w:ascii="Times New Roman" w:hAnsi="Times New Roman" w:eastAsia="仿宋_GB2312" w:cs="Times New Roman"/>
          <w:sz w:val="24"/>
          <w:szCs w:val="24"/>
          <w:highlight w:val="none"/>
        </w:rPr>
        <w:t>万m³</w:t>
      </w:r>
      <w:r>
        <w:rPr>
          <w:rFonts w:hint="eastAsia"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管线施工时开挖的土石方临时堆存在管沟一侧，即挖即填，减少了土方倒运。</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rPr>
          <w:rFonts w:hint="eastAsia" w:eastAsia="仿宋_GB2312"/>
          <w:lang w:val="en-US" w:eastAsia="zh-CN"/>
        </w:rPr>
      </w:pPr>
      <w:r>
        <w:rPr>
          <w:rFonts w:hint="default" w:ascii="Times New Roman" w:hAnsi="Times New Roman" w:cs="Times New Roman"/>
          <w:sz w:val="24"/>
        </w:rPr>
        <mc:AlternateContent>
          <mc:Choice Requires="wps">
            <w:drawing>
              <wp:anchor distT="0" distB="0" distL="114300" distR="114300" simplePos="0" relativeHeight="251685888" behindDoc="0" locked="0" layoutInCell="1" allowOverlap="1">
                <wp:simplePos x="0" y="0"/>
                <wp:positionH relativeFrom="column">
                  <wp:posOffset>1950720</wp:posOffset>
                </wp:positionH>
                <wp:positionV relativeFrom="paragraph">
                  <wp:posOffset>1970405</wp:posOffset>
                </wp:positionV>
                <wp:extent cx="884555" cy="314325"/>
                <wp:effectExtent l="5080" t="4445" r="5715" b="81280"/>
                <wp:wrapNone/>
                <wp:docPr id="15" name="自选图形 877"/>
                <wp:cNvGraphicFramePr/>
                <a:graphic xmlns:a="http://schemas.openxmlformats.org/drawingml/2006/main">
                  <a:graphicData uri="http://schemas.microsoft.com/office/word/2010/wordprocessingShape">
                    <wps:wsp>
                      <wps:cNvSpPr/>
                      <wps:spPr>
                        <a:xfrm>
                          <a:off x="0" y="0"/>
                          <a:ext cx="884555" cy="314325"/>
                        </a:xfrm>
                        <a:prstGeom prst="wedgeRectCallout">
                          <a:avLst>
                            <a:gd name="adj1" fmla="val -43750"/>
                            <a:gd name="adj2" fmla="val 70000"/>
                          </a:avLst>
                        </a:prstGeom>
                        <a:solidFill>
                          <a:schemeClr val="bg1"/>
                        </a:solidFill>
                        <a:ln w="9525" cap="flat" cmpd="sng">
                          <a:solidFill>
                            <a:srgbClr val="FF0000"/>
                          </a:solidFill>
                          <a:prstDash val="solid"/>
                          <a:miter/>
                          <a:headEnd type="none" w="med" len="med"/>
                          <a:tailEnd type="none" w="med" len="med"/>
                        </a:ln>
                      </wps:spPr>
                      <wps:txbx>
                        <w:txbxContent>
                          <w:p>
                            <w:pPr>
                              <w:rPr>
                                <w:rFonts w:hint="default" w:ascii="Times New Roman" w:hAnsi="Times New Roman" w:eastAsia="仿宋_GB2312" w:cs="Times New Roman"/>
                                <w:color w:val="auto"/>
                                <w:lang w:val="en-US" w:eastAsia="zh-CN"/>
                              </w:rPr>
                            </w:pPr>
                            <w:r>
                              <w:rPr>
                                <w:rFonts w:hint="eastAsia" w:eastAsia="仿宋_GB2312" w:cs="Times New Roman"/>
                                <w:color w:val="auto"/>
                                <w:lang w:val="en-US" w:eastAsia="zh-CN"/>
                              </w:rPr>
                              <w:t>临时堆土区</w:t>
                            </w:r>
                          </w:p>
                        </w:txbxContent>
                      </wps:txbx>
                      <wps:bodyPr vert="horz" wrap="square" anchor="t" anchorCtr="0" upright="1"/>
                    </wps:wsp>
                  </a:graphicData>
                </a:graphic>
              </wp:anchor>
            </w:drawing>
          </mc:Choice>
          <mc:Fallback>
            <w:pict>
              <v:shape id="自选图形 877" o:spid="_x0000_s1026" o:spt="61" type="#_x0000_t61" style="position:absolute;left:0pt;margin-left:153.6pt;margin-top:155.15pt;height:24.75pt;width:69.65pt;z-index:251685888;mso-width-relative:page;mso-height-relative:page;" fillcolor="#FFFFFF [3212]" filled="t" stroked="t" coordsize="21600,21600" o:gfxdata="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yAI3dgA&#10;AAALAQAADwAAAAAAAAABACAAAAAiAAAAZHJzL2Rvd25yZXYueG1sUEsBAhQAFAAAAAgAh07iQAfn&#10;MQlYAgAAwgQAAA4AAAAAAAAAAQAgAAAAJwEAAGRycy9lMm9Eb2MueG1sUEsFBgAAAAAGAAYAWQEA&#10;APEFAAAAAA==&#10;" adj="1350,25920">
                <v:fill on="t" focussize="0,0"/>
                <v:stroke color="#FF0000" joinstyle="miter"/>
                <v:imagedata o:title=""/>
                <o:lock v:ext="edit" aspectratio="f"/>
                <v:textbox>
                  <w:txbxContent>
                    <w:p>
                      <w:pPr>
                        <w:rPr>
                          <w:rFonts w:hint="default" w:ascii="Times New Roman" w:hAnsi="Times New Roman" w:eastAsia="仿宋_GB2312" w:cs="Times New Roman"/>
                          <w:color w:val="auto"/>
                          <w:lang w:val="en-US" w:eastAsia="zh-CN"/>
                        </w:rPr>
                      </w:pPr>
                      <w:r>
                        <w:rPr>
                          <w:rFonts w:hint="eastAsia" w:eastAsia="仿宋_GB2312" w:cs="Times New Roman"/>
                          <w:color w:val="auto"/>
                          <w:lang w:val="en-US" w:eastAsia="zh-CN"/>
                        </w:rPr>
                        <w:t>临时堆土区</w:t>
                      </w:r>
                    </w:p>
                  </w:txbxContent>
                </v:textbox>
              </v:shape>
            </w:pict>
          </mc:Fallback>
        </mc:AlternateContent>
      </w:r>
      <w:r>
        <w:rPr>
          <w:rFonts w:hint="eastAsia" w:eastAsia="仿宋_GB2312"/>
          <w:lang w:val="en-US" w:eastAsia="zh-CN"/>
        </w:rPr>
        <w:drawing>
          <wp:inline distT="0" distB="0" distL="114300" distR="114300">
            <wp:extent cx="5255895" cy="4360545"/>
            <wp:effectExtent l="0" t="0" r="1905" b="1905"/>
            <wp:docPr id="14" name="图片 14" descr="2023.05.23 B地块总平面图(规划)_t3 B地块总平面图 (1)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2023.05.23 B地块总平面图(规划)_t3 B地块总平面图 (1)_00"/>
                    <pic:cNvPicPr>
                      <a:picLocks noChangeAspect="1"/>
                    </pic:cNvPicPr>
                  </pic:nvPicPr>
                  <pic:blipFill>
                    <a:blip r:embed="rId48"/>
                    <a:srcRect l="7728" r="7048"/>
                    <a:stretch>
                      <a:fillRect/>
                    </a:stretch>
                  </pic:blipFill>
                  <pic:spPr>
                    <a:xfrm>
                      <a:off x="0" y="0"/>
                      <a:ext cx="5255895" cy="436054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微软雅黑" w:cs="Times New Roman"/>
          <w:b w:val="0"/>
          <w:bCs w:val="0"/>
          <w:spacing w:val="-8"/>
          <w:sz w:val="21"/>
          <w:szCs w:val="21"/>
          <w:lang w:val="en-US" w:eastAsia="zh-CN"/>
        </w:rPr>
      </w:pPr>
      <w:r>
        <w:rPr>
          <w:rFonts w:hint="eastAsia" w:ascii="Times New Roman" w:hAnsi="Times New Roman" w:eastAsia="微软雅黑" w:cs="Times New Roman"/>
          <w:b w:val="0"/>
          <w:bCs w:val="0"/>
          <w:spacing w:val="-8"/>
          <w:sz w:val="21"/>
          <w:szCs w:val="21"/>
          <w:lang w:val="en-US" w:eastAsia="zh-CN"/>
        </w:rPr>
        <w:t>图2-</w:t>
      </w:r>
      <w:r>
        <w:rPr>
          <w:rFonts w:hint="eastAsia" w:eastAsia="微软雅黑" w:cs="Times New Roman"/>
          <w:b w:val="0"/>
          <w:bCs w:val="0"/>
          <w:spacing w:val="-8"/>
          <w:sz w:val="21"/>
          <w:szCs w:val="21"/>
          <w:lang w:val="en-US" w:eastAsia="zh-CN"/>
        </w:rPr>
        <w:t>4</w:t>
      </w:r>
      <w:r>
        <w:rPr>
          <w:rFonts w:hint="eastAsia" w:ascii="Times New Roman" w:hAnsi="Times New Roman" w:eastAsia="微软雅黑" w:cs="Times New Roman"/>
          <w:b w:val="0"/>
          <w:bCs w:val="0"/>
          <w:spacing w:val="-8"/>
          <w:sz w:val="21"/>
          <w:szCs w:val="21"/>
          <w:lang w:val="en-US" w:eastAsia="zh-CN"/>
        </w:rPr>
        <w:t xml:space="preserve">  </w:t>
      </w:r>
      <w:r>
        <w:rPr>
          <w:rFonts w:hint="eastAsia" w:eastAsia="微软雅黑" w:cs="Times New Roman"/>
          <w:b w:val="0"/>
          <w:bCs w:val="0"/>
          <w:spacing w:val="-8"/>
          <w:sz w:val="21"/>
          <w:szCs w:val="21"/>
          <w:lang w:val="en-US" w:eastAsia="zh-CN"/>
        </w:rPr>
        <w:t>临时堆土区</w:t>
      </w:r>
      <w:r>
        <w:rPr>
          <w:rFonts w:hint="eastAsia" w:ascii="Times New Roman" w:hAnsi="Times New Roman" w:eastAsia="微软雅黑" w:cs="Times New Roman"/>
          <w:b w:val="0"/>
          <w:bCs w:val="0"/>
          <w:spacing w:val="-8"/>
          <w:sz w:val="21"/>
          <w:szCs w:val="21"/>
          <w:lang w:val="en-US" w:eastAsia="zh-CN"/>
        </w:rPr>
        <w:t>位置示意图</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2.2.2施工能力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施工用水：水源引自</w:t>
      </w:r>
      <w:r>
        <w:rPr>
          <w:rFonts w:hint="eastAsia" w:ascii="Times New Roman" w:hAnsi="Times New Roman" w:eastAsia="仿宋_GB2312" w:cs="Times New Roman"/>
          <w:sz w:val="24"/>
          <w:szCs w:val="24"/>
          <w:lang w:val="en-US" w:eastAsia="zh-CN"/>
        </w:rPr>
        <w:t>常德路</w:t>
      </w:r>
      <w:r>
        <w:rPr>
          <w:rFonts w:hint="default" w:ascii="Times New Roman" w:hAnsi="Times New Roman" w:eastAsia="仿宋_GB2312" w:cs="Times New Roman"/>
          <w:sz w:val="24"/>
          <w:szCs w:val="24"/>
          <w:lang w:val="en-US" w:eastAsia="zh-CN"/>
        </w:rPr>
        <w:t>的市政给水管网</w:t>
      </w:r>
      <w:r>
        <w:rPr>
          <w:rFonts w:hint="eastAsia" w:eastAsia="仿宋_GB2312" w:cs="Times New Roman"/>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施工供电：</w:t>
      </w:r>
      <w:r>
        <w:rPr>
          <w:rFonts w:hint="default" w:ascii="Times New Roman" w:hAnsi="Times New Roman" w:eastAsia="仿宋_GB2312" w:cs="Times New Roman"/>
          <w:color w:val="auto"/>
          <w:sz w:val="24"/>
          <w:lang w:eastAsia="zh-CN"/>
        </w:rPr>
        <w:t>本期项目</w:t>
      </w:r>
      <w:r>
        <w:rPr>
          <w:rFonts w:hint="default" w:ascii="Times New Roman" w:hAnsi="Times New Roman" w:eastAsia="仿宋_GB2312" w:cs="Times New Roman"/>
          <w:color w:val="auto"/>
          <w:sz w:val="24"/>
        </w:rPr>
        <w:t>施工用电引自</w:t>
      </w:r>
      <w:r>
        <w:rPr>
          <w:rFonts w:hint="default" w:ascii="Times New Roman" w:hAnsi="Times New Roman" w:eastAsia="仿宋_GB2312" w:cs="Times New Roman"/>
          <w:sz w:val="24"/>
          <w:szCs w:val="24"/>
          <w:lang w:eastAsia="zh-CN"/>
        </w:rPr>
        <w:t>英俊东街</w:t>
      </w:r>
      <w:r>
        <w:rPr>
          <w:rFonts w:hint="default" w:ascii="Times New Roman" w:hAnsi="Times New Roman" w:eastAsia="仿宋_GB2312" w:cs="Times New Roman"/>
          <w:color w:val="auto"/>
          <w:sz w:val="24"/>
        </w:rPr>
        <w:t>10kV电力线路，供电线路由电力部门负责接引，能够满足</w:t>
      </w:r>
      <w:r>
        <w:rPr>
          <w:rFonts w:hint="default" w:ascii="Times New Roman" w:hAnsi="Times New Roman" w:eastAsia="仿宋_GB2312" w:cs="Times New Roman"/>
          <w:color w:val="auto"/>
          <w:sz w:val="24"/>
          <w:lang w:eastAsia="zh-CN"/>
        </w:rPr>
        <w:t>本期项目</w:t>
      </w:r>
      <w:r>
        <w:rPr>
          <w:rFonts w:hint="default" w:ascii="Times New Roman" w:hAnsi="Times New Roman" w:eastAsia="仿宋_GB2312" w:cs="Times New Roman"/>
          <w:color w:val="auto"/>
          <w:sz w:val="24"/>
        </w:rPr>
        <w:t>的用电需求。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施工通讯：</w:t>
      </w:r>
      <w:r>
        <w:rPr>
          <w:rFonts w:hint="default" w:ascii="Times New Roman" w:hAnsi="Times New Roman" w:eastAsia="仿宋_GB2312" w:cs="Times New Roman"/>
          <w:color w:val="auto"/>
          <w:sz w:val="24"/>
          <w:lang w:eastAsia="zh-CN"/>
        </w:rPr>
        <w:t>本期项目</w:t>
      </w:r>
      <w:r>
        <w:rPr>
          <w:rFonts w:hint="default" w:ascii="Times New Roman" w:hAnsi="Times New Roman" w:eastAsia="仿宋_GB2312" w:cs="Times New Roman"/>
          <w:sz w:val="24"/>
          <w:szCs w:val="24"/>
          <w:lang w:val="en-US" w:eastAsia="zh-CN"/>
        </w:rPr>
        <w:t>可利用移动电话进行施工通讯，中国移动、中国联通等网络已覆盖，无线通讯条件较好。</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2.2.3施工材料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所需的砂砾、石料、水泥、钢筋、商砼、苗木等材料均由当地购买，长春市二道区建筑材料齐全，完全满足</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所需。购入的材料在开采过程中破坏水土资源，造成水土流失，在材料购买合同中明确水土流失防治责任由供应商方负责，不纳入本方案的防治责任范围。</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2.2.4取土（石、料）场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lang w:val="en-US" w:eastAsia="zh-CN"/>
        </w:rPr>
      </w:pPr>
      <w:r>
        <w:rPr>
          <w:rFonts w:hint="default" w:ascii="Times New Roman" w:hAnsi="Times New Roman" w:eastAsia="仿宋_GB2312" w:cs="Times New Roman"/>
          <w:color w:val="auto"/>
          <w:sz w:val="24"/>
          <w:szCs w:val="24"/>
          <w:lang w:val="en-US" w:eastAsia="zh-CN"/>
        </w:rPr>
        <w:t>本期项目不设置取土（石、砂）场。</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2.2.5弃土（石、料）场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lang w:val="en-US" w:eastAsia="zh-CN"/>
        </w:rPr>
      </w:pPr>
      <w:r>
        <w:rPr>
          <w:rFonts w:hint="default" w:ascii="Times New Roman" w:hAnsi="Times New Roman" w:eastAsia="仿宋_GB2312" w:cs="Times New Roman"/>
          <w:color w:val="auto"/>
          <w:sz w:val="24"/>
          <w:szCs w:val="24"/>
          <w:lang w:val="en-US" w:eastAsia="zh-CN"/>
        </w:rPr>
        <w:t>本期项目布设弃土</w:t>
      </w:r>
      <w:r>
        <w:rPr>
          <w:rFonts w:hint="default" w:ascii="Times New Roman" w:hAnsi="Times New Roman" w:eastAsia="仿宋_GB2312" w:cs="Times New Roman"/>
          <w:color w:val="auto"/>
          <w:sz w:val="24"/>
          <w:szCs w:val="24"/>
          <w:lang w:eastAsia="zh-CN"/>
        </w:rPr>
        <w:t>（石、料）场</w:t>
      </w:r>
      <w:r>
        <w:rPr>
          <w:rFonts w:hint="default" w:ascii="Times New Roman" w:hAnsi="Times New Roman" w:eastAsia="仿宋_GB2312" w:cs="Times New Roman"/>
          <w:color w:val="auto"/>
          <w:sz w:val="24"/>
          <w:szCs w:val="24"/>
          <w:lang w:val="en-US" w:eastAsia="zh-CN"/>
        </w:rPr>
        <w:t>。</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2.2.6施工方法与工艺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根据该项目工程建设的特点，工程施工划分为基础土方开挖及回填、场地平整、建筑工程、道路工程（包括配套管网、管线工程）、绿化工程以及部分临时工程。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1）</w:t>
      </w:r>
      <w:r>
        <w:rPr>
          <w:rFonts w:hint="default" w:ascii="Times New Roman" w:hAnsi="Times New Roman" w:eastAsia="仿宋_GB2312" w:cs="Times New Roman"/>
          <w:sz w:val="24"/>
          <w:szCs w:val="24"/>
        </w:rPr>
        <w:t>场地平整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场地平整采用推土机推土、摊平，挖掘机装土、自卸汽车运土，碾压机碾压，边缘压实不足之处，辅以人工和电动冲压夯夯实。分段回填时，各段设立标志，以防漏压，欠压，同时也不宜过压。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采用机械压实时，相邻两个工作面碾迹的搭接宽度，平行堤轴线方向应不小于0.5m</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垂直堤轴线方向宜为3-5m。对机械碾压不到的死角，辅以夯具进行夯实。</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对砂砾料压实的洒水量，宜为其回填方量的20%-40%，中细砂压实时的洒水量，按其最优含水量控制。压实的机械，用履带式拖拉机或振动碾。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土料的铺料与压实工序连续进行，以防止土料被晒干，影响填土质量。对表面已风干的土层，作洒水湿润处理。对于间隔时间较长的回填层，在填新土前在表层刨毛或清除处理。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2）建筑物基础开挖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建构筑物基础主要施工流程如下：插打钢护筒→钻孔→清孔→钢筋笼制作及安装→砼灌注。插打钢筋筒壁厚12mm，根据各墩不同地质情况决定护筒长度，钻孔过程正循环回转站进行施工，砼要垂直灌入桩孔内，并应连续分层浇筑，每层厚度不超过1.5mm。桩基础之间采用地梁连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3）建筑物基础回填</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当填土部位建筑物混凝土强度达到50%~70%强度后才可进行回填作业；填土前必须用钢丝刷等工具将建筑物表面的乳皮、粉尘及油污等物清除干净；在开始回填时，必须将建筑物表面洒水湿润，并边涂刷浓泥浆、边铺土、边夯实，泥浆涂刷高度必须与铺土厚度一致，并与下部涂层衔接，严禁泥浆干涸后再铺土和夯实；填土用的压实机具宜为小型夯具，做到贴边夯实，不得采用大型碾压机械，对刚性建筑物产生破坏；建筑物两侧的填土应均衡上升。一般情况下，不要在雨季、雨天回填。</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4）管沟开挖施工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管线开挖的施工顺序为：放线→土方开挖→沟底平整→管线吊装→回填土方。按照设计尺寸由挖掘机进行基坑及管线开挖；管线开挖产生的土方临时堆置在管线一侧，管线吊装结束后立即回填。管线开挖离底部20cm深度时，采用人工清理修整；管线开挖完成后，采用人工配合起重设备进行吊装；管线吊装完成后，进行管线检修，合格后，进行土方回填；管线开挖土方全部回填压实。管线等工程施工结束后进行场地平整，场地平整严格按照设计高程进行施工，平整方式主要以机械压实为主，机械不易施工处采用人工打夯压实为辅，平整结束后进行高程测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5）道路及硬化施工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建构筑物工程、管线工程施工结束后进行道路及硬化区域的沥青混凝土铺筑，铺装过程严格按照设计高程及尺寸施工。道路硬化区域施工的程序一般为：放线、清理、平整、压实、修防护工程、铺面层等。施工前，施工单位应根据工程特点、气象条件，严格按照水土保持方案要求，确定最佳施工工序和施工方法；施工时，土石方的挖填采用机械和人工相结合的方法，道路施工应分片、分段进行施工，不宜全面铺开。地基表层进行碾压时，要求基底压实度（重型）不小于90%。在施工过程中对土方调配平衡坚持前期后期紧密配合，杜绝重复填挖，土方运输避免散落，注意保护挖、填方边坡稳定。路基土方采用机械挖土、汽车运输、机械碾压方法施工，且必须分层碾压，严格控制最佳含水量，达到要求的压实度。机械不易施工处采用人工打夯压实为辅，平整、压实结束后进行高程测量。景观工程硬化施工工艺主要为基层清理，铺垫砂浆，弹控制线，铺砖，修整，嵌缝等环节。铺设硬化前将基底地面上的杂物清除干净，高低不平的区域进行平整，并进行夯实，夯实后进行水泥石灰稳定石屑层的施工，然后铺装硬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6）景观绿化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草种：用于该项工程水土保持植物措施的草种必须为一级种，要有“一签、三证”，即要有标签、生产经营许可证、合格证和检疫证。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苗木：用于该项工程水土保持植物措施的苗木必须达到如下要求：根系发达而完整，主根短直，接近根颈一定范围内有较好的侧根和须根，起苗后大根系应无劈裂；苗干粗壮通直，有一定的适合高度，不徒长；主侧枝分布均匀，能构成丰满的树冠，常绿针叶树，下部枝叶不枯落成裸干状，干性强并无潜伏芽的针叶树中央领导枝要有较强优势，顶芽占优势；无病虫害和机械损伤；落叶乔木最小选用胸径1cm以上，常绿乔木最小应选树高1.5m以上苗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在实施植树绿化的区域内，按照设计的株行距，挖好植树坑。栽植时应将树苗扶直、载正；填土时应先填表土、湿土，后填生土、干土，分层踩实。一次性浇透水，在覆一层虚土，以利保墒。</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春季播种需在地面温度回升到15℃以上，土壤墒情较好时进行，夏季播种在透雨后进行。播种采用人工撒播，少量覆土，并镇压。</w:t>
      </w:r>
    </w:p>
    <w:p>
      <w:pPr>
        <w:pStyle w:val="5"/>
        <w:bidi w:val="0"/>
        <w:rPr>
          <w:rFonts w:hint="default" w:ascii="Times New Roman" w:hAnsi="Times New Roman" w:cs="Times New Roman"/>
        </w:rPr>
      </w:pPr>
      <w:bookmarkStart w:id="175" w:name="_Toc30598"/>
      <w:bookmarkStart w:id="176" w:name="_Toc25583"/>
      <w:bookmarkStart w:id="177" w:name="_Toc18591"/>
      <w:r>
        <w:rPr>
          <w:rFonts w:hint="default" w:ascii="Times New Roman" w:hAnsi="Times New Roman" w:cs="Times New Roman"/>
        </w:rPr>
        <w:t>2.3工程占地</w:t>
      </w:r>
      <w:bookmarkEnd w:id="175"/>
      <w:bookmarkEnd w:id="176"/>
      <w:bookmarkEnd w:id="177"/>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bookmarkStart w:id="178" w:name="OLE_LINK7"/>
      <w:r>
        <w:rPr>
          <w:rFonts w:hint="default" w:ascii="Times New Roman" w:hAnsi="Times New Roman" w:eastAsia="仿宋_GB2312" w:cs="Times New Roman"/>
          <w:color w:val="auto"/>
          <w:sz w:val="24"/>
          <w:szCs w:val="24"/>
          <w:lang w:val="en-US" w:eastAsia="zh-CN"/>
        </w:rPr>
        <w:t>长春国际物流经济开发区新兴建材产业园区建设</w:t>
      </w:r>
      <w:r>
        <w:rPr>
          <w:rFonts w:hint="default" w:ascii="Times New Roman" w:hAnsi="Times New Roman" w:eastAsia="仿宋_GB2312" w:cs="Times New Roman"/>
          <w:color w:val="auto"/>
          <w:sz w:val="24"/>
          <w:szCs w:val="24"/>
          <w:lang w:eastAsia="zh-CN"/>
        </w:rPr>
        <w:t>项目</w:t>
      </w:r>
      <w:r>
        <w:rPr>
          <w:rFonts w:hint="eastAsia" w:eastAsia="仿宋_GB2312" w:cs="Times New Roman"/>
          <w:sz w:val="24"/>
          <w:szCs w:val="24"/>
          <w:highlight w:val="none"/>
          <w:lang w:val="en-US" w:eastAsia="zh-CN"/>
        </w:rPr>
        <w:t>B地块</w:t>
      </w:r>
      <w:r>
        <w:rPr>
          <w:rFonts w:hint="default" w:ascii="Times New Roman" w:hAnsi="Times New Roman" w:eastAsia="仿宋_GB2312" w:cs="Times New Roman"/>
          <w:sz w:val="24"/>
          <w:szCs w:val="24"/>
          <w:highlight w:val="none"/>
          <w:lang w:val="en-US" w:eastAsia="zh-CN"/>
        </w:rPr>
        <w:t>占地面积为</w:t>
      </w:r>
      <w:r>
        <w:rPr>
          <w:rFonts w:hint="eastAsia" w:eastAsia="仿宋_GB2312" w:cs="Times New Roman"/>
          <w:sz w:val="24"/>
          <w:szCs w:val="24"/>
          <w:highlight w:val="none"/>
          <w:lang w:val="en-US" w:eastAsia="zh-CN"/>
        </w:rPr>
        <w:t>19.98</w:t>
      </w:r>
      <w:r>
        <w:rPr>
          <w:rFonts w:hint="default" w:ascii="Times New Roman" w:hAnsi="Times New Roman" w:eastAsia="仿宋_GB2312" w:cs="Times New Roman"/>
          <w:sz w:val="24"/>
          <w:szCs w:val="24"/>
          <w:highlight w:val="none"/>
        </w:rPr>
        <w:t>hm²</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rPr>
        <w:t>占地类型为</w:t>
      </w:r>
      <w:r>
        <w:rPr>
          <w:rFonts w:hint="default" w:ascii="Times New Roman" w:hAnsi="Times New Roman" w:eastAsia="仿宋_GB2312" w:cs="Times New Roman"/>
          <w:sz w:val="24"/>
          <w:szCs w:val="24"/>
          <w:lang w:eastAsia="zh-CN"/>
        </w:rPr>
        <w:t>工矿及仓储用地</w:t>
      </w:r>
      <w:r>
        <w:rPr>
          <w:rFonts w:hint="default" w:ascii="Times New Roman" w:hAnsi="Times New Roman" w:eastAsia="仿宋_GB2312" w:cs="Times New Roman"/>
          <w:sz w:val="24"/>
          <w:szCs w:val="24"/>
        </w:rPr>
        <w:t>。工程占地详细情况见表2-4。</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微软雅黑" w:cs="Times New Roman"/>
          <w:b w:val="0"/>
          <w:bCs w:val="0"/>
          <w:spacing w:val="-8"/>
          <w:sz w:val="21"/>
          <w:szCs w:val="21"/>
          <w:lang w:val="en-US" w:eastAsia="zh-CN"/>
        </w:rPr>
      </w:pPr>
      <w:r>
        <w:rPr>
          <w:rFonts w:hint="default" w:ascii="Times New Roman" w:hAnsi="Times New Roman" w:eastAsia="微软雅黑" w:cs="Times New Roman"/>
          <w:b w:val="0"/>
          <w:bCs w:val="0"/>
          <w:spacing w:val="-8"/>
          <w:sz w:val="21"/>
          <w:szCs w:val="21"/>
          <w:lang w:val="en-US" w:eastAsia="zh-CN"/>
        </w:rPr>
        <w:t>表2-</w:t>
      </w:r>
      <w:bookmarkEnd w:id="178"/>
      <w:bookmarkStart w:id="179" w:name="_Toc482"/>
      <w:bookmarkStart w:id="180" w:name="_Toc7747"/>
      <w:r>
        <w:rPr>
          <w:rFonts w:hint="default" w:ascii="Times New Roman" w:hAnsi="Times New Roman" w:eastAsia="微软雅黑" w:cs="Times New Roman"/>
          <w:b w:val="0"/>
          <w:bCs w:val="0"/>
          <w:spacing w:val="-8"/>
          <w:sz w:val="21"/>
          <w:szCs w:val="21"/>
          <w:lang w:val="en-US" w:eastAsia="zh-CN"/>
        </w:rPr>
        <w:t>4  项目占地类型和占地性质</w:t>
      </w:r>
    </w:p>
    <w:tbl>
      <w:tblPr>
        <w:tblStyle w:val="88"/>
        <w:tblW w:w="5086"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1852"/>
        <w:gridCol w:w="1321"/>
        <w:gridCol w:w="1551"/>
        <w:gridCol w:w="1484"/>
        <w:gridCol w:w="2375"/>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79" w:type="pct"/>
            <w:vMerge w:val="restart"/>
            <w:noWrap w:val="0"/>
            <w:tcMar>
              <w:top w:w="0" w:type="dxa"/>
              <w:left w:w="0" w:type="dxa"/>
              <w:bottom w:w="0" w:type="dxa"/>
              <w:right w:w="0" w:type="dxa"/>
            </w:tcMar>
            <w:vAlign w:val="center"/>
          </w:tcPr>
          <w:p>
            <w:pPr>
              <w:pageBreakBefore w:val="0"/>
              <w:kinsoku/>
              <w:wordWrap/>
              <w:bidi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项目组成</w:t>
            </w:r>
          </w:p>
        </w:tc>
        <w:tc>
          <w:tcPr>
            <w:tcW w:w="769" w:type="pct"/>
            <w:vMerge w:val="restart"/>
            <w:noWrap w:val="0"/>
            <w:tcMar>
              <w:top w:w="0" w:type="dxa"/>
              <w:left w:w="0" w:type="dxa"/>
              <w:bottom w:w="0" w:type="dxa"/>
              <w:right w:w="0" w:type="dxa"/>
            </w:tcMar>
            <w:vAlign w:val="center"/>
          </w:tcPr>
          <w:p>
            <w:pPr>
              <w:pageBreakBefore w:val="0"/>
              <w:kinsoku/>
              <w:wordWrap/>
              <w:bidi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占地面积</w:t>
            </w:r>
          </w:p>
          <w:p>
            <w:pPr>
              <w:pageBreakBefore w:val="0"/>
              <w:kinsoku/>
              <w:wordWrap/>
              <w:bidi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w:t>
            </w:r>
            <w:r>
              <w:rPr>
                <w:rFonts w:hint="default" w:ascii="Times New Roman" w:hAnsi="Times New Roman" w:eastAsia="仿宋_GB2312" w:cs="Times New Roman"/>
                <w:kern w:val="0"/>
                <w:sz w:val="21"/>
                <w:szCs w:val="21"/>
                <w:highlight w:val="none"/>
                <w:lang w:eastAsia="zh-CN"/>
              </w:rPr>
              <w:t>hm²</w:t>
            </w:r>
            <w:r>
              <w:rPr>
                <w:rFonts w:hint="default" w:ascii="Times New Roman" w:hAnsi="Times New Roman" w:eastAsia="仿宋_GB2312" w:cs="Times New Roman"/>
                <w:kern w:val="0"/>
                <w:sz w:val="21"/>
                <w:szCs w:val="21"/>
                <w:highlight w:val="none"/>
              </w:rPr>
              <w:t>）</w:t>
            </w:r>
          </w:p>
        </w:tc>
        <w:tc>
          <w:tcPr>
            <w:tcW w:w="1767" w:type="pct"/>
            <w:gridSpan w:val="2"/>
            <w:tcBorders>
              <w:right w:val="single" w:color="auto" w:sz="4" w:space="0"/>
            </w:tcBorders>
            <w:noWrap w:val="0"/>
            <w:tcMar>
              <w:top w:w="0" w:type="dxa"/>
              <w:left w:w="0" w:type="dxa"/>
              <w:bottom w:w="0" w:type="dxa"/>
              <w:right w:w="0" w:type="dxa"/>
            </w:tcMar>
            <w:vAlign w:val="center"/>
          </w:tcPr>
          <w:p>
            <w:pPr>
              <w:pageBreakBefore w:val="0"/>
              <w:kinsoku/>
              <w:wordWrap/>
              <w:bidi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占地性质（</w:t>
            </w:r>
            <w:r>
              <w:rPr>
                <w:rFonts w:hint="default" w:ascii="Times New Roman" w:hAnsi="Times New Roman" w:eastAsia="仿宋_GB2312" w:cs="Times New Roman"/>
                <w:kern w:val="0"/>
                <w:sz w:val="21"/>
                <w:szCs w:val="21"/>
                <w:highlight w:val="none"/>
                <w:lang w:eastAsia="zh-CN"/>
              </w:rPr>
              <w:t>hm²</w:t>
            </w:r>
            <w:r>
              <w:rPr>
                <w:rFonts w:hint="default" w:ascii="Times New Roman" w:hAnsi="Times New Roman" w:eastAsia="仿宋_GB2312" w:cs="Times New Roman"/>
                <w:kern w:val="0"/>
                <w:sz w:val="21"/>
                <w:szCs w:val="21"/>
                <w:highlight w:val="none"/>
              </w:rPr>
              <w:t>）</w:t>
            </w:r>
          </w:p>
        </w:tc>
        <w:tc>
          <w:tcPr>
            <w:tcW w:w="1383" w:type="pct"/>
            <w:tcBorders>
              <w:left w:val="single" w:color="auto" w:sz="4" w:space="0"/>
              <w:right w:val="single" w:color="000000" w:sz="12" w:space="0"/>
            </w:tcBorders>
            <w:noWrap w:val="0"/>
            <w:tcMar>
              <w:top w:w="0" w:type="dxa"/>
              <w:left w:w="0" w:type="dxa"/>
              <w:bottom w:w="0" w:type="dxa"/>
              <w:right w:w="0" w:type="dxa"/>
            </w:tcMar>
            <w:vAlign w:val="center"/>
          </w:tcPr>
          <w:p>
            <w:pPr>
              <w:pageBreakBefore w:val="0"/>
              <w:kinsoku/>
              <w:wordWrap/>
              <w:bidi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占地类型（</w:t>
            </w:r>
            <w:r>
              <w:rPr>
                <w:rFonts w:hint="default" w:ascii="Times New Roman" w:hAnsi="Times New Roman" w:eastAsia="仿宋_GB2312" w:cs="Times New Roman"/>
                <w:kern w:val="0"/>
                <w:sz w:val="21"/>
                <w:szCs w:val="21"/>
                <w:highlight w:val="none"/>
                <w:lang w:eastAsia="zh-CN"/>
              </w:rPr>
              <w:t>hm²</w:t>
            </w:r>
            <w:r>
              <w:rPr>
                <w:rFonts w:hint="default" w:ascii="Times New Roman" w:hAnsi="Times New Roman" w:eastAsia="仿宋_GB2312" w:cs="Times New Roman"/>
                <w:kern w:val="0"/>
                <w:sz w:val="21"/>
                <w:szCs w:val="21"/>
                <w:highlight w:val="none"/>
              </w:rPr>
              <w:t>）</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79" w:type="pct"/>
            <w:vMerge w:val="continue"/>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rPr>
            </w:pPr>
          </w:p>
        </w:tc>
        <w:tc>
          <w:tcPr>
            <w:tcW w:w="769" w:type="pct"/>
            <w:vMerge w:val="continue"/>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rPr>
            </w:pPr>
          </w:p>
        </w:tc>
        <w:tc>
          <w:tcPr>
            <w:tcW w:w="903" w:type="pct"/>
            <w:tcBorders>
              <w:right w:val="single" w:color="auto" w:sz="4" w:space="0"/>
            </w:tcBorders>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永久征地</w:t>
            </w:r>
          </w:p>
        </w:tc>
        <w:tc>
          <w:tcPr>
            <w:tcW w:w="864" w:type="pct"/>
            <w:tcBorders>
              <w:left w:val="single" w:color="auto" w:sz="4" w:space="0"/>
              <w:right w:val="single" w:color="auto" w:sz="4" w:space="0"/>
            </w:tcBorders>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临时占地</w:t>
            </w:r>
          </w:p>
        </w:tc>
        <w:tc>
          <w:tcPr>
            <w:tcW w:w="1383" w:type="pct"/>
            <w:tcBorders>
              <w:left w:val="single" w:color="auto" w:sz="4" w:space="0"/>
            </w:tcBorders>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kern w:val="0"/>
                <w:sz w:val="21"/>
                <w:szCs w:val="21"/>
                <w:highlight w:val="none"/>
                <w:lang w:val="en-US" w:eastAsia="zh-CN"/>
              </w:rPr>
              <w:t>工矿及仓储用地</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79" w:type="pct"/>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lang w:val="en-US" w:eastAsia="zh-CN"/>
              </w:rPr>
            </w:pPr>
            <w:r>
              <w:rPr>
                <w:rFonts w:hint="eastAsia" w:eastAsia="仿宋_GB2312" w:cs="Times New Roman"/>
                <w:kern w:val="0"/>
                <w:sz w:val="21"/>
                <w:szCs w:val="21"/>
                <w:highlight w:val="none"/>
                <w:lang w:val="en-US" w:eastAsia="zh-CN"/>
              </w:rPr>
              <w:t>生产建设区</w:t>
            </w:r>
          </w:p>
        </w:tc>
        <w:tc>
          <w:tcPr>
            <w:tcW w:w="769" w:type="pct"/>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lang w:eastAsia="zh-CN"/>
              </w:rPr>
            </w:pPr>
            <w:r>
              <w:rPr>
                <w:rFonts w:hint="eastAsia" w:eastAsia="仿宋_GB2312" w:cs="Times New Roman"/>
                <w:kern w:val="0"/>
                <w:sz w:val="21"/>
                <w:szCs w:val="21"/>
                <w:highlight w:val="none"/>
                <w:lang w:eastAsia="zh-CN"/>
              </w:rPr>
              <w:t>19.98</w:t>
            </w:r>
          </w:p>
        </w:tc>
        <w:tc>
          <w:tcPr>
            <w:tcW w:w="903" w:type="pct"/>
            <w:tcBorders>
              <w:right w:val="single" w:color="auto" w:sz="4" w:space="0"/>
            </w:tcBorders>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lang w:eastAsia="zh-CN"/>
              </w:rPr>
            </w:pPr>
            <w:r>
              <w:rPr>
                <w:rFonts w:hint="eastAsia" w:eastAsia="仿宋_GB2312" w:cs="Times New Roman"/>
                <w:kern w:val="0"/>
                <w:sz w:val="21"/>
                <w:szCs w:val="21"/>
                <w:highlight w:val="none"/>
                <w:lang w:eastAsia="zh-CN"/>
              </w:rPr>
              <w:t>19.98</w:t>
            </w:r>
          </w:p>
        </w:tc>
        <w:tc>
          <w:tcPr>
            <w:tcW w:w="864" w:type="pct"/>
            <w:tcBorders>
              <w:left w:val="single" w:color="auto" w:sz="4" w:space="0"/>
              <w:right w:val="single" w:color="auto" w:sz="4" w:space="0"/>
            </w:tcBorders>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w:t>
            </w:r>
          </w:p>
        </w:tc>
        <w:tc>
          <w:tcPr>
            <w:tcW w:w="1383" w:type="pct"/>
            <w:tcBorders>
              <w:left w:val="single" w:color="auto" w:sz="4" w:space="0"/>
            </w:tcBorders>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lang w:eastAsia="zh-CN"/>
              </w:rPr>
            </w:pPr>
            <w:r>
              <w:rPr>
                <w:rFonts w:hint="eastAsia" w:eastAsia="仿宋_GB2312" w:cs="Times New Roman"/>
                <w:kern w:val="0"/>
                <w:sz w:val="21"/>
                <w:szCs w:val="21"/>
                <w:highlight w:val="none"/>
                <w:lang w:eastAsia="zh-CN"/>
              </w:rPr>
              <w:t>19.98</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79" w:type="pct"/>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lang w:val="en-US" w:eastAsia="zh-CN"/>
              </w:rPr>
            </w:pPr>
            <w:bookmarkStart w:id="181" w:name="_Toc18633"/>
            <w:r>
              <w:rPr>
                <w:rFonts w:hint="default" w:ascii="Times New Roman" w:hAnsi="Times New Roman" w:eastAsia="仿宋_GB2312" w:cs="Times New Roman"/>
                <w:kern w:val="0"/>
                <w:sz w:val="21"/>
                <w:szCs w:val="21"/>
                <w:highlight w:val="none"/>
                <w:lang w:val="en-US" w:eastAsia="zh-CN"/>
              </w:rPr>
              <w:t>合计</w:t>
            </w:r>
          </w:p>
        </w:tc>
        <w:tc>
          <w:tcPr>
            <w:tcW w:w="769" w:type="pct"/>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lang w:val="en-US" w:eastAsia="zh-CN"/>
              </w:rPr>
            </w:pPr>
            <w:r>
              <w:rPr>
                <w:rFonts w:hint="eastAsia" w:eastAsia="仿宋_GB2312" w:cs="Times New Roman"/>
                <w:kern w:val="0"/>
                <w:sz w:val="21"/>
                <w:szCs w:val="21"/>
                <w:highlight w:val="none"/>
                <w:lang w:val="en-US" w:eastAsia="zh-CN"/>
              </w:rPr>
              <w:t>19.98</w:t>
            </w:r>
          </w:p>
        </w:tc>
        <w:tc>
          <w:tcPr>
            <w:tcW w:w="903" w:type="pct"/>
            <w:tcBorders>
              <w:right w:val="single" w:color="auto" w:sz="4" w:space="0"/>
            </w:tcBorders>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lang w:eastAsia="zh-CN"/>
              </w:rPr>
            </w:pPr>
            <w:r>
              <w:rPr>
                <w:rFonts w:hint="eastAsia" w:eastAsia="仿宋_GB2312" w:cs="Times New Roman"/>
                <w:kern w:val="0"/>
                <w:sz w:val="21"/>
                <w:szCs w:val="21"/>
                <w:highlight w:val="none"/>
                <w:lang w:val="en-US" w:eastAsia="zh-CN"/>
              </w:rPr>
              <w:t>19.98</w:t>
            </w:r>
          </w:p>
        </w:tc>
        <w:tc>
          <w:tcPr>
            <w:tcW w:w="864" w:type="pct"/>
            <w:tcBorders>
              <w:left w:val="single" w:color="auto" w:sz="4" w:space="0"/>
              <w:right w:val="single" w:color="auto" w:sz="4" w:space="0"/>
            </w:tcBorders>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w:t>
            </w:r>
          </w:p>
        </w:tc>
        <w:tc>
          <w:tcPr>
            <w:tcW w:w="1383" w:type="pct"/>
            <w:tcBorders>
              <w:left w:val="single" w:color="auto" w:sz="4" w:space="0"/>
            </w:tcBorders>
            <w:noWrap w:val="0"/>
            <w:vAlign w:val="center"/>
          </w:tcPr>
          <w:p>
            <w:pPr>
              <w:pageBreakBefore w:val="0"/>
              <w:kinsoku/>
              <w:wordWrap/>
              <w:bidi w:val="0"/>
              <w:jc w:val="center"/>
              <w:rPr>
                <w:rFonts w:hint="default" w:ascii="Times New Roman" w:hAnsi="Times New Roman" w:eastAsia="仿宋_GB2312" w:cs="Times New Roman"/>
                <w:kern w:val="0"/>
                <w:sz w:val="21"/>
                <w:szCs w:val="21"/>
                <w:highlight w:val="none"/>
                <w:lang w:eastAsia="zh-CN"/>
              </w:rPr>
            </w:pPr>
            <w:r>
              <w:rPr>
                <w:rFonts w:hint="eastAsia" w:eastAsia="仿宋_GB2312" w:cs="Times New Roman"/>
                <w:kern w:val="0"/>
                <w:sz w:val="21"/>
                <w:szCs w:val="21"/>
                <w:highlight w:val="none"/>
                <w:lang w:val="en-US" w:eastAsia="zh-CN"/>
              </w:rPr>
              <w:t>19.98</w:t>
            </w:r>
          </w:p>
        </w:tc>
      </w:tr>
    </w:tbl>
    <w:p>
      <w:pPr>
        <w:pStyle w:val="5"/>
        <w:bidi w:val="0"/>
        <w:rPr>
          <w:rFonts w:hint="default" w:ascii="Times New Roman" w:hAnsi="Times New Roman" w:cs="Times New Roman"/>
        </w:rPr>
      </w:pPr>
      <w:r>
        <w:rPr>
          <w:rFonts w:hint="default" w:ascii="Times New Roman" w:hAnsi="Times New Roman" w:cs="Times New Roman"/>
        </w:rPr>
        <w:t>2.4土石方平衡</w:t>
      </w:r>
      <w:bookmarkEnd w:id="179"/>
      <w:bookmarkEnd w:id="180"/>
      <w:bookmarkEnd w:id="181"/>
    </w:p>
    <w:p>
      <w:pPr>
        <w:pStyle w:val="6"/>
        <w:bidi w:val="0"/>
        <w:rPr>
          <w:rFonts w:hint="default" w:ascii="Times New Roman" w:hAnsi="Times New Roman" w:cs="Times New Roman"/>
          <w:lang w:val="en-US" w:eastAsia="zh-CN"/>
        </w:rPr>
      </w:pPr>
      <w:bookmarkStart w:id="182" w:name="_Hlk95984700"/>
      <w:bookmarkStart w:id="183" w:name="OLE_LINK10"/>
      <w:r>
        <w:rPr>
          <w:rFonts w:hint="default" w:ascii="Times New Roman" w:hAnsi="Times New Roman" w:cs="Times New Roman"/>
          <w:lang w:val="en-US" w:eastAsia="zh-CN"/>
        </w:rPr>
        <w:t>2.4.1表土平衡</w:t>
      </w:r>
    </w:p>
    <w:p>
      <w:pPr>
        <w:pStyle w:val="29"/>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color w:val="auto"/>
          <w:sz w:val="24"/>
          <w:szCs w:val="28"/>
          <w:highlight w:val="none"/>
        </w:rPr>
        <w:t>根据</w:t>
      </w:r>
      <w:r>
        <w:rPr>
          <w:rFonts w:hint="default" w:ascii="Times New Roman" w:hAnsi="Times New Roman" w:eastAsia="仿宋_GB2312" w:cs="Times New Roman"/>
          <w:color w:val="auto"/>
          <w:sz w:val="24"/>
          <w:szCs w:val="28"/>
          <w:highlight w:val="none"/>
          <w:lang w:val="en-US" w:eastAsia="zh-CN"/>
        </w:rPr>
        <w:t>项目实际</w:t>
      </w:r>
      <w:r>
        <w:rPr>
          <w:rFonts w:hint="default" w:ascii="Times New Roman" w:hAnsi="Times New Roman" w:eastAsia="仿宋_GB2312" w:cs="Times New Roman"/>
          <w:color w:val="auto"/>
          <w:sz w:val="24"/>
          <w:szCs w:val="28"/>
          <w:highlight w:val="none"/>
        </w:rPr>
        <w:t>，</w:t>
      </w:r>
      <w:r>
        <w:rPr>
          <w:rFonts w:hint="default" w:ascii="Times New Roman" w:hAnsi="Times New Roman" w:eastAsia="仿宋_GB2312" w:cs="Times New Roman"/>
          <w:color w:val="auto"/>
          <w:sz w:val="24"/>
          <w:szCs w:val="28"/>
          <w:highlight w:val="none"/>
          <w:lang w:eastAsia="zh-CN"/>
        </w:rPr>
        <w:t>开发区</w:t>
      </w:r>
      <w:r>
        <w:rPr>
          <w:rFonts w:hint="default" w:ascii="Times New Roman" w:hAnsi="Times New Roman" w:eastAsia="仿宋_GB2312" w:cs="Times New Roman"/>
          <w:color w:val="auto"/>
          <w:sz w:val="24"/>
          <w:szCs w:val="28"/>
          <w:highlight w:val="none"/>
        </w:rPr>
        <w:t>为建设单位提供的土地达到</w:t>
      </w:r>
      <w:r>
        <w:rPr>
          <w:rFonts w:hint="default" w:ascii="Times New Roman" w:hAnsi="Times New Roman" w:eastAsia="仿宋_GB2312" w:cs="Times New Roman"/>
          <w:color w:val="auto"/>
          <w:sz w:val="24"/>
          <w:szCs w:val="28"/>
          <w:highlight w:val="none"/>
          <w:lang w:eastAsia="zh-CN"/>
        </w:rPr>
        <w:t>“</w:t>
      </w:r>
      <w:r>
        <w:rPr>
          <w:rFonts w:hint="default" w:ascii="Times New Roman" w:hAnsi="Times New Roman" w:eastAsia="仿宋_GB2312" w:cs="Times New Roman"/>
          <w:color w:val="auto"/>
          <w:sz w:val="24"/>
          <w:szCs w:val="28"/>
          <w:highlight w:val="none"/>
        </w:rPr>
        <w:t>净地</w:t>
      </w:r>
      <w:r>
        <w:rPr>
          <w:rFonts w:hint="default" w:ascii="Times New Roman" w:hAnsi="Times New Roman" w:eastAsia="仿宋_GB2312" w:cs="Times New Roman"/>
          <w:color w:val="auto"/>
          <w:sz w:val="24"/>
          <w:szCs w:val="28"/>
          <w:highlight w:val="none"/>
          <w:lang w:eastAsia="zh-CN"/>
        </w:rPr>
        <w:t>”</w:t>
      </w:r>
      <w:r>
        <w:rPr>
          <w:rFonts w:hint="default" w:ascii="Times New Roman" w:hAnsi="Times New Roman" w:eastAsia="仿宋_GB2312" w:cs="Times New Roman"/>
          <w:color w:val="auto"/>
          <w:sz w:val="24"/>
          <w:szCs w:val="28"/>
          <w:highlight w:val="none"/>
        </w:rPr>
        <w:t>即达到</w:t>
      </w:r>
      <w:r>
        <w:rPr>
          <w:rFonts w:hint="default" w:ascii="Times New Roman" w:hAnsi="Times New Roman" w:eastAsia="仿宋_GB2312" w:cs="Times New Roman"/>
          <w:color w:val="auto"/>
          <w:sz w:val="24"/>
          <w:szCs w:val="28"/>
          <w:highlight w:val="none"/>
          <w:lang w:eastAsia="zh-CN"/>
        </w:rPr>
        <w:t>“</w:t>
      </w:r>
      <w:r>
        <w:rPr>
          <w:rFonts w:hint="default" w:ascii="Times New Roman" w:hAnsi="Times New Roman" w:eastAsia="仿宋_GB2312" w:cs="Times New Roman"/>
          <w:color w:val="auto"/>
          <w:sz w:val="24"/>
          <w:szCs w:val="28"/>
          <w:highlight w:val="none"/>
        </w:rPr>
        <w:t>七通一平</w:t>
      </w:r>
      <w:r>
        <w:rPr>
          <w:rFonts w:hint="default" w:ascii="Times New Roman" w:hAnsi="Times New Roman" w:eastAsia="仿宋_GB2312" w:cs="Times New Roman"/>
          <w:color w:val="auto"/>
          <w:sz w:val="24"/>
          <w:szCs w:val="28"/>
          <w:highlight w:val="none"/>
          <w:lang w:eastAsia="zh-CN"/>
        </w:rPr>
        <w:t>”</w:t>
      </w:r>
      <w:r>
        <w:rPr>
          <w:rFonts w:hint="default" w:ascii="Times New Roman" w:hAnsi="Times New Roman" w:eastAsia="仿宋_GB2312" w:cs="Times New Roman"/>
          <w:color w:val="auto"/>
          <w:sz w:val="24"/>
          <w:szCs w:val="28"/>
          <w:highlight w:val="none"/>
        </w:rPr>
        <w:t>的要求，所以</w:t>
      </w:r>
      <w:r>
        <w:rPr>
          <w:rFonts w:hint="default" w:ascii="Times New Roman" w:hAnsi="Times New Roman" w:eastAsia="仿宋_GB2312" w:cs="Times New Roman"/>
          <w:color w:val="auto"/>
          <w:sz w:val="24"/>
          <w:szCs w:val="28"/>
          <w:highlight w:val="none"/>
          <w:lang w:eastAsia="zh-CN"/>
        </w:rPr>
        <w:t>本期项目</w:t>
      </w:r>
      <w:r>
        <w:rPr>
          <w:rFonts w:hint="default" w:ascii="Times New Roman" w:hAnsi="Times New Roman" w:eastAsia="仿宋_GB2312" w:cs="Times New Roman"/>
          <w:color w:val="auto"/>
          <w:sz w:val="24"/>
          <w:szCs w:val="28"/>
          <w:highlight w:val="none"/>
        </w:rPr>
        <w:t>表土剥离由开发区负责，运至开发区指定表土堆放场地，不纳入本方案的防治责任范围</w:t>
      </w:r>
      <w:r>
        <w:rPr>
          <w:rFonts w:hint="default" w:ascii="Times New Roman" w:hAnsi="Times New Roman" w:eastAsia="仿宋_GB2312" w:cs="Times New Roman"/>
          <w:color w:val="auto"/>
          <w:sz w:val="24"/>
          <w:szCs w:val="28"/>
          <w:highlight w:val="none"/>
          <w:lang w:eastAsia="zh-CN"/>
        </w:rPr>
        <w:t>。</w:t>
      </w:r>
      <w:r>
        <w:rPr>
          <w:rFonts w:hint="default" w:ascii="Times New Roman" w:hAnsi="Times New Roman" w:eastAsia="仿宋_GB2312" w:cs="Times New Roman"/>
          <w:sz w:val="24"/>
          <w:szCs w:val="24"/>
        </w:rPr>
        <w:t>待建筑物及硬化施工结束后，需对景观绿化区域进行绿化用土回覆，覆土面积</w:t>
      </w:r>
      <w:r>
        <w:rPr>
          <w:rFonts w:hint="eastAsia" w:eastAsia="仿宋_GB2312" w:cs="Times New Roman"/>
          <w:sz w:val="24"/>
          <w:szCs w:val="24"/>
          <w:lang w:val="en-US" w:eastAsia="zh-CN"/>
        </w:rPr>
        <w:t>3.99</w:t>
      </w:r>
      <w:r>
        <w:rPr>
          <w:rFonts w:hint="default" w:ascii="Times New Roman" w:hAnsi="Times New Roman" w:eastAsia="仿宋_GB2312" w:cs="Times New Roman"/>
          <w:sz w:val="24"/>
          <w:szCs w:val="24"/>
        </w:rPr>
        <w:t>hm²，覆土厚度0.</w:t>
      </w: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rPr>
        <w:t>m，覆土量为</w:t>
      </w:r>
      <w:r>
        <w:rPr>
          <w:rFonts w:hint="eastAsia" w:eastAsia="仿宋_GB2312" w:cs="Times New Roman"/>
          <w:sz w:val="24"/>
          <w:szCs w:val="24"/>
          <w:lang w:eastAsia="zh-CN"/>
        </w:rPr>
        <w:t>1.20</w:t>
      </w:r>
      <w:r>
        <w:rPr>
          <w:rFonts w:hint="default" w:ascii="Times New Roman" w:hAnsi="Times New Roman" w:eastAsia="仿宋_GB2312" w:cs="Times New Roman"/>
          <w:sz w:val="24"/>
          <w:szCs w:val="24"/>
        </w:rPr>
        <w:t>万m³，绿化用土由</w:t>
      </w:r>
      <w:r>
        <w:rPr>
          <w:rFonts w:hint="eastAsia" w:eastAsia="仿宋_GB2312" w:cs="Times New Roman"/>
          <w:sz w:val="24"/>
          <w:szCs w:val="24"/>
          <w:lang w:val="en-US" w:eastAsia="zh-CN"/>
        </w:rPr>
        <w:t>绿化公司负责</w:t>
      </w:r>
      <w:r>
        <w:rPr>
          <w:rFonts w:hint="default" w:ascii="Times New Roman" w:hAnsi="Times New Roman" w:eastAsia="仿宋_GB2312" w:cs="Times New Roman"/>
          <w:sz w:val="24"/>
          <w:szCs w:val="24"/>
        </w:rPr>
        <w:t>。</w:t>
      </w:r>
      <w:bookmarkEnd w:id="182"/>
    </w:p>
    <w:p>
      <w:pPr>
        <w:pStyle w:val="6"/>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2.4.2土石方平衡</w:t>
      </w:r>
    </w:p>
    <w:p>
      <w:pPr>
        <w:pStyle w:val="29"/>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_GB2312" w:cs="Times New Roman"/>
          <w:color w:val="auto"/>
          <w:sz w:val="24"/>
          <w:szCs w:val="28"/>
          <w:highlight w:val="none"/>
        </w:rPr>
      </w:pPr>
      <w:r>
        <w:rPr>
          <w:rFonts w:hint="default" w:ascii="Times New Roman" w:hAnsi="Times New Roman" w:eastAsia="仿宋_GB2312" w:cs="Times New Roman"/>
          <w:color w:val="auto"/>
          <w:sz w:val="24"/>
          <w:szCs w:val="28"/>
          <w:highlight w:val="none"/>
          <w:lang w:val="en-US" w:eastAsia="zh-CN"/>
        </w:rPr>
        <w:t>本工程挖填主要为建构筑物基础开挖回填、管线沟槽开挖回填及场地平整。建构筑基础开挖土石方部门用于基础回填，剩余的用于场地平整。管线沟槽开挖土石方部分用于沟槽回填，剩余的用于场地平整。厂区内布设1处回填土堆土区用于堆放基础土石方，占地面积为</w:t>
      </w:r>
      <w:r>
        <w:rPr>
          <w:rFonts w:hint="eastAsia" w:eastAsia="仿宋_GB2312" w:cs="Times New Roman"/>
          <w:color w:val="auto"/>
          <w:sz w:val="24"/>
          <w:szCs w:val="28"/>
          <w:highlight w:val="none"/>
          <w:lang w:val="en-US" w:eastAsia="zh-CN"/>
        </w:rPr>
        <w:t>2281</w:t>
      </w:r>
      <w:r>
        <w:rPr>
          <w:rFonts w:hint="default" w:ascii="Times New Roman" w:hAnsi="Times New Roman" w:eastAsia="仿宋_GB2312" w:cs="Times New Roman"/>
          <w:color w:val="auto"/>
          <w:sz w:val="24"/>
          <w:szCs w:val="28"/>
          <w:highlight w:val="none"/>
          <w:lang w:val="en-US" w:eastAsia="zh-CN"/>
        </w:rPr>
        <w:t>m</w:t>
      </w:r>
      <w:r>
        <w:rPr>
          <w:rFonts w:hint="default" w:ascii="Times New Roman" w:hAnsi="Times New Roman" w:eastAsia="仿宋_GB2312" w:cs="Times New Roman"/>
          <w:color w:val="auto"/>
          <w:sz w:val="24"/>
          <w:szCs w:val="28"/>
          <w:highlight w:val="none"/>
          <w:vertAlign w:val="superscript"/>
          <w:lang w:val="en-US" w:eastAsia="zh-CN"/>
        </w:rPr>
        <w:t>2</w:t>
      </w:r>
      <w:r>
        <w:rPr>
          <w:rFonts w:hint="default" w:ascii="Times New Roman" w:hAnsi="Times New Roman" w:eastAsia="仿宋_GB2312" w:cs="Times New Roman"/>
          <w:color w:val="auto"/>
          <w:sz w:val="24"/>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lang w:eastAsia="zh-CN"/>
        </w:rPr>
        <w:t>本期项目</w:t>
      </w:r>
      <w:r>
        <w:rPr>
          <w:rFonts w:hint="default" w:ascii="Times New Roman" w:hAnsi="Times New Roman" w:eastAsia="仿宋_GB2312" w:cs="Times New Roman"/>
          <w:sz w:val="24"/>
          <w:szCs w:val="24"/>
          <w:highlight w:val="none"/>
        </w:rPr>
        <w:t>土石方总量</w:t>
      </w:r>
      <w:r>
        <w:rPr>
          <w:rFonts w:hint="eastAsia" w:eastAsia="仿宋_GB2312" w:cs="Times New Roman"/>
          <w:sz w:val="24"/>
          <w:szCs w:val="24"/>
          <w:highlight w:val="none"/>
          <w:lang w:val="en-US" w:eastAsia="zh-CN"/>
        </w:rPr>
        <w:t>44.58</w:t>
      </w:r>
      <w:r>
        <w:rPr>
          <w:rFonts w:hint="default" w:ascii="Times New Roman" w:hAnsi="Times New Roman" w:eastAsia="仿宋_GB2312" w:cs="Times New Roman"/>
          <w:sz w:val="24"/>
          <w:szCs w:val="24"/>
          <w:highlight w:val="none"/>
        </w:rPr>
        <w:t>万m³，其中开挖土石方量</w:t>
      </w:r>
      <w:r>
        <w:rPr>
          <w:rFonts w:hint="eastAsia" w:eastAsia="仿宋_GB2312" w:cs="Times New Roman"/>
          <w:sz w:val="24"/>
          <w:szCs w:val="24"/>
          <w:highlight w:val="none"/>
          <w:lang w:val="en-US" w:eastAsia="zh-CN"/>
        </w:rPr>
        <w:t>21.69</w:t>
      </w:r>
      <w:r>
        <w:rPr>
          <w:rFonts w:hint="default" w:ascii="Times New Roman" w:hAnsi="Times New Roman" w:eastAsia="仿宋_GB2312" w:cs="Times New Roman"/>
          <w:sz w:val="24"/>
          <w:szCs w:val="24"/>
          <w:highlight w:val="none"/>
        </w:rPr>
        <w:t>万m³，回填土石方量</w:t>
      </w:r>
      <w:r>
        <w:rPr>
          <w:rFonts w:hint="eastAsia" w:eastAsia="仿宋_GB2312" w:cs="Times New Roman"/>
          <w:sz w:val="24"/>
          <w:szCs w:val="24"/>
          <w:highlight w:val="none"/>
          <w:lang w:val="en-US" w:eastAsia="zh-CN"/>
        </w:rPr>
        <w:t>22.89</w:t>
      </w:r>
      <w:r>
        <w:rPr>
          <w:rFonts w:hint="default" w:ascii="Times New Roman" w:hAnsi="Times New Roman" w:eastAsia="仿宋_GB2312" w:cs="Times New Roman"/>
          <w:sz w:val="24"/>
          <w:szCs w:val="24"/>
          <w:highlight w:val="none"/>
        </w:rPr>
        <w:t>万m³</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绿化用土回覆</w:t>
      </w:r>
      <w:r>
        <w:rPr>
          <w:rFonts w:hint="eastAsia" w:eastAsia="仿宋_GB2312" w:cs="Times New Roman"/>
          <w:sz w:val="24"/>
          <w:szCs w:val="24"/>
          <w:highlight w:val="none"/>
          <w:lang w:eastAsia="zh-CN"/>
        </w:rPr>
        <w:t>1.20</w:t>
      </w:r>
      <w:r>
        <w:rPr>
          <w:rFonts w:hint="default" w:ascii="Times New Roman" w:hAnsi="Times New Roman" w:eastAsia="仿宋_GB2312" w:cs="Times New Roman"/>
          <w:sz w:val="24"/>
          <w:szCs w:val="24"/>
          <w:highlight w:val="none"/>
        </w:rPr>
        <w:t>万m³</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，需外借绿化用土</w:t>
      </w:r>
      <w:r>
        <w:rPr>
          <w:rFonts w:hint="eastAsia" w:eastAsia="仿宋_GB2312" w:cs="Times New Roman"/>
          <w:sz w:val="24"/>
          <w:szCs w:val="24"/>
          <w:highlight w:val="none"/>
          <w:lang w:eastAsia="zh-CN"/>
        </w:rPr>
        <w:t>1.20</w:t>
      </w:r>
      <w:r>
        <w:rPr>
          <w:rFonts w:hint="default" w:ascii="Times New Roman" w:hAnsi="Times New Roman" w:eastAsia="仿宋_GB2312" w:cs="Times New Roman"/>
          <w:sz w:val="24"/>
          <w:szCs w:val="24"/>
          <w:highlight w:val="none"/>
        </w:rPr>
        <w:t>万m³，土方来源</w:t>
      </w:r>
      <w:r>
        <w:rPr>
          <w:rFonts w:hint="eastAsia" w:eastAsia="仿宋_GB2312" w:cs="Times New Roman"/>
          <w:sz w:val="24"/>
          <w:szCs w:val="24"/>
          <w:highlight w:val="none"/>
          <w:lang w:val="en-US" w:eastAsia="zh-CN"/>
        </w:rPr>
        <w:t>由绿化公司负责</w:t>
      </w:r>
      <w:r>
        <w:rPr>
          <w:rFonts w:hint="default" w:ascii="Times New Roman" w:hAnsi="Times New Roman" w:eastAsia="仿宋_GB2312" w:cs="Times New Roman"/>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sz w:val="24"/>
          <w:szCs w:val="24"/>
          <w:highlight w:val="none"/>
        </w:rPr>
      </w:pPr>
      <w:r>
        <w:rPr>
          <w:rFonts w:hint="default" w:ascii="Times New Roman" w:hAnsi="Times New Roman" w:eastAsia="仿宋_GB2312" w:cs="Times New Roman"/>
          <w:sz w:val="24"/>
          <w:szCs w:val="24"/>
          <w:highlight w:val="none"/>
        </w:rPr>
        <w:t>该项工程土石方平衡及土石方流向见表2-5、图2-</w:t>
      </w:r>
      <w:r>
        <w:rPr>
          <w:rFonts w:hint="eastAsia" w:eastAsia="仿宋_GB2312" w:cs="Times New Roman"/>
          <w:sz w:val="24"/>
          <w:szCs w:val="24"/>
          <w:highlight w:val="none"/>
          <w:lang w:val="en-US" w:eastAsia="zh-CN"/>
        </w:rPr>
        <w:t>4</w:t>
      </w:r>
      <w:r>
        <w:rPr>
          <w:rFonts w:hint="default" w:ascii="Times New Roman" w:hAnsi="Times New Roman" w:eastAsia="仿宋_GB2312" w:cs="Times New Roman"/>
          <w:sz w:val="24"/>
          <w:szCs w:val="24"/>
          <w:highlight w:val="none"/>
        </w:rPr>
        <w:t>。</w:t>
      </w:r>
    </w:p>
    <w:p>
      <w:pPr>
        <w:pStyle w:val="153"/>
        <w:keepNext w:val="0"/>
        <w:keepLines w:val="0"/>
        <w:pageBreakBefore w:val="0"/>
        <w:widowControl w:val="0"/>
        <w:kinsoku/>
        <w:wordWrap/>
        <w:overflowPunct/>
        <w:topLinePunct w:val="0"/>
        <w:autoSpaceDE/>
        <w:autoSpaceDN/>
        <w:bidi w:val="0"/>
        <w:adjustRightInd/>
        <w:snapToGrid w:val="0"/>
        <w:spacing w:line="240" w:lineRule="auto"/>
        <w:ind w:firstLine="0"/>
        <w:jc w:val="right"/>
        <w:textAlignment w:val="auto"/>
        <w:rPr>
          <w:rFonts w:hint="default" w:ascii="Times New Roman" w:hAnsi="Times New Roman" w:eastAsia="仿宋" w:cs="Times New Roman"/>
          <w:color w:val="auto"/>
          <w:sz w:val="18"/>
          <w:szCs w:val="18"/>
        </w:rPr>
      </w:pPr>
      <w:r>
        <w:rPr>
          <w:rFonts w:hint="default" w:ascii="Times New Roman" w:hAnsi="Times New Roman" w:eastAsia="微软雅黑" w:cs="Times New Roman"/>
          <w:b w:val="0"/>
          <w:bCs/>
          <w:color w:val="auto"/>
          <w:sz w:val="21"/>
          <w:szCs w:val="21"/>
          <w:lang w:val="en-US" w:eastAsia="zh-CN"/>
        </w:rPr>
        <w:t>表2-5  土石方平很表</w:t>
      </w:r>
      <w:r>
        <w:rPr>
          <w:rFonts w:hint="default" w:ascii="Times New Roman" w:hAnsi="Times New Roman" w:eastAsia="仿宋" w:cs="Times New Roman"/>
          <w:color w:val="auto"/>
          <w:sz w:val="21"/>
          <w:szCs w:val="21"/>
          <w:lang w:val="en-US" w:eastAsia="zh-CN"/>
        </w:rPr>
        <w:t xml:space="preserve">                      </w:t>
      </w:r>
      <w:r>
        <w:rPr>
          <w:rFonts w:hint="default" w:ascii="Times New Roman" w:hAnsi="Times New Roman" w:eastAsia="仿宋" w:cs="Times New Roman"/>
          <w:color w:val="auto"/>
          <w:sz w:val="18"/>
          <w:szCs w:val="18"/>
          <w:lang w:val="en-US" w:eastAsia="zh-CN"/>
        </w:rPr>
        <w:t>单位：</w:t>
      </w:r>
      <w:r>
        <w:rPr>
          <w:rFonts w:hint="default" w:ascii="Times New Roman" w:hAnsi="Times New Roman" w:eastAsia="仿宋" w:cs="Times New Roman"/>
          <w:color w:val="auto"/>
          <w:sz w:val="18"/>
          <w:szCs w:val="18"/>
        </w:rPr>
        <w:t>万m³</w:t>
      </w:r>
    </w:p>
    <w:tbl>
      <w:tblPr>
        <w:tblStyle w:val="88"/>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11"/>
        <w:gridCol w:w="853"/>
        <w:gridCol w:w="716"/>
        <w:gridCol w:w="666"/>
        <w:gridCol w:w="688"/>
        <w:gridCol w:w="1111"/>
        <w:gridCol w:w="650"/>
        <w:gridCol w:w="669"/>
        <w:gridCol w:w="666"/>
        <w:gridCol w:w="654"/>
        <w:gridCol w:w="650"/>
        <w:gridCol w:w="6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5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分区</w:t>
            </w:r>
          </w:p>
        </w:tc>
        <w:tc>
          <w:tcPr>
            <w:tcW w:w="49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分类</w:t>
            </w:r>
          </w:p>
        </w:tc>
        <w:tc>
          <w:tcPr>
            <w:tcW w:w="41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挖方</w:t>
            </w:r>
          </w:p>
        </w:tc>
        <w:tc>
          <w:tcPr>
            <w:tcW w:w="38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填方</w:t>
            </w:r>
          </w:p>
        </w:tc>
        <w:tc>
          <w:tcPr>
            <w:tcW w:w="1043"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调入方</w:t>
            </w:r>
          </w:p>
        </w:tc>
        <w:tc>
          <w:tcPr>
            <w:tcW w:w="765"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调出方</w:t>
            </w:r>
          </w:p>
        </w:tc>
        <w:tc>
          <w:tcPr>
            <w:tcW w:w="765"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外借方</w:t>
            </w:r>
          </w:p>
        </w:tc>
        <w:tc>
          <w:tcPr>
            <w:tcW w:w="774"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55"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495"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415"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38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39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数量</w:t>
            </w:r>
          </w:p>
        </w:tc>
        <w:tc>
          <w:tcPr>
            <w:tcW w:w="6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来源</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数量</w:t>
            </w:r>
          </w:p>
        </w:tc>
        <w:tc>
          <w:tcPr>
            <w:tcW w:w="3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去向</w:t>
            </w:r>
          </w:p>
        </w:tc>
        <w:tc>
          <w:tcPr>
            <w:tcW w:w="3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数量</w:t>
            </w:r>
          </w:p>
        </w:tc>
        <w:tc>
          <w:tcPr>
            <w:tcW w:w="3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来源</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数量</w:t>
            </w:r>
          </w:p>
        </w:tc>
        <w:tc>
          <w:tcPr>
            <w:tcW w:w="3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去向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55"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工程建设区</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土石方</w:t>
            </w:r>
          </w:p>
        </w:tc>
        <w:tc>
          <w:tcPr>
            <w:tcW w:w="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lang w:val="en-US"/>
              </w:rPr>
            </w:pPr>
            <w:r>
              <w:rPr>
                <w:rFonts w:hint="eastAsia" w:eastAsia="仿宋_GB2312" w:cs="Times New Roman"/>
                <w:b w:val="0"/>
                <w:bCs w:val="0"/>
                <w:i w:val="0"/>
                <w:iCs w:val="0"/>
                <w:color w:val="000000"/>
                <w:kern w:val="0"/>
                <w:sz w:val="20"/>
                <w:szCs w:val="20"/>
                <w:u w:val="none"/>
                <w:lang w:val="en-US" w:eastAsia="zh-CN" w:bidi="ar"/>
              </w:rPr>
              <w:t>21.69</w:t>
            </w:r>
          </w:p>
        </w:tc>
        <w:tc>
          <w:tcPr>
            <w:tcW w:w="3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lang w:val="en-US"/>
              </w:rPr>
            </w:pPr>
            <w:r>
              <w:rPr>
                <w:rFonts w:hint="eastAsia" w:eastAsia="仿宋_GB2312" w:cs="Times New Roman"/>
                <w:b w:val="0"/>
                <w:bCs w:val="0"/>
                <w:i w:val="0"/>
                <w:iCs w:val="0"/>
                <w:color w:val="000000"/>
                <w:kern w:val="0"/>
                <w:sz w:val="20"/>
                <w:szCs w:val="20"/>
                <w:u w:val="none"/>
                <w:lang w:val="en-US" w:eastAsia="zh-CN" w:bidi="ar"/>
              </w:rPr>
              <w:t>21.69</w:t>
            </w:r>
          </w:p>
        </w:tc>
        <w:tc>
          <w:tcPr>
            <w:tcW w:w="39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643"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387"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386"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378"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396"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55" w:type="pct"/>
            <w:vMerge w:val="continue"/>
            <w:tcBorders>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表土</w:t>
            </w:r>
          </w:p>
        </w:tc>
        <w:tc>
          <w:tcPr>
            <w:tcW w:w="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lang w:val="en-US"/>
              </w:rPr>
            </w:pPr>
            <w:r>
              <w:rPr>
                <w:rFonts w:hint="eastAsia" w:eastAsia="仿宋_GB2312" w:cs="Times New Roman"/>
                <w:b w:val="0"/>
                <w:bCs w:val="0"/>
                <w:i w:val="0"/>
                <w:iCs w:val="0"/>
                <w:color w:val="000000"/>
                <w:kern w:val="0"/>
                <w:sz w:val="20"/>
                <w:szCs w:val="20"/>
                <w:u w:val="none"/>
                <w:lang w:val="en-US" w:eastAsia="zh-CN" w:bidi="ar"/>
              </w:rPr>
              <w:t>1.20</w:t>
            </w:r>
          </w:p>
        </w:tc>
        <w:tc>
          <w:tcPr>
            <w:tcW w:w="39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lang w:val="en-US" w:eastAsia="zh-CN"/>
              </w:rPr>
            </w:pPr>
            <w:r>
              <w:rPr>
                <w:rFonts w:hint="eastAsia" w:eastAsia="仿宋_GB2312" w:cs="Times New Roman"/>
                <w:b w:val="0"/>
                <w:bCs w:val="0"/>
                <w:i w:val="0"/>
                <w:iCs w:val="0"/>
                <w:color w:val="000000"/>
                <w:sz w:val="20"/>
                <w:szCs w:val="20"/>
                <w:u w:val="none"/>
                <w:lang w:val="en-US" w:eastAsia="zh-CN"/>
              </w:rPr>
              <w:t>1.20</w:t>
            </w:r>
          </w:p>
        </w:tc>
        <w:tc>
          <w:tcPr>
            <w:tcW w:w="643"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lang w:val="en-US"/>
              </w:rPr>
            </w:pPr>
            <w:r>
              <w:rPr>
                <w:rFonts w:hint="eastAsia" w:eastAsia="仿宋" w:cs="Times New Roman"/>
                <w:b w:val="0"/>
                <w:bCs w:val="0"/>
                <w:spacing w:val="3"/>
                <w:sz w:val="20"/>
                <w:szCs w:val="20"/>
                <w:lang w:val="en-US" w:eastAsia="zh-CN"/>
              </w:rPr>
              <w:t>绿化公司</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p>
        </w:tc>
        <w:tc>
          <w:tcPr>
            <w:tcW w:w="3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p>
        </w:tc>
        <w:tc>
          <w:tcPr>
            <w:tcW w:w="386"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378"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396"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85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合计</w:t>
            </w:r>
          </w:p>
        </w:tc>
        <w:tc>
          <w:tcPr>
            <w:tcW w:w="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lang w:val="en-US"/>
              </w:rPr>
            </w:pPr>
            <w:r>
              <w:rPr>
                <w:rFonts w:hint="eastAsia" w:eastAsia="仿宋_GB2312" w:cs="Times New Roman"/>
                <w:b w:val="0"/>
                <w:bCs w:val="0"/>
                <w:i w:val="0"/>
                <w:iCs w:val="0"/>
                <w:color w:val="000000"/>
                <w:kern w:val="0"/>
                <w:sz w:val="20"/>
                <w:szCs w:val="20"/>
                <w:u w:val="none"/>
                <w:lang w:val="en-US" w:eastAsia="zh-CN" w:bidi="ar"/>
              </w:rPr>
              <w:t>21.69</w:t>
            </w:r>
          </w:p>
        </w:tc>
        <w:tc>
          <w:tcPr>
            <w:tcW w:w="3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0"/>
                <w:szCs w:val="20"/>
                <w:u w:val="none"/>
                <w:lang w:val="en-US"/>
              </w:rPr>
            </w:pPr>
            <w:r>
              <w:rPr>
                <w:rFonts w:hint="eastAsia" w:eastAsia="仿宋_GB2312" w:cs="Times New Roman"/>
                <w:b w:val="0"/>
                <w:bCs w:val="0"/>
                <w:i w:val="0"/>
                <w:iCs w:val="0"/>
                <w:color w:val="000000"/>
                <w:kern w:val="0"/>
                <w:sz w:val="20"/>
                <w:szCs w:val="20"/>
                <w:u w:val="none"/>
                <w:lang w:val="en-US" w:eastAsia="zh-CN" w:bidi="ar"/>
              </w:rPr>
              <w:t>22.89</w:t>
            </w:r>
          </w:p>
        </w:tc>
        <w:tc>
          <w:tcPr>
            <w:tcW w:w="39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lang w:val="en-US" w:eastAsia="zh-CN"/>
              </w:rPr>
            </w:pPr>
            <w:r>
              <w:rPr>
                <w:rFonts w:hint="eastAsia" w:eastAsia="仿宋_GB2312" w:cs="Times New Roman"/>
                <w:b w:val="0"/>
                <w:bCs w:val="0"/>
                <w:i w:val="0"/>
                <w:iCs w:val="0"/>
                <w:color w:val="000000"/>
                <w:sz w:val="20"/>
                <w:szCs w:val="20"/>
                <w:u w:val="none"/>
                <w:lang w:val="en-US" w:eastAsia="zh-CN"/>
              </w:rPr>
              <w:t>1.20</w:t>
            </w:r>
          </w:p>
        </w:tc>
        <w:tc>
          <w:tcPr>
            <w:tcW w:w="643"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387"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386"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378"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c>
          <w:tcPr>
            <w:tcW w:w="396"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b w:val="0"/>
                <w:bCs w:val="0"/>
                <w:i w:val="0"/>
                <w:iCs w:val="0"/>
                <w:color w:val="000000"/>
                <w:sz w:val="20"/>
                <w:szCs w:val="20"/>
                <w:u w:val="none"/>
              </w:rPr>
            </w:pPr>
          </w:p>
        </w:tc>
      </w:tr>
    </w:tbl>
    <w:p>
      <w:pPr>
        <w:pageBreakBefore w:val="0"/>
        <w:kinsoku/>
        <w:wordWrap/>
        <w:bidi w:val="0"/>
        <w:jc w:val="center"/>
        <w:rPr>
          <w:rFonts w:hint="default" w:ascii="Times New Roman" w:hAnsi="Times New Roman" w:eastAsia="微软雅黑" w:cs="Times New Roman"/>
          <w:b w:val="0"/>
          <w:bCs/>
          <w:color w:val="auto"/>
          <w:kern w:val="2"/>
          <w:sz w:val="21"/>
          <w:szCs w:val="21"/>
          <w:lang w:val="en-US" w:eastAsia="zh-CN" w:bidi="ar-SA"/>
        </w:rPr>
      </w:pPr>
      <w:r>
        <w:rPr>
          <w:rFonts w:hint="default" w:ascii="Times New Roman" w:hAnsi="Times New Roman" w:eastAsia="微软雅黑" w:cs="Times New Roman"/>
          <w:b w:val="0"/>
          <w:bCs/>
          <w:color w:val="auto"/>
          <w:kern w:val="2"/>
          <w:sz w:val="21"/>
          <w:szCs w:val="21"/>
          <w:lang w:val="en-US" w:eastAsia="zh-CN" w:bidi="ar-SA"/>
        </w:rPr>
        <w:drawing>
          <wp:inline distT="0" distB="0" distL="114300" distR="114300">
            <wp:extent cx="5338445" cy="2589530"/>
            <wp:effectExtent l="0" t="0" r="0" b="0"/>
            <wp:docPr id="1" name="图片 1" descr="未命名文件(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未命名文件(4)"/>
                    <pic:cNvPicPr>
                      <a:picLocks noChangeAspect="1"/>
                    </pic:cNvPicPr>
                  </pic:nvPicPr>
                  <pic:blipFill>
                    <a:blip r:embed="rId49"/>
                    <a:stretch>
                      <a:fillRect/>
                    </a:stretch>
                  </pic:blipFill>
                  <pic:spPr>
                    <a:xfrm>
                      <a:off x="0" y="0"/>
                      <a:ext cx="5338445" cy="258953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b w:val="0"/>
          <w:bCs/>
          <w:color w:val="auto"/>
          <w:kern w:val="2"/>
          <w:sz w:val="21"/>
          <w:szCs w:val="21"/>
          <w:lang w:val="en-US" w:eastAsia="zh-CN" w:bidi="ar-SA"/>
        </w:rPr>
      </w:pPr>
      <w:r>
        <w:rPr>
          <w:rFonts w:hint="default" w:ascii="Times New Roman" w:hAnsi="Times New Roman" w:eastAsia="微软雅黑" w:cs="Times New Roman"/>
          <w:b w:val="0"/>
          <w:bCs/>
          <w:color w:val="auto"/>
          <w:kern w:val="2"/>
          <w:sz w:val="21"/>
          <w:szCs w:val="21"/>
          <w:lang w:val="en-US" w:eastAsia="zh-CN" w:bidi="ar-SA"/>
        </w:rPr>
        <w:t>图2-</w:t>
      </w:r>
      <w:r>
        <w:rPr>
          <w:rFonts w:hint="eastAsia" w:ascii="Times New Roman" w:hAnsi="Times New Roman" w:eastAsia="微软雅黑" w:cs="Times New Roman"/>
          <w:b w:val="0"/>
          <w:bCs/>
          <w:color w:val="auto"/>
          <w:kern w:val="2"/>
          <w:sz w:val="21"/>
          <w:szCs w:val="21"/>
          <w:lang w:val="en-US" w:eastAsia="zh-CN" w:bidi="ar-SA"/>
        </w:rPr>
        <w:t>4</w:t>
      </w:r>
      <w:r>
        <w:rPr>
          <w:rFonts w:hint="default" w:ascii="Times New Roman" w:hAnsi="Times New Roman" w:eastAsia="微软雅黑" w:cs="Times New Roman"/>
          <w:b w:val="0"/>
          <w:bCs/>
          <w:color w:val="auto"/>
          <w:kern w:val="2"/>
          <w:sz w:val="21"/>
          <w:szCs w:val="21"/>
          <w:lang w:val="en-US" w:eastAsia="zh-CN" w:bidi="ar-SA"/>
        </w:rPr>
        <w:t xml:space="preserve">  土石方流向图</w:t>
      </w:r>
    </w:p>
    <w:bookmarkEnd w:id="131"/>
    <w:bookmarkEnd w:id="132"/>
    <w:bookmarkEnd w:id="133"/>
    <w:bookmarkEnd w:id="134"/>
    <w:bookmarkEnd w:id="135"/>
    <w:bookmarkEnd w:id="136"/>
    <w:bookmarkEnd w:id="137"/>
    <w:bookmarkEnd w:id="138"/>
    <w:bookmarkEnd w:id="139"/>
    <w:bookmarkEnd w:id="183"/>
    <w:p>
      <w:pPr>
        <w:pStyle w:val="5"/>
        <w:bidi w:val="0"/>
        <w:rPr>
          <w:rFonts w:hint="default" w:ascii="Times New Roman" w:hAnsi="Times New Roman" w:cs="Times New Roman"/>
        </w:rPr>
      </w:pPr>
      <w:bookmarkStart w:id="184" w:name="_Toc2363"/>
      <w:bookmarkStart w:id="185" w:name="_Toc2388"/>
      <w:bookmarkStart w:id="186" w:name="_Toc36799679"/>
      <w:bookmarkStart w:id="187" w:name="_Toc6723"/>
      <w:bookmarkStart w:id="188" w:name="_Toc290366644"/>
      <w:bookmarkStart w:id="189" w:name="_Toc277836146"/>
      <w:r>
        <w:rPr>
          <w:rFonts w:hint="default" w:ascii="Times New Roman" w:hAnsi="Times New Roman" w:cs="Times New Roman"/>
        </w:rPr>
        <w:t>2.5拆迁安置与专项设施改（迁）建</w:t>
      </w:r>
      <w:bookmarkEnd w:id="184"/>
      <w:bookmarkEnd w:id="185"/>
      <w:bookmarkEnd w:id="186"/>
      <w:bookmarkEnd w:id="187"/>
    </w:p>
    <w:p>
      <w:pPr>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bidi w:val="0"/>
        <w:adjustRightInd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eastAsia="zh-CN"/>
        </w:rPr>
        <w:t>本期工程</w:t>
      </w:r>
      <w:r>
        <w:rPr>
          <w:rFonts w:hint="default" w:ascii="Times New Roman" w:hAnsi="Times New Roman" w:eastAsia="仿宋_GB2312" w:cs="Times New Roman"/>
          <w:sz w:val="24"/>
          <w:highlight w:val="none"/>
        </w:rPr>
        <w:t>不涉及拆迁安置及专项设施改（迁）建。</w:t>
      </w:r>
    </w:p>
    <w:p>
      <w:pPr>
        <w:pStyle w:val="5"/>
        <w:bidi w:val="0"/>
        <w:rPr>
          <w:rFonts w:hint="default" w:ascii="Times New Roman" w:hAnsi="Times New Roman" w:cs="Times New Roman"/>
        </w:rPr>
      </w:pPr>
      <w:bookmarkStart w:id="190" w:name="_Toc11721"/>
      <w:bookmarkStart w:id="191" w:name="_Toc15684"/>
      <w:bookmarkStart w:id="192" w:name="_Toc21836"/>
      <w:bookmarkStart w:id="193" w:name="_Toc36799680"/>
      <w:r>
        <w:rPr>
          <w:rFonts w:hint="default" w:ascii="Times New Roman" w:hAnsi="Times New Roman" w:cs="Times New Roman"/>
        </w:rPr>
        <w:t>2.6施工进度</w:t>
      </w:r>
      <w:bookmarkEnd w:id="190"/>
      <w:bookmarkEnd w:id="191"/>
      <w:bookmarkEnd w:id="192"/>
      <w:bookmarkEnd w:id="193"/>
    </w:p>
    <w:p>
      <w:pPr>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bidi w:val="0"/>
        <w:adjustRightInd w:val="0"/>
        <w:spacing w:line="360" w:lineRule="auto"/>
        <w:ind w:firstLine="480" w:firstLineChars="200"/>
        <w:rPr>
          <w:rFonts w:hint="default" w:ascii="Times New Roman" w:hAnsi="Times New Roman" w:eastAsia="仿宋_GB2312" w:cs="Times New Roman"/>
          <w:sz w:val="24"/>
          <w:highlight w:val="none"/>
        </w:rPr>
      </w:pPr>
      <w:bookmarkStart w:id="194" w:name="_Toc36799681"/>
      <w:r>
        <w:rPr>
          <w:rFonts w:hint="default" w:ascii="Times New Roman" w:hAnsi="Times New Roman" w:eastAsia="仿宋_GB2312" w:cs="Times New Roman"/>
          <w:sz w:val="24"/>
          <w:highlight w:val="none"/>
          <w:lang w:eastAsia="zh-CN"/>
        </w:rPr>
        <w:t>本期项目</w:t>
      </w:r>
      <w:r>
        <w:rPr>
          <w:rFonts w:hint="eastAsia" w:eastAsia="仿宋_GB2312" w:cs="Times New Roman"/>
          <w:sz w:val="24"/>
          <w:highlight w:val="none"/>
          <w:lang w:val="en-US" w:eastAsia="zh-CN"/>
        </w:rPr>
        <w:t>计划</w:t>
      </w:r>
      <w:r>
        <w:rPr>
          <w:rFonts w:hint="default" w:ascii="Times New Roman" w:hAnsi="Times New Roman" w:eastAsia="仿宋_GB2312" w:cs="Times New Roman"/>
          <w:sz w:val="24"/>
          <w:highlight w:val="none"/>
        </w:rPr>
        <w:t>于</w:t>
      </w:r>
      <w:r>
        <w:rPr>
          <w:rFonts w:hint="eastAsia" w:eastAsia="仿宋_GB2312" w:cs="Times New Roman"/>
          <w:sz w:val="24"/>
          <w:highlight w:val="none"/>
          <w:lang w:eastAsia="zh-CN"/>
        </w:rPr>
        <w:t>2023年7月</w:t>
      </w:r>
      <w:r>
        <w:rPr>
          <w:rFonts w:hint="default" w:ascii="Times New Roman" w:hAnsi="Times New Roman" w:eastAsia="仿宋_GB2312" w:cs="Times New Roman"/>
          <w:sz w:val="24"/>
          <w:highlight w:val="none"/>
        </w:rPr>
        <w:t>开工，</w:t>
      </w:r>
      <w:r>
        <w:rPr>
          <w:rFonts w:hint="eastAsia" w:eastAsia="仿宋_GB2312" w:cs="Times New Roman"/>
          <w:sz w:val="24"/>
          <w:highlight w:val="none"/>
          <w:lang w:eastAsia="zh-CN"/>
        </w:rPr>
        <w:t>2024年12月</w:t>
      </w:r>
      <w:r>
        <w:rPr>
          <w:rFonts w:hint="default" w:ascii="Times New Roman" w:hAnsi="Times New Roman" w:eastAsia="仿宋_GB2312" w:cs="Times New Roman"/>
          <w:sz w:val="24"/>
          <w:highlight w:val="none"/>
        </w:rPr>
        <w:t>完工，总工期为</w:t>
      </w:r>
      <w:r>
        <w:rPr>
          <w:rFonts w:hint="eastAsia" w:eastAsia="仿宋_GB2312" w:cs="Times New Roman"/>
          <w:sz w:val="24"/>
          <w:highlight w:val="none"/>
          <w:lang w:val="en-US" w:eastAsia="zh-CN"/>
        </w:rPr>
        <w:t>18个</w:t>
      </w:r>
      <w:r>
        <w:rPr>
          <w:rFonts w:hint="default" w:ascii="Times New Roman" w:hAnsi="Times New Roman" w:eastAsia="仿宋_GB2312" w:cs="Times New Roman"/>
          <w:sz w:val="24"/>
          <w:highlight w:val="none"/>
        </w:rPr>
        <w:t>月。</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spacing w:line="360" w:lineRule="auto"/>
        <w:ind w:firstLine="420" w:firstLineChars="200"/>
        <w:textAlignment w:val="auto"/>
        <w:rPr>
          <w:rFonts w:hint="default" w:ascii="Times New Roman" w:hAnsi="Times New Roman" w:cs="Times New Roman"/>
        </w:rPr>
      </w:pPr>
    </w:p>
    <w:p>
      <w:pPr>
        <w:pStyle w:val="164"/>
        <w:pageBreakBefore w:val="0"/>
        <w:kinsoku/>
        <w:wordWrap/>
        <w:bidi w:val="0"/>
        <w:spacing w:line="360" w:lineRule="auto"/>
        <w:ind w:firstLine="480"/>
        <w:rPr>
          <w:rFonts w:hint="default" w:ascii="Times New Roman" w:hAnsi="Times New Roman" w:cs="Times New Roman"/>
        </w:rPr>
        <w:sectPr>
          <w:headerReference r:id="rId11" w:type="default"/>
          <w:footerReference r:id="rId12" w:type="default"/>
          <w:pgSz w:w="11906" w:h="16838"/>
          <w:pgMar w:top="1440" w:right="1701"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微软雅黑" w:cs="Times New Roman"/>
          <w:b w:val="0"/>
          <w:bCs w:val="0"/>
          <w:sz w:val="21"/>
          <w:szCs w:val="21"/>
          <w:highlight w:val="none"/>
        </w:rPr>
      </w:pPr>
      <w:r>
        <w:rPr>
          <w:rFonts w:hint="default" w:ascii="Times New Roman" w:hAnsi="Times New Roman" w:eastAsia="微软雅黑" w:cs="Times New Roman"/>
          <w:b w:val="0"/>
          <w:bCs w:val="0"/>
          <w:sz w:val="21"/>
          <w:szCs w:val="21"/>
          <w:highlight w:val="none"/>
        </w:rPr>
        <w:t>表2-</w:t>
      </w:r>
      <w:r>
        <w:rPr>
          <w:rFonts w:hint="default" w:ascii="Times New Roman" w:hAnsi="Times New Roman" w:eastAsia="微软雅黑" w:cs="Times New Roman"/>
          <w:b w:val="0"/>
          <w:bCs w:val="0"/>
          <w:sz w:val="21"/>
          <w:szCs w:val="21"/>
          <w:highlight w:val="none"/>
          <w:lang w:val="en-US" w:eastAsia="zh-CN"/>
        </w:rPr>
        <w:t xml:space="preserve">6  </w:t>
      </w:r>
      <w:r>
        <w:rPr>
          <w:rFonts w:hint="default" w:ascii="Times New Roman" w:hAnsi="Times New Roman" w:eastAsia="微软雅黑" w:cs="Times New Roman"/>
          <w:b w:val="0"/>
          <w:bCs w:val="0"/>
          <w:sz w:val="21"/>
          <w:szCs w:val="21"/>
          <w:highlight w:val="none"/>
        </w:rPr>
        <w:t>主体工程进度表</w:t>
      </w:r>
    </w:p>
    <w:tbl>
      <w:tblPr>
        <w:tblStyle w:val="88"/>
        <w:tblW w:w="4771"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109"/>
        <w:gridCol w:w="624"/>
        <w:gridCol w:w="624"/>
        <w:gridCol w:w="627"/>
        <w:gridCol w:w="628"/>
        <w:gridCol w:w="628"/>
        <w:gridCol w:w="633"/>
        <w:gridCol w:w="652"/>
        <w:gridCol w:w="628"/>
        <w:gridCol w:w="628"/>
        <w:gridCol w:w="628"/>
        <w:gridCol w:w="628"/>
        <w:gridCol w:w="628"/>
        <w:gridCol w:w="628"/>
        <w:gridCol w:w="628"/>
        <w:gridCol w:w="628"/>
        <w:gridCol w:w="628"/>
        <w:gridCol w:w="628"/>
        <w:gridCol w:w="72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80" w:type="pct"/>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0"/>
                <w:rFonts w:hint="default" w:ascii="Times New Roman" w:hAnsi="Times New Roman" w:cs="Times New Roman"/>
                <w:b w:val="0"/>
                <w:bCs w:val="0"/>
                <w:sz w:val="20"/>
                <w:szCs w:val="20"/>
                <w:highlight w:val="none"/>
                <w:lang w:bidi="ar"/>
              </w:rPr>
            </w:pPr>
            <w:r>
              <w:rPr>
                <w:rFonts w:hint="default" w:ascii="Times New Roman" w:hAnsi="Times New Roman" w:eastAsia="仿宋_GB2312" w:cs="Times New Roman"/>
                <w:b/>
                <w:sz w:val="20"/>
                <w:szCs w:val="20"/>
                <w:highlight w:val="none"/>
              </w:rPr>
              <w:t>工作阶段</w:t>
            </w:r>
          </w:p>
        </w:tc>
        <w:tc>
          <w:tcPr>
            <w:tcW w:w="1392" w:type="pct"/>
            <w:gridSpan w:val="6"/>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r>
              <w:rPr>
                <w:rStyle w:val="560"/>
                <w:rFonts w:hint="default" w:ascii="Times New Roman" w:hAnsi="Times New Roman" w:cs="Times New Roman"/>
                <w:sz w:val="20"/>
                <w:szCs w:val="20"/>
                <w:highlight w:val="none"/>
                <w:lang w:bidi="ar"/>
              </w:rPr>
              <w:t>202</w:t>
            </w:r>
            <w:r>
              <w:rPr>
                <w:rStyle w:val="560"/>
                <w:rFonts w:hint="eastAsia" w:ascii="Times New Roman" w:hAnsi="Times New Roman" w:eastAsia="仿宋_GB2312" w:cs="Times New Roman"/>
                <w:sz w:val="20"/>
                <w:szCs w:val="20"/>
                <w:highlight w:val="none"/>
                <w:lang w:val="en-US" w:eastAsia="zh-CN" w:bidi="ar"/>
              </w:rPr>
              <w:t>3</w:t>
            </w:r>
            <w:r>
              <w:rPr>
                <w:rStyle w:val="560"/>
                <w:rFonts w:hint="default" w:ascii="Times New Roman" w:hAnsi="Times New Roman" w:cs="Times New Roman"/>
                <w:sz w:val="20"/>
                <w:szCs w:val="20"/>
                <w:highlight w:val="none"/>
                <w:lang w:bidi="ar"/>
              </w:rPr>
              <w:t>年</w:t>
            </w:r>
          </w:p>
        </w:tc>
        <w:tc>
          <w:tcPr>
            <w:tcW w:w="2827" w:type="pct"/>
            <w:gridSpan w:val="12"/>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0"/>
                <w:rFonts w:hint="default" w:ascii="Times New Roman" w:hAnsi="Times New Roman" w:cs="Times New Roman"/>
                <w:sz w:val="20"/>
                <w:szCs w:val="20"/>
                <w:highlight w:val="none"/>
                <w:lang w:bidi="ar"/>
              </w:rPr>
            </w:pPr>
            <w:r>
              <w:rPr>
                <w:rStyle w:val="560"/>
                <w:rFonts w:hint="default" w:ascii="Times New Roman" w:hAnsi="Times New Roman" w:cs="Times New Roman"/>
                <w:sz w:val="20"/>
                <w:szCs w:val="20"/>
                <w:highlight w:val="none"/>
                <w:lang w:bidi="ar"/>
              </w:rPr>
              <w:t>202</w:t>
            </w:r>
            <w:r>
              <w:rPr>
                <w:rStyle w:val="560"/>
                <w:rFonts w:hint="eastAsia" w:ascii="Times New Roman" w:hAnsi="Times New Roman" w:eastAsia="仿宋_GB2312" w:cs="Times New Roman"/>
                <w:sz w:val="20"/>
                <w:szCs w:val="20"/>
                <w:highlight w:val="none"/>
                <w:lang w:val="en-US" w:eastAsia="zh-CN" w:bidi="ar"/>
              </w:rPr>
              <w:t>4</w:t>
            </w:r>
            <w:r>
              <w:rPr>
                <w:rStyle w:val="560"/>
                <w:rFonts w:hint="default" w:ascii="Times New Roman" w:hAnsi="Times New Roman" w:cs="Times New Roman"/>
                <w:sz w:val="20"/>
                <w:szCs w:val="20"/>
                <w:highlight w:val="none"/>
                <w:lang w:bidi="ar"/>
              </w:rPr>
              <w:t>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80" w:type="pct"/>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1"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
              </w:rPr>
            </w:pPr>
            <w:r>
              <w:rPr>
                <w:rFonts w:hint="default" w:ascii="Times New Roman" w:hAnsi="Times New Roman" w:eastAsia="仿宋_GB2312" w:cs="Times New Roman"/>
                <w:color w:val="000000"/>
                <w:sz w:val="20"/>
                <w:szCs w:val="20"/>
                <w:highlight w:val="none"/>
                <w:lang w:val="en-US" w:eastAsia="zh-CN" w:bidi="ar"/>
              </w:rPr>
              <w:t>7</w:t>
            </w:r>
          </w:p>
        </w:tc>
        <w:tc>
          <w:tcPr>
            <w:tcW w:w="231"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
              </w:rPr>
            </w:pPr>
            <w:r>
              <w:rPr>
                <w:rFonts w:hint="default" w:ascii="Times New Roman" w:hAnsi="Times New Roman" w:eastAsia="仿宋_GB2312" w:cs="Times New Roman"/>
                <w:color w:val="000000"/>
                <w:sz w:val="20"/>
                <w:szCs w:val="20"/>
                <w:highlight w:val="none"/>
                <w:lang w:val="en-US" w:eastAsia="zh-CN" w:bidi="ar"/>
              </w:rPr>
              <w:t>8</w:t>
            </w:r>
          </w:p>
        </w:tc>
        <w:tc>
          <w:tcPr>
            <w:tcW w:w="232"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
              </w:rPr>
            </w:pPr>
            <w:r>
              <w:rPr>
                <w:rFonts w:hint="default" w:ascii="Times New Roman" w:hAnsi="Times New Roman" w:eastAsia="仿宋_GB2312" w:cs="Times New Roman"/>
                <w:color w:val="000000"/>
                <w:sz w:val="20"/>
                <w:szCs w:val="20"/>
                <w:highlight w:val="none"/>
                <w:lang w:val="en-US" w:eastAsia="zh-CN" w:bidi="ar"/>
              </w:rPr>
              <w:t>9</w:t>
            </w:r>
          </w:p>
        </w:tc>
        <w:tc>
          <w:tcPr>
            <w:tcW w:w="232"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bidi="ar"/>
              </w:rPr>
              <w:t>10</w:t>
            </w:r>
          </w:p>
        </w:tc>
        <w:tc>
          <w:tcPr>
            <w:tcW w:w="232"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bidi="ar"/>
              </w:rPr>
              <w:t>11</w:t>
            </w:r>
          </w:p>
        </w:tc>
        <w:tc>
          <w:tcPr>
            <w:tcW w:w="232"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bidi="ar"/>
              </w:rPr>
              <w:t>12</w:t>
            </w:r>
          </w:p>
        </w:tc>
        <w:tc>
          <w:tcPr>
            <w:tcW w:w="241"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bidi="ar"/>
              </w:rPr>
              <w:t>1</w:t>
            </w:r>
          </w:p>
        </w:tc>
        <w:tc>
          <w:tcPr>
            <w:tcW w:w="232"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bidi="ar"/>
              </w:rPr>
              <w:t>2</w:t>
            </w:r>
          </w:p>
        </w:tc>
        <w:tc>
          <w:tcPr>
            <w:tcW w:w="232"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bidi="ar"/>
              </w:rPr>
              <w:t>3</w:t>
            </w:r>
          </w:p>
        </w:tc>
        <w:tc>
          <w:tcPr>
            <w:tcW w:w="232"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bidi="ar"/>
              </w:rPr>
              <w:t>4</w:t>
            </w:r>
          </w:p>
        </w:tc>
        <w:tc>
          <w:tcPr>
            <w:tcW w:w="232"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bidi="ar"/>
              </w:rPr>
              <w:t>5</w:t>
            </w:r>
          </w:p>
        </w:tc>
        <w:tc>
          <w:tcPr>
            <w:tcW w:w="232"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bidi="ar"/>
              </w:rPr>
              <w:t>6</w:t>
            </w:r>
          </w:p>
        </w:tc>
        <w:tc>
          <w:tcPr>
            <w:tcW w:w="232"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bidi="ar"/>
              </w:rPr>
              <w:t>7</w:t>
            </w:r>
          </w:p>
        </w:tc>
        <w:tc>
          <w:tcPr>
            <w:tcW w:w="232"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bidi="ar"/>
              </w:rPr>
              <w:t>8</w:t>
            </w:r>
          </w:p>
        </w:tc>
        <w:tc>
          <w:tcPr>
            <w:tcW w:w="232"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bidi="ar"/>
              </w:rPr>
              <w:t>9</w:t>
            </w:r>
          </w:p>
        </w:tc>
        <w:tc>
          <w:tcPr>
            <w:tcW w:w="232"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lang w:val="en-US" w:eastAsia="zh-CN"/>
              </w:rPr>
            </w:pPr>
            <w:r>
              <w:rPr>
                <w:rFonts w:hint="eastAsia" w:ascii="Times New Roman" w:hAnsi="Times New Roman" w:eastAsia="仿宋_GB2312" w:cs="Times New Roman"/>
                <w:color w:val="000000"/>
                <w:sz w:val="20"/>
                <w:szCs w:val="20"/>
                <w:highlight w:val="none"/>
                <w:lang w:val="en-US" w:eastAsia="zh-CN"/>
              </w:rPr>
              <w:t>10</w:t>
            </w:r>
          </w:p>
        </w:tc>
        <w:tc>
          <w:tcPr>
            <w:tcW w:w="232"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lang w:val="en-US" w:eastAsia="zh-CN"/>
              </w:rPr>
            </w:pPr>
            <w:r>
              <w:rPr>
                <w:rFonts w:hint="eastAsia" w:ascii="Times New Roman" w:hAnsi="Times New Roman" w:eastAsia="仿宋_GB2312" w:cs="Times New Roman"/>
                <w:color w:val="000000"/>
                <w:sz w:val="20"/>
                <w:szCs w:val="20"/>
                <w:highlight w:val="none"/>
                <w:lang w:val="en-US" w:eastAsia="zh-CN"/>
              </w:rPr>
              <w:t>11</w:t>
            </w:r>
          </w:p>
        </w:tc>
        <w:tc>
          <w:tcPr>
            <w:tcW w:w="265"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lang w:val="en-US" w:eastAsia="zh-CN"/>
              </w:rPr>
            </w:pPr>
            <w:r>
              <w:rPr>
                <w:rFonts w:hint="eastAsia" w:ascii="Times New Roman" w:hAnsi="Times New Roman" w:eastAsia="仿宋_GB2312" w:cs="Times New Roman"/>
                <w:color w:val="000000"/>
                <w:sz w:val="20"/>
                <w:szCs w:val="20"/>
                <w:highlight w:val="none"/>
                <w:lang w:val="en-US" w:eastAsia="zh-CN"/>
              </w:rPr>
              <w:t>12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80" w:type="pct"/>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lang w:bidi="ar"/>
              </w:rPr>
            </w:pPr>
            <w:r>
              <w:rPr>
                <w:rFonts w:hint="default" w:ascii="Times New Roman" w:hAnsi="Times New Roman" w:eastAsia="仿宋" w:cs="Times New Roman"/>
                <w:spacing w:val="7"/>
                <w:sz w:val="20"/>
                <w:szCs w:val="20"/>
              </w:rPr>
              <w:t>施工准备期</w:t>
            </w:r>
          </w:p>
        </w:tc>
        <w:tc>
          <w:tcPr>
            <w:tcW w:w="231" w:type="pct"/>
            <w:tcBorders>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highlight w:val="none"/>
              </w:rPr>
            </w:pPr>
          </w:p>
        </w:tc>
        <w:tc>
          <w:tcPr>
            <w:tcW w:w="231"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41"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lang w:bidi="ar"/>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65"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80" w:type="pct"/>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lang w:bidi="ar"/>
              </w:rPr>
            </w:pPr>
          </w:p>
        </w:tc>
        <w:tc>
          <w:tcPr>
            <w:tcW w:w="231" w:type="pct"/>
            <w:tcBorders>
              <w:top w:val="single" w:color="auto" w:sz="12" w:space="0"/>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highlight w:val="none"/>
              </w:rPr>
            </w:pPr>
          </w:p>
        </w:tc>
        <w:tc>
          <w:tcPr>
            <w:tcW w:w="231" w:type="pct"/>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highlight w:val="none"/>
              </w:rPr>
            </w:pPr>
          </w:p>
        </w:tc>
        <w:tc>
          <w:tcPr>
            <w:tcW w:w="232" w:type="pct"/>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highlight w:val="none"/>
              </w:rPr>
            </w:pPr>
          </w:p>
        </w:tc>
        <w:tc>
          <w:tcPr>
            <w:tcW w:w="232" w:type="pct"/>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highlight w:val="none"/>
              </w:rPr>
            </w:pPr>
          </w:p>
        </w:tc>
        <w:tc>
          <w:tcPr>
            <w:tcW w:w="232" w:type="pct"/>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41" w:type="pct"/>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lang w:bidi="ar"/>
              </w:rPr>
            </w:pPr>
          </w:p>
        </w:tc>
        <w:tc>
          <w:tcPr>
            <w:tcW w:w="232" w:type="pct"/>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65" w:type="pct"/>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80" w:type="pct"/>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i w:val="0"/>
                <w:iCs w:val="0"/>
                <w:color w:val="000000"/>
                <w:kern w:val="2"/>
                <w:sz w:val="20"/>
                <w:szCs w:val="20"/>
                <w:highlight w:val="none"/>
                <w:u w:val="none"/>
                <w:lang w:val="en-US" w:eastAsia="zh-CN" w:bidi="ar"/>
              </w:rPr>
            </w:pPr>
            <w:r>
              <w:rPr>
                <w:rFonts w:hint="default" w:ascii="Times New Roman" w:hAnsi="Times New Roman" w:eastAsia="仿宋" w:cs="Times New Roman"/>
                <w:spacing w:val="7"/>
                <w:sz w:val="20"/>
                <w:szCs w:val="20"/>
              </w:rPr>
              <w:t>基础施工、土方回填</w:t>
            </w:r>
          </w:p>
        </w:tc>
        <w:tc>
          <w:tcPr>
            <w:tcW w:w="231" w:type="pct"/>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231" w:type="pct"/>
            <w:tcBorders>
              <w:top w:val="single" w:color="auto" w:sz="6" w:space="0"/>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232" w:type="pct"/>
            <w:tcBorders>
              <w:top w:val="single" w:color="auto" w:sz="6" w:space="0"/>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232" w:type="pct"/>
            <w:tcBorders>
              <w:top w:val="single" w:color="auto" w:sz="6" w:space="0"/>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232" w:type="pct"/>
            <w:tcBorders>
              <w:top w:val="single" w:color="auto" w:sz="6" w:space="0"/>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232" w:type="pct"/>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241" w:type="pct"/>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232" w:type="pct"/>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232" w:type="pct"/>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232" w:type="pct"/>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232" w:type="pct"/>
            <w:tcBorders>
              <w:top w:val="single" w:color="auto" w:sz="6" w:space="0"/>
              <w:bottom w:val="nil"/>
              <w:right w:val="single" w:color="auto"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232" w:type="pct"/>
            <w:tcBorders>
              <w:top w:val="single" w:color="auto" w:sz="6" w:space="0"/>
              <w:left w:val="single" w:color="auto" w:sz="4" w:space="0"/>
              <w:bottom w:val="nil"/>
              <w:right w:val="single" w:color="auto"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232" w:type="pct"/>
            <w:tcBorders>
              <w:top w:val="single" w:color="auto" w:sz="6" w:space="0"/>
              <w:left w:val="single" w:color="auto" w:sz="4" w:space="0"/>
              <w:bottom w:val="nil"/>
              <w:right w:val="single" w:color="auto"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232" w:type="pct"/>
            <w:tcBorders>
              <w:top w:val="single" w:color="auto" w:sz="6" w:space="0"/>
              <w:left w:val="single" w:color="auto" w:sz="4" w:space="0"/>
              <w:bottom w:val="nil"/>
              <w:right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
              </w:rPr>
            </w:pPr>
          </w:p>
        </w:tc>
        <w:tc>
          <w:tcPr>
            <w:tcW w:w="232" w:type="pct"/>
            <w:tcBorders>
              <w:top w:val="single" w:color="auto" w:sz="6" w:space="0"/>
              <w:left w:val="single" w:color="auto" w:sz="6" w:space="0"/>
              <w:bottom w:val="nil"/>
              <w:right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232" w:type="pct"/>
            <w:tcBorders>
              <w:top w:val="single" w:color="auto" w:sz="6" w:space="0"/>
              <w:left w:val="single" w:color="auto" w:sz="6" w:space="0"/>
              <w:bottom w:val="nil"/>
              <w:right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232" w:type="pct"/>
            <w:tcBorders>
              <w:top w:val="single" w:color="auto" w:sz="6" w:space="0"/>
              <w:left w:val="single" w:color="auto" w:sz="6" w:space="0"/>
              <w:bottom w:val="nil"/>
              <w:right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265" w:type="pct"/>
            <w:tcBorders>
              <w:top w:val="single" w:color="auto" w:sz="6" w:space="0"/>
              <w:left w:val="single" w:color="auto" w:sz="6" w:space="0"/>
              <w:bottom w:val="nil"/>
              <w:right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80" w:type="pct"/>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1"/>
                <w:rFonts w:hint="default" w:ascii="Times New Roman" w:hAnsi="Times New Roman" w:cs="Times New Roman"/>
                <w:sz w:val="20"/>
                <w:szCs w:val="20"/>
                <w:highlight w:val="none"/>
                <w:lang w:bidi="ar"/>
              </w:rPr>
            </w:pPr>
          </w:p>
        </w:tc>
        <w:tc>
          <w:tcPr>
            <w:tcW w:w="231" w:type="pct"/>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231" w:type="pct"/>
            <w:tcBorders>
              <w:top w:val="single" w:color="auto" w:sz="12" w:space="0"/>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232" w:type="pct"/>
            <w:tcBorders>
              <w:top w:val="single" w:color="auto" w:sz="12" w:space="0"/>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232" w:type="pct"/>
            <w:tcBorders>
              <w:top w:val="single" w:color="auto" w:sz="12" w:space="0"/>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232" w:type="pct"/>
            <w:tcBorders>
              <w:top w:val="single" w:color="auto" w:sz="12" w:space="0"/>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232" w:type="pct"/>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241" w:type="pct"/>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232" w:type="pct"/>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232" w:type="pct"/>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232" w:type="pct"/>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232" w:type="pct"/>
            <w:tcBorders>
              <w:top w:val="nil"/>
              <w:bottom w:val="single" w:color="auto" w:sz="6" w:space="0"/>
              <w:right w:val="single" w:color="auto"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232" w:type="pct"/>
            <w:tcBorders>
              <w:top w:val="nil"/>
              <w:left w:val="single" w:color="auto" w:sz="4" w:space="0"/>
              <w:bottom w:val="single" w:color="auto" w:sz="6" w:space="0"/>
              <w:right w:val="single" w:color="auto"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p>
        </w:tc>
        <w:tc>
          <w:tcPr>
            <w:tcW w:w="232" w:type="pct"/>
            <w:tcBorders>
              <w:top w:val="nil"/>
              <w:left w:val="single" w:color="auto" w:sz="4" w:space="0"/>
              <w:bottom w:val="single" w:color="auto" w:sz="6" w:space="0"/>
              <w:right w:val="single" w:color="auto"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232" w:type="pct"/>
            <w:tcBorders>
              <w:top w:val="nil"/>
              <w:left w:val="single" w:color="auto" w:sz="4" w:space="0"/>
              <w:right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
              </w:rPr>
            </w:pPr>
          </w:p>
        </w:tc>
        <w:tc>
          <w:tcPr>
            <w:tcW w:w="232" w:type="pct"/>
            <w:tcBorders>
              <w:top w:val="nil"/>
              <w:left w:val="single" w:color="auto" w:sz="6" w:space="0"/>
              <w:right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232" w:type="pct"/>
            <w:tcBorders>
              <w:top w:val="nil"/>
              <w:left w:val="single" w:color="auto" w:sz="6" w:space="0"/>
              <w:right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232" w:type="pct"/>
            <w:tcBorders>
              <w:top w:val="nil"/>
              <w:left w:val="single" w:color="auto" w:sz="6" w:space="0"/>
              <w:right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265" w:type="pct"/>
            <w:tcBorders>
              <w:top w:val="nil"/>
              <w:left w:val="single" w:color="auto" w:sz="6" w:space="0"/>
              <w:right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80" w:type="pct"/>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1"/>
                <w:rFonts w:hint="default" w:ascii="Times New Roman" w:hAnsi="Times New Roman" w:cs="Times New Roman"/>
                <w:sz w:val="20"/>
                <w:szCs w:val="20"/>
                <w:highlight w:val="none"/>
                <w:lang w:bidi="ar"/>
              </w:rPr>
            </w:pPr>
            <w:r>
              <w:rPr>
                <w:rFonts w:hint="default" w:ascii="Times New Roman" w:hAnsi="Times New Roman" w:eastAsia="仿宋" w:cs="Times New Roman"/>
                <w:spacing w:val="7"/>
                <w:sz w:val="20"/>
                <w:szCs w:val="20"/>
              </w:rPr>
              <w:t>主体建筑施工、装修</w:t>
            </w:r>
          </w:p>
        </w:tc>
        <w:tc>
          <w:tcPr>
            <w:tcW w:w="231" w:type="pct"/>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1" w:type="pct"/>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single" w:color="auto" w:sz="6" w:space="0"/>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41" w:type="pct"/>
            <w:tcBorders>
              <w:top w:val="single" w:color="auto" w:sz="6" w:space="0"/>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single" w:color="auto" w:sz="6" w:space="0"/>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single" w:color="auto" w:sz="6" w:space="0"/>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single" w:color="auto" w:sz="6" w:space="0"/>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single" w:color="auto" w:sz="6" w:space="0"/>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single" w:color="auto" w:sz="6" w:space="0"/>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lang w:bidi="ar"/>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65"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80" w:type="pct"/>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1"/>
                <w:rFonts w:hint="default" w:ascii="Times New Roman" w:hAnsi="Times New Roman" w:cs="Times New Roman"/>
                <w:sz w:val="20"/>
                <w:szCs w:val="20"/>
                <w:highlight w:val="none"/>
                <w:lang w:bidi="ar"/>
              </w:rPr>
            </w:pPr>
          </w:p>
        </w:tc>
        <w:tc>
          <w:tcPr>
            <w:tcW w:w="231"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1"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41" w:type="pct"/>
            <w:tcBorders>
              <w:top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p>
        </w:tc>
        <w:tc>
          <w:tcPr>
            <w:tcW w:w="232"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65"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80" w:type="pct"/>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1"/>
                <w:rFonts w:hint="default" w:ascii="Times New Roman" w:hAnsi="Times New Roman" w:cs="Times New Roman"/>
                <w:sz w:val="20"/>
                <w:szCs w:val="20"/>
                <w:highlight w:val="none"/>
                <w:lang w:bidi="ar"/>
              </w:rPr>
            </w:pPr>
            <w:r>
              <w:rPr>
                <w:rFonts w:hint="default" w:ascii="Times New Roman" w:hAnsi="Times New Roman" w:eastAsia="仿宋" w:cs="Times New Roman"/>
                <w:spacing w:val="7"/>
                <w:sz w:val="20"/>
                <w:szCs w:val="20"/>
              </w:rPr>
              <w:t>道路及附属设施工程施工</w:t>
            </w:r>
          </w:p>
        </w:tc>
        <w:tc>
          <w:tcPr>
            <w:tcW w:w="231"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1"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41"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lang w:bidi="ar"/>
              </w:rPr>
            </w:pPr>
          </w:p>
        </w:tc>
        <w:tc>
          <w:tcPr>
            <w:tcW w:w="232" w:type="pct"/>
            <w:tcBorders>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65" w:type="pct"/>
            <w:tcBorders>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80" w:type="pct"/>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1"/>
                <w:rFonts w:hint="default" w:ascii="Times New Roman" w:hAnsi="Times New Roman" w:cs="Times New Roman"/>
                <w:sz w:val="20"/>
                <w:szCs w:val="20"/>
                <w:highlight w:val="none"/>
                <w:lang w:bidi="ar"/>
              </w:rPr>
            </w:pPr>
          </w:p>
        </w:tc>
        <w:tc>
          <w:tcPr>
            <w:tcW w:w="231"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1"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41"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p>
        </w:tc>
        <w:tc>
          <w:tcPr>
            <w:tcW w:w="232" w:type="pct"/>
            <w:tcBorders>
              <w:top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65" w:type="pct"/>
            <w:tcBorders>
              <w:top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80" w:type="pct"/>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1"/>
                <w:rFonts w:hint="default" w:ascii="Times New Roman" w:hAnsi="Times New Roman" w:cs="Times New Roman"/>
                <w:sz w:val="20"/>
                <w:szCs w:val="20"/>
                <w:highlight w:val="none"/>
                <w:lang w:bidi="ar"/>
              </w:rPr>
            </w:pPr>
            <w:r>
              <w:rPr>
                <w:rFonts w:hint="default" w:ascii="Times New Roman" w:hAnsi="Times New Roman" w:eastAsia="仿宋" w:cs="Times New Roman"/>
                <w:spacing w:val="4"/>
                <w:sz w:val="20"/>
                <w:szCs w:val="20"/>
              </w:rPr>
              <w:t>园林绿化施</w:t>
            </w:r>
            <w:r>
              <w:rPr>
                <w:rFonts w:hint="default" w:ascii="Times New Roman" w:hAnsi="Times New Roman" w:eastAsia="仿宋" w:cs="Times New Roman"/>
                <w:spacing w:val="3"/>
                <w:sz w:val="20"/>
                <w:szCs w:val="20"/>
              </w:rPr>
              <w:t>工</w:t>
            </w:r>
          </w:p>
        </w:tc>
        <w:tc>
          <w:tcPr>
            <w:tcW w:w="231"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1"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41"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single" w:color="000000" w:themeColor="tex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lang w:bidi="ar"/>
              </w:rPr>
            </w:pPr>
          </w:p>
        </w:tc>
        <w:tc>
          <w:tcPr>
            <w:tcW w:w="232" w:type="pct"/>
            <w:tcBorders>
              <w:bottom w:val="single" w:color="000000" w:themeColor="tex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single" w:color="000000" w:themeColor="tex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65" w:type="pct"/>
            <w:tcBorders>
              <w:bottom w:val="nil"/>
              <w:right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80" w:type="pct"/>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1"/>
                <w:rFonts w:hint="default" w:ascii="Times New Roman" w:hAnsi="Times New Roman" w:cs="Times New Roman"/>
                <w:sz w:val="20"/>
                <w:szCs w:val="20"/>
                <w:highlight w:val="none"/>
                <w:lang w:bidi="ar"/>
              </w:rPr>
            </w:pPr>
          </w:p>
        </w:tc>
        <w:tc>
          <w:tcPr>
            <w:tcW w:w="231"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1"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41"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p>
        </w:tc>
        <w:tc>
          <w:tcPr>
            <w:tcW w:w="232"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single" w:color="000000" w:themeColor="tex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0"/>
                <w:szCs w:val="20"/>
                <w:highlight w:val="none"/>
              </w:rPr>
            </w:pPr>
          </w:p>
        </w:tc>
        <w:tc>
          <w:tcPr>
            <w:tcW w:w="232" w:type="pct"/>
            <w:tcBorders>
              <w:top w:val="single" w:color="000000" w:themeColor="tex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single" w:color="000000" w:themeColor="tex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32" w:type="pct"/>
            <w:tcBorders>
              <w:top w:val="nil"/>
              <w:bottom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c>
          <w:tcPr>
            <w:tcW w:w="265" w:type="pct"/>
            <w:tcBorders>
              <w:top w:val="nil"/>
              <w:bottom w:val="single" w:color="auto" w:sz="12" w:space="0"/>
              <w:right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0"/>
                <w:szCs w:val="20"/>
                <w:highlight w:val="none"/>
              </w:rPr>
            </w:pPr>
          </w:p>
        </w:tc>
      </w:tr>
    </w:tbl>
    <w:p>
      <w:pPr>
        <w:pStyle w:val="152"/>
        <w:rPr>
          <w:rFonts w:hint="default" w:ascii="Times New Roman" w:hAnsi="Times New Roman" w:eastAsia="微软雅黑" w:cs="Times New Roman"/>
          <w:b w:val="0"/>
          <w:bCs w:val="0"/>
          <w:sz w:val="21"/>
          <w:szCs w:val="21"/>
          <w:highlight w:val="none"/>
        </w:rPr>
      </w:pPr>
    </w:p>
    <w:p>
      <w:pPr>
        <w:pStyle w:val="164"/>
        <w:pageBreakBefore w:val="0"/>
        <w:kinsoku/>
        <w:wordWrap/>
        <w:bidi w:val="0"/>
        <w:spacing w:line="360" w:lineRule="auto"/>
        <w:ind w:firstLine="0" w:firstLineChars="0"/>
        <w:rPr>
          <w:rFonts w:hint="default" w:ascii="Times New Roman" w:hAnsi="Times New Roman" w:eastAsia="仿宋_GB2312" w:cs="Times New Roman"/>
          <w:sz w:val="24"/>
          <w:highlight w:val="none"/>
        </w:rPr>
      </w:pPr>
    </w:p>
    <w:p>
      <w:pPr>
        <w:pStyle w:val="164"/>
        <w:pageBreakBefore w:val="0"/>
        <w:kinsoku/>
        <w:wordWrap/>
        <w:bidi w:val="0"/>
        <w:spacing w:line="360" w:lineRule="auto"/>
        <w:ind w:firstLine="0" w:firstLineChars="0"/>
        <w:rPr>
          <w:rFonts w:hint="default" w:ascii="Times New Roman" w:hAnsi="Times New Roman" w:eastAsia="仿宋_GB2312" w:cs="Times New Roman"/>
          <w:sz w:val="24"/>
          <w:highlight w:val="none"/>
        </w:rPr>
      </w:pPr>
    </w:p>
    <w:p>
      <w:pPr>
        <w:pStyle w:val="164"/>
        <w:pageBreakBefore w:val="0"/>
        <w:kinsoku/>
        <w:wordWrap/>
        <w:bidi w:val="0"/>
        <w:spacing w:line="360" w:lineRule="auto"/>
        <w:ind w:firstLine="0" w:firstLineChars="0"/>
        <w:rPr>
          <w:rFonts w:hint="default" w:ascii="Times New Roman" w:hAnsi="Times New Roman" w:eastAsia="仿宋_GB2312" w:cs="Times New Roman"/>
          <w:sz w:val="24"/>
          <w:highlight w:val="none"/>
        </w:rPr>
        <w:sectPr>
          <w:pgSz w:w="16838" w:h="11906" w:orient="landscape"/>
          <w:pgMar w:top="1797" w:right="1440" w:bottom="1701"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bookmarkEnd w:id="194"/>
    <w:p>
      <w:pPr>
        <w:pStyle w:val="5"/>
        <w:bidi w:val="0"/>
        <w:rPr>
          <w:rFonts w:hint="default" w:ascii="Times New Roman" w:hAnsi="Times New Roman" w:cs="Times New Roman"/>
        </w:rPr>
      </w:pPr>
      <w:bookmarkStart w:id="195" w:name="_Toc5140"/>
      <w:bookmarkStart w:id="196" w:name="_Toc30702"/>
      <w:bookmarkStart w:id="197" w:name="_Toc22653"/>
      <w:r>
        <w:rPr>
          <w:rFonts w:hint="default" w:ascii="Times New Roman" w:hAnsi="Times New Roman" w:cs="Times New Roman"/>
        </w:rPr>
        <w:t>2.7自然概况</w:t>
      </w:r>
      <w:bookmarkEnd w:id="195"/>
      <w:bookmarkEnd w:id="196"/>
      <w:bookmarkEnd w:id="197"/>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2.7.1地质构造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长春市在大地构造中位于新华夏系一级构造单元的第二隆起带和第二沉降带的过渡区，天山—阴山复杂纬向构造带影响区。长春市位于松辽凹陷的东部边缘，是中朝地台的一部分，古生代沉积物较少，局部有二迭系地层出露。中生代以白垩系地层为主，形成厚层状泥岩、泥质粉砂岩。第四纪中更新世有长白山岩浆活动。长春东南部有NE-SW向深大断裂，范家屯附近有NW-SE向断裂。松辽盆地第四纪以来表现西部缓慢下降，东部山区缓慢上升。项目区地上部地层主要由第四纪冲积粘性土层及砂层组成，下部为白垩纪泥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项目区地下水主要为第四系松散岩层孔隙潜水，含水顶板为亚粘土，淤泥质亚粘土，潜水带地下水主要赋存于地面以下7~8m的砂砾石层中。补给方式主要是大气降水和地表水体的入渗。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按照GB18306《中国地震动参数区划图》及《中国地震动峰值加速度区划图》，项目区地震基本烈度为VII度区，设计地震基本加速度为0.1g。属地震稳定地区。项目区地下水为第四系孔隙潜水及白垩系基岩裂隙水，</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占地范围内地下水初见水位埋深一般在6.5m左右，地下水位年变化幅度0.3m~0.6m。项目区无崩塌、滑坡、泥石流、塌陷等不良地质现象。地下水对钢混基础结构腐蚀性较低。项目区工程地质条件为简单类型。</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2.7.2地形地貌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yellow"/>
        </w:rPr>
      </w:pPr>
      <w:r>
        <w:rPr>
          <w:rFonts w:hint="default" w:ascii="Times New Roman" w:hAnsi="Times New Roman" w:eastAsia="仿宋_GB2312" w:cs="Times New Roman"/>
          <w:sz w:val="24"/>
          <w:szCs w:val="24"/>
        </w:rPr>
        <w:t>长春市地处东北地区东部山地的西缘和松嫩平原的东缘，是东部低山丘陵向中西部台地平原的过渡地带。地势东高西低，南高北低，相对高度和缓，最高大顶山海拔406.5m，相对高差50~100m。地形起伏不一，山体顶圆坡缓。境内饮马河、伊通河、拉林河等主要河流自东南流向南北，切穿大黑山脉，在山前台地之间形成了宽广的平原。市区以台地、平原为主，兼有山地、丘陵等地貌形态。长春市区位于松花江三级支流伊通河谷阶地上，属平原型城市。</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2.7.3气象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工程区属于温带大陆性季风气候，地处半湿润区向亚干旱区的过度地带。据长春市气象台1989年~2018年的统计资料，工程区年平均气温4.6C，≥10C积温3131.9C，年蒸发量1251mm，年降水量587.6mm，无霜期152d，多年平均风速为3.2m/s，主导风向为西南风，降水量年内分配不均衡，主要集中在7~8月份，约占全年降水总量的60%以上，风季时段2~6月，最大冻土深1.70m，10年一遇24h最大降雨量为118.36mm。各项气温要素统计见表2-</w:t>
      </w:r>
      <w:r>
        <w:rPr>
          <w:rFonts w:hint="default" w:ascii="Times New Roman" w:hAnsi="Times New Roman" w:eastAsia="仿宋_GB2312" w:cs="Times New Roman"/>
          <w:sz w:val="24"/>
          <w:szCs w:val="24"/>
          <w:lang w:val="en-US" w:eastAsia="zh-CN"/>
        </w:rPr>
        <w:t>7</w:t>
      </w:r>
      <w:r>
        <w:rPr>
          <w:rFonts w:hint="default" w:ascii="Times New Roman" w:hAnsi="Times New Roman" w:eastAsia="仿宋_GB2312" w:cs="Times New Roman"/>
          <w:sz w:val="24"/>
          <w:szCs w:val="24"/>
        </w:rPr>
        <w:t>。</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sz w:val="21"/>
          <w:szCs w:val="21"/>
          <w:lang w:val="en-US" w:eastAsia="zh-CN"/>
        </w:rPr>
        <w:t>表</w:t>
      </w:r>
      <w:r>
        <w:rPr>
          <w:rFonts w:hint="default" w:ascii="Times New Roman" w:hAnsi="Times New Roman" w:eastAsia="微软雅黑" w:cs="Times New Roman"/>
          <w:sz w:val="21"/>
          <w:szCs w:val="21"/>
        </w:rPr>
        <w:t>2-7</w:t>
      </w:r>
      <w:r>
        <w:rPr>
          <w:rFonts w:hint="default"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rPr>
        <w:t>气象要素表</w:t>
      </w:r>
    </w:p>
    <w:tbl>
      <w:tblPr>
        <w:tblStyle w:val="556"/>
        <w:tblW w:w="4999" w:type="pct"/>
        <w:jc w:val="center"/>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Layout w:type="autofit"/>
        <w:tblCellMar>
          <w:top w:w="0" w:type="dxa"/>
          <w:left w:w="0" w:type="dxa"/>
          <w:bottom w:w="0" w:type="dxa"/>
          <w:right w:w="0" w:type="dxa"/>
        </w:tblCellMar>
      </w:tblPr>
      <w:tblGrid>
        <w:gridCol w:w="726"/>
        <w:gridCol w:w="3484"/>
        <w:gridCol w:w="2090"/>
        <w:gridCol w:w="2106"/>
      </w:tblGrid>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4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序号</w:t>
            </w:r>
          </w:p>
        </w:tc>
        <w:tc>
          <w:tcPr>
            <w:tcW w:w="20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4"/>
                <w:sz w:val="21"/>
                <w:szCs w:val="21"/>
              </w:rPr>
              <w:t>气象特</w:t>
            </w:r>
            <w:r>
              <w:rPr>
                <w:rFonts w:hint="default" w:ascii="Times New Roman" w:hAnsi="Times New Roman" w:eastAsia="仿宋_GB2312" w:cs="Times New Roman"/>
                <w:spacing w:val="3"/>
                <w:sz w:val="21"/>
                <w:szCs w:val="21"/>
              </w:rPr>
              <w:t>征</w:t>
            </w:r>
          </w:p>
        </w:tc>
        <w:tc>
          <w:tcPr>
            <w:tcW w:w="12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单</w:t>
            </w:r>
            <w:r>
              <w:rPr>
                <w:rFonts w:hint="default" w:ascii="Times New Roman" w:hAnsi="Times New Roman" w:eastAsia="仿宋_GB2312" w:cs="Times New Roman"/>
                <w:sz w:val="21"/>
                <w:szCs w:val="21"/>
              </w:rPr>
              <w:t>位</w:t>
            </w:r>
          </w:p>
        </w:tc>
        <w:tc>
          <w:tcPr>
            <w:tcW w:w="12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数值</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4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c>
          <w:tcPr>
            <w:tcW w:w="20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年平均气温</w:t>
            </w:r>
          </w:p>
        </w:tc>
        <w:tc>
          <w:tcPr>
            <w:tcW w:w="12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position w:val="2"/>
                <w:sz w:val="21"/>
                <w:szCs w:val="21"/>
              </w:rPr>
              <w:t>℃</w:t>
            </w:r>
          </w:p>
        </w:tc>
        <w:tc>
          <w:tcPr>
            <w:tcW w:w="12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4</w:t>
            </w:r>
            <w:r>
              <w:rPr>
                <w:rFonts w:hint="default" w:ascii="Times New Roman" w:hAnsi="Times New Roman" w:eastAsia="仿宋_GB2312" w:cs="Times New Roman"/>
                <w:spacing w:val="4"/>
                <w:sz w:val="21"/>
                <w:szCs w:val="21"/>
              </w:rPr>
              <w:t>.6</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4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w:t>
            </w:r>
          </w:p>
        </w:tc>
        <w:tc>
          <w:tcPr>
            <w:tcW w:w="20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4"/>
                <w:sz w:val="21"/>
                <w:szCs w:val="21"/>
              </w:rPr>
              <w:t>无霜期</w:t>
            </w:r>
          </w:p>
        </w:tc>
        <w:tc>
          <w:tcPr>
            <w:tcW w:w="12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position w:val="1"/>
                <w:sz w:val="21"/>
                <w:szCs w:val="21"/>
              </w:rPr>
              <w:t>d</w:t>
            </w:r>
          </w:p>
        </w:tc>
        <w:tc>
          <w:tcPr>
            <w:tcW w:w="12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152</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4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3</w:t>
            </w:r>
          </w:p>
        </w:tc>
        <w:tc>
          <w:tcPr>
            <w:tcW w:w="20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年降水</w:t>
            </w:r>
            <w:r>
              <w:rPr>
                <w:rFonts w:hint="default" w:ascii="Times New Roman" w:hAnsi="Times New Roman" w:eastAsia="仿宋_GB2312" w:cs="Times New Roman"/>
                <w:spacing w:val="4"/>
                <w:sz w:val="21"/>
                <w:szCs w:val="21"/>
              </w:rPr>
              <w:t>量</w:t>
            </w:r>
          </w:p>
        </w:tc>
        <w:tc>
          <w:tcPr>
            <w:tcW w:w="12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mm</w:t>
            </w:r>
          </w:p>
        </w:tc>
        <w:tc>
          <w:tcPr>
            <w:tcW w:w="12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5</w:t>
            </w:r>
            <w:r>
              <w:rPr>
                <w:rFonts w:hint="default" w:ascii="Times New Roman" w:hAnsi="Times New Roman" w:eastAsia="仿宋_GB2312" w:cs="Times New Roman"/>
                <w:spacing w:val="3"/>
                <w:sz w:val="21"/>
                <w:szCs w:val="21"/>
              </w:rPr>
              <w:t>87</w:t>
            </w:r>
            <w:r>
              <w:rPr>
                <w:rFonts w:hint="default" w:ascii="Times New Roman" w:hAnsi="Times New Roman" w:eastAsia="仿宋_GB2312" w:cs="Times New Roman"/>
                <w:spacing w:val="3"/>
                <w:sz w:val="21"/>
                <w:szCs w:val="21"/>
                <w:lang w:eastAsia="zh-CN"/>
              </w:rPr>
              <w:t>.</w:t>
            </w:r>
            <w:r>
              <w:rPr>
                <w:rFonts w:hint="default" w:ascii="Times New Roman" w:hAnsi="Times New Roman" w:eastAsia="仿宋_GB2312" w:cs="Times New Roman"/>
                <w:spacing w:val="3"/>
                <w:sz w:val="21"/>
                <w:szCs w:val="21"/>
              </w:rPr>
              <w:t>6</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4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4</w:t>
            </w:r>
          </w:p>
        </w:tc>
        <w:tc>
          <w:tcPr>
            <w:tcW w:w="20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8"/>
                <w:sz w:val="21"/>
                <w:szCs w:val="21"/>
              </w:rPr>
              <w:t>最</w:t>
            </w:r>
            <w:r>
              <w:rPr>
                <w:rFonts w:hint="default" w:ascii="Times New Roman" w:hAnsi="Times New Roman" w:eastAsia="仿宋_GB2312" w:cs="Times New Roman"/>
                <w:spacing w:val="6"/>
                <w:sz w:val="21"/>
                <w:szCs w:val="21"/>
              </w:rPr>
              <w:t>大冻土深度</w:t>
            </w:r>
          </w:p>
        </w:tc>
        <w:tc>
          <w:tcPr>
            <w:tcW w:w="12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m</w:t>
            </w:r>
          </w:p>
        </w:tc>
        <w:tc>
          <w:tcPr>
            <w:tcW w:w="12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1.</w:t>
            </w:r>
            <w:r>
              <w:rPr>
                <w:rFonts w:hint="default" w:ascii="Times New Roman" w:hAnsi="Times New Roman" w:eastAsia="仿宋_GB2312" w:cs="Times New Roman"/>
                <w:spacing w:val="-1"/>
                <w:sz w:val="21"/>
                <w:szCs w:val="21"/>
              </w:rPr>
              <w:t>70</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4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5</w:t>
            </w:r>
          </w:p>
        </w:tc>
        <w:tc>
          <w:tcPr>
            <w:tcW w:w="20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position w:val="1"/>
                <w:sz w:val="21"/>
                <w:szCs w:val="21"/>
              </w:rPr>
              <w:t>≥1</w:t>
            </w:r>
            <w:r>
              <w:rPr>
                <w:rFonts w:hint="default" w:ascii="Times New Roman" w:hAnsi="Times New Roman" w:eastAsia="仿宋_GB2312" w:cs="Times New Roman"/>
                <w:spacing w:val="-1"/>
                <w:position w:val="1"/>
                <w:sz w:val="21"/>
                <w:szCs w:val="21"/>
              </w:rPr>
              <w:t>0℃积温</w:t>
            </w:r>
          </w:p>
        </w:tc>
        <w:tc>
          <w:tcPr>
            <w:tcW w:w="12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position w:val="2"/>
                <w:sz w:val="21"/>
                <w:szCs w:val="21"/>
              </w:rPr>
              <w:t>℃</w:t>
            </w:r>
          </w:p>
        </w:tc>
        <w:tc>
          <w:tcPr>
            <w:tcW w:w="12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3</w:t>
            </w:r>
            <w:r>
              <w:rPr>
                <w:rFonts w:hint="default" w:ascii="Times New Roman" w:hAnsi="Times New Roman" w:eastAsia="仿宋_GB2312" w:cs="Times New Roman"/>
                <w:spacing w:val="4"/>
                <w:sz w:val="21"/>
                <w:szCs w:val="21"/>
              </w:rPr>
              <w:t>1</w:t>
            </w:r>
            <w:r>
              <w:rPr>
                <w:rFonts w:hint="default" w:ascii="Times New Roman" w:hAnsi="Times New Roman" w:eastAsia="仿宋_GB2312" w:cs="Times New Roman"/>
                <w:spacing w:val="3"/>
                <w:sz w:val="21"/>
                <w:szCs w:val="21"/>
              </w:rPr>
              <w:t>31.9</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4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6</w:t>
            </w:r>
          </w:p>
        </w:tc>
        <w:tc>
          <w:tcPr>
            <w:tcW w:w="20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年蒸发</w:t>
            </w:r>
            <w:r>
              <w:rPr>
                <w:rFonts w:hint="default" w:ascii="Times New Roman" w:hAnsi="Times New Roman" w:eastAsia="仿宋_GB2312" w:cs="Times New Roman"/>
                <w:spacing w:val="4"/>
                <w:sz w:val="21"/>
                <w:szCs w:val="21"/>
              </w:rPr>
              <w:t>量</w:t>
            </w:r>
          </w:p>
        </w:tc>
        <w:tc>
          <w:tcPr>
            <w:tcW w:w="12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mm</w:t>
            </w:r>
          </w:p>
        </w:tc>
        <w:tc>
          <w:tcPr>
            <w:tcW w:w="12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1251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4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7</w:t>
            </w:r>
          </w:p>
        </w:tc>
        <w:tc>
          <w:tcPr>
            <w:tcW w:w="20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平均风</w:t>
            </w:r>
            <w:r>
              <w:rPr>
                <w:rFonts w:hint="default" w:ascii="Times New Roman" w:hAnsi="Times New Roman" w:eastAsia="仿宋_GB2312" w:cs="Times New Roman"/>
                <w:spacing w:val="5"/>
                <w:sz w:val="21"/>
                <w:szCs w:val="21"/>
              </w:rPr>
              <w:t>速</w:t>
            </w:r>
          </w:p>
        </w:tc>
        <w:tc>
          <w:tcPr>
            <w:tcW w:w="12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position w:val="2"/>
                <w:sz w:val="21"/>
                <w:szCs w:val="21"/>
              </w:rPr>
              <w:t>m</w:t>
            </w:r>
            <w:r>
              <w:rPr>
                <w:rFonts w:hint="default" w:ascii="Times New Roman" w:hAnsi="Times New Roman" w:eastAsia="仿宋_GB2312" w:cs="Times New Roman"/>
                <w:spacing w:val="18"/>
                <w:position w:val="2"/>
                <w:sz w:val="21"/>
                <w:szCs w:val="21"/>
              </w:rPr>
              <w:t>/</w:t>
            </w:r>
            <w:r>
              <w:rPr>
                <w:rFonts w:hint="default" w:ascii="Times New Roman" w:hAnsi="Times New Roman" w:eastAsia="仿宋_GB2312" w:cs="Times New Roman"/>
                <w:position w:val="2"/>
                <w:sz w:val="21"/>
                <w:szCs w:val="21"/>
              </w:rPr>
              <w:t>s</w:t>
            </w:r>
          </w:p>
        </w:tc>
        <w:tc>
          <w:tcPr>
            <w:tcW w:w="12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3</w:t>
            </w:r>
            <w:r>
              <w:rPr>
                <w:rFonts w:hint="default" w:ascii="Times New Roman" w:hAnsi="Times New Roman" w:eastAsia="仿宋_GB2312" w:cs="Times New Roman"/>
                <w:spacing w:val="1"/>
                <w:sz w:val="21"/>
                <w:szCs w:val="21"/>
              </w:rPr>
              <w:t>.2</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4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8</w:t>
            </w:r>
          </w:p>
        </w:tc>
        <w:tc>
          <w:tcPr>
            <w:tcW w:w="20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主</w:t>
            </w:r>
            <w:r>
              <w:rPr>
                <w:rFonts w:hint="default" w:ascii="Times New Roman" w:hAnsi="Times New Roman" w:eastAsia="仿宋_GB2312" w:cs="Times New Roman"/>
                <w:spacing w:val="4"/>
                <w:sz w:val="21"/>
                <w:szCs w:val="21"/>
              </w:rPr>
              <w:t>导风向</w:t>
            </w:r>
          </w:p>
        </w:tc>
        <w:tc>
          <w:tcPr>
            <w:tcW w:w="12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12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S</w:t>
            </w:r>
            <w:r>
              <w:rPr>
                <w:rFonts w:hint="default" w:ascii="Times New Roman" w:hAnsi="Times New Roman" w:eastAsia="仿宋_GB2312" w:cs="Times New Roman"/>
                <w:sz w:val="21"/>
                <w:szCs w:val="21"/>
              </w:rPr>
              <w:t>W</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4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9</w:t>
            </w:r>
          </w:p>
        </w:tc>
        <w:tc>
          <w:tcPr>
            <w:tcW w:w="20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大</w:t>
            </w:r>
            <w:r>
              <w:rPr>
                <w:rFonts w:hint="default" w:ascii="Times New Roman" w:hAnsi="Times New Roman" w:eastAsia="仿宋_GB2312" w:cs="Times New Roman"/>
                <w:spacing w:val="5"/>
                <w:sz w:val="21"/>
                <w:szCs w:val="21"/>
              </w:rPr>
              <w:t>风日数</w:t>
            </w:r>
          </w:p>
        </w:tc>
        <w:tc>
          <w:tcPr>
            <w:tcW w:w="12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position w:val="2"/>
                <w:sz w:val="21"/>
                <w:szCs w:val="21"/>
              </w:rPr>
              <w:t>d</w:t>
            </w:r>
          </w:p>
        </w:tc>
        <w:tc>
          <w:tcPr>
            <w:tcW w:w="12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2</w:t>
            </w:r>
            <w:r>
              <w:rPr>
                <w:rFonts w:hint="default" w:ascii="Times New Roman" w:hAnsi="Times New Roman" w:eastAsia="仿宋_GB2312" w:cs="Times New Roman"/>
                <w:spacing w:val="3"/>
                <w:sz w:val="21"/>
                <w:szCs w:val="21"/>
              </w:rPr>
              <w:t>3.2</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4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8"/>
                <w:sz w:val="21"/>
                <w:szCs w:val="21"/>
              </w:rPr>
              <w:t>1</w:t>
            </w:r>
            <w:r>
              <w:rPr>
                <w:rFonts w:hint="default" w:ascii="Times New Roman" w:hAnsi="Times New Roman" w:eastAsia="仿宋_GB2312" w:cs="Times New Roman"/>
                <w:spacing w:val="-7"/>
                <w:sz w:val="21"/>
                <w:szCs w:val="21"/>
              </w:rPr>
              <w:t>0</w:t>
            </w:r>
          </w:p>
        </w:tc>
        <w:tc>
          <w:tcPr>
            <w:tcW w:w="20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雨季时</w:t>
            </w:r>
            <w:r>
              <w:rPr>
                <w:rFonts w:hint="default" w:ascii="Times New Roman" w:hAnsi="Times New Roman" w:eastAsia="仿宋_GB2312" w:cs="Times New Roman"/>
                <w:spacing w:val="5"/>
                <w:sz w:val="21"/>
                <w:szCs w:val="21"/>
              </w:rPr>
              <w:t>段</w:t>
            </w:r>
          </w:p>
        </w:tc>
        <w:tc>
          <w:tcPr>
            <w:tcW w:w="12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12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8"/>
                <w:sz w:val="21"/>
                <w:szCs w:val="21"/>
              </w:rPr>
              <w:t>7</w:t>
            </w:r>
            <w:r>
              <w:rPr>
                <w:rFonts w:hint="default" w:ascii="Times New Roman" w:hAnsi="Times New Roman" w:eastAsia="仿宋_GB2312" w:cs="Times New Roman"/>
                <w:spacing w:val="6"/>
                <w:sz w:val="21"/>
                <w:szCs w:val="21"/>
              </w:rPr>
              <w:t>~8月</w:t>
            </w:r>
          </w:p>
        </w:tc>
      </w:tr>
    </w:tbl>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2.7.4水文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长春市的地表水属松花江水系，位于松花江、饮马河、伊通河的中下游。还有沐石河、双阳河、雾开河、新凯河及卡岔河等流经境内，有波罗泡子、敖宝洼泡子、元宝泡子等主要湖泊7处。饮马河是松花江一级支流，发源于伊通县老爷岭南侧，经磐石、双阳、九台，在农安红石垒屯东南处注入松花江。长春境内河长293.6km，流域面积为11122.9km²。主要支流有伊通河、雾开河、双阳河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雾开河属饮马河支流，源出长春市双阳区西北，北流至德惠市东南注入饮马河。长132km，流域面积1198km²。上游建有五一水库，总库容4180万m³，河道纵向坡度4‰，河流弯曲系数0.2。干雾海河为雾开河左岸的一级支流，饮马河的二级支流，由四家子河、太平沟、岫岩大沟、顺山卜沟、刘糖房沟等多条支流构成。流域面积477km²，河长65.6km，河道坡度0.6，项目区距离干雾海河0.6km，50年一遇洪水位226.6m，</w:t>
      </w:r>
      <w:r>
        <w:rPr>
          <w:rFonts w:hint="eastAsia" w:eastAsia="仿宋_GB2312" w:cs="Times New Roman"/>
          <w:sz w:val="24"/>
          <w:szCs w:val="24"/>
          <w:lang w:val="en-US" w:eastAsia="zh-CN"/>
        </w:rPr>
        <w:t>本项目</w:t>
      </w:r>
      <w:r>
        <w:rPr>
          <w:rFonts w:hint="eastAsia" w:ascii="Times New Roman" w:hAnsi="Times New Roman" w:eastAsia="仿宋_GB2312" w:cs="Times New Roman"/>
          <w:sz w:val="24"/>
          <w:szCs w:val="24"/>
          <w:highlight w:val="none"/>
          <w:lang w:val="en-US" w:eastAsia="zh-CN"/>
        </w:rPr>
        <w:t>设计标高234.75~241.95m。</w:t>
      </w:r>
      <w:r>
        <w:rPr>
          <w:rFonts w:hint="default" w:ascii="Times New Roman" w:hAnsi="Times New Roman" w:eastAsia="仿宋_GB2312" w:cs="Times New Roman"/>
          <w:sz w:val="24"/>
          <w:szCs w:val="24"/>
        </w:rPr>
        <w:t>项目区水系图见图2。</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2.7.5土壤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区土壤类型以黑土为主。黑土表层具有良好的团粒结构，土体疏软多孔隙，耐旱、耐涝。有较深厚的腐殖质层，土壤表层厚度为30cm~50cm，有机质含量2%~6%；剖面中无钙积层，淀积层呈灰棕色，核状结构，结构体表面有胶膜及铁锰结核，pH值6.5~7.5。土壤容重1.0~1.5，黑土表层最大吸水量为6.5%，田间持水量为30%，土壤水分适中，透水性差，排水良好，土壤抗蚀性一般。</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项目区内土地利用现状为政府平整后的土地，地表以杂填土为主，项目现状地面为净地，无可剥离表土。</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2.7.6植被</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区域自然植被类型为温带落叶阔叶林及灌丛，人工植被类型为农作物和人工林。主要群落类型为蒙古栎林、阔叶杂木林、榛丛、落叶松人工林、樟子松人工林等。当地适生的乔木树种有：加杨、三北1号杨、小城黑杨，刺槐、樟子松、梓树等；适生的灌木树种有榆叶梅、丁香、锦带、绣线菊等；适生的草本植物有苜蓿、羊草、小叶章、三棱草、苔草、无芒雀麦、冰草、黑麦草等。区域林草覆盖率为25.36%。项目区占地范围内无林草植被覆盖。</w:t>
      </w:r>
    </w:p>
    <w:p>
      <w:pPr>
        <w:pStyle w:val="153"/>
        <w:pageBreakBefore w:val="0"/>
        <w:kinsoku/>
        <w:wordWrap/>
        <w:bidi w:val="0"/>
        <w:rPr>
          <w:rFonts w:hint="default" w:ascii="Times New Roman" w:hAnsi="Times New Roman" w:eastAsia="仿宋" w:cs="Times New Roman"/>
          <w:spacing w:val="3"/>
          <w:sz w:val="23"/>
          <w:szCs w:val="23"/>
        </w:rPr>
      </w:pPr>
    </w:p>
    <w:p>
      <w:pPr>
        <w:pStyle w:val="153"/>
        <w:pageBreakBefore w:val="0"/>
        <w:kinsoku/>
        <w:wordWrap/>
        <w:bidi w:val="0"/>
        <w:rPr>
          <w:rFonts w:hint="default" w:ascii="Times New Roman" w:hAnsi="Times New Roman" w:eastAsia="仿宋" w:cs="Times New Roman"/>
          <w:spacing w:val="3"/>
          <w:sz w:val="23"/>
          <w:szCs w:val="23"/>
        </w:rPr>
      </w:pPr>
    </w:p>
    <w:p>
      <w:pPr>
        <w:pStyle w:val="153"/>
        <w:pageBreakBefore w:val="0"/>
        <w:kinsoku/>
        <w:wordWrap/>
        <w:bidi w:val="0"/>
        <w:rPr>
          <w:rFonts w:hint="default" w:ascii="Times New Roman" w:hAnsi="Times New Roman" w:eastAsia="仿宋" w:cs="Times New Roman"/>
          <w:spacing w:val="3"/>
          <w:sz w:val="23"/>
          <w:szCs w:val="23"/>
        </w:rPr>
      </w:pPr>
    </w:p>
    <w:p>
      <w:pPr>
        <w:pStyle w:val="153"/>
        <w:pageBreakBefore w:val="0"/>
        <w:kinsoku/>
        <w:wordWrap/>
        <w:bidi w:val="0"/>
        <w:rPr>
          <w:rFonts w:hint="default" w:ascii="Times New Roman" w:hAnsi="Times New Roman" w:eastAsia="仿宋" w:cs="Times New Roman"/>
          <w:spacing w:val="3"/>
          <w:sz w:val="23"/>
          <w:szCs w:val="23"/>
        </w:rPr>
      </w:pPr>
    </w:p>
    <w:p>
      <w:pPr>
        <w:pStyle w:val="153"/>
        <w:pageBreakBefore w:val="0"/>
        <w:kinsoku/>
        <w:wordWrap/>
        <w:bidi w:val="0"/>
        <w:rPr>
          <w:rFonts w:hint="default" w:ascii="Times New Roman" w:hAnsi="Times New Roman" w:eastAsia="仿宋" w:cs="Times New Roman"/>
          <w:spacing w:val="3"/>
          <w:sz w:val="23"/>
          <w:szCs w:val="23"/>
        </w:rPr>
        <w:sectPr>
          <w:headerReference r:id="rId13" w:type="default"/>
          <w:footerReference r:id="rId15" w:type="default"/>
          <w:headerReference r:id="rId14" w:type="even"/>
          <w:pgSz w:w="11906" w:h="16838"/>
          <w:pgMar w:top="1418" w:right="1701" w:bottom="1418" w:left="1797" w:header="851" w:footer="992" w:gutter="0"/>
          <w:pgBorders>
            <w:top w:val="none" w:sz="0" w:space="0"/>
            <w:left w:val="none" w:sz="0" w:space="0"/>
            <w:bottom w:val="none" w:sz="0" w:space="0"/>
            <w:right w:val="none" w:sz="0" w:space="0"/>
          </w:pgBorders>
          <w:pgNumType w:fmt="decimal"/>
          <w:cols w:space="720" w:num="1"/>
          <w:docGrid w:linePitch="312" w:charSpace="0"/>
        </w:sectPr>
      </w:pPr>
    </w:p>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88"/>
    <w:bookmarkEnd w:id="189"/>
    <w:p>
      <w:pPr>
        <w:pStyle w:val="4"/>
        <w:bidi w:val="0"/>
        <w:rPr>
          <w:rFonts w:hint="default" w:ascii="Times New Roman" w:hAnsi="Times New Roman" w:cs="Times New Roman"/>
        </w:rPr>
      </w:pPr>
      <w:bookmarkStart w:id="198" w:name="_Toc23177"/>
      <w:bookmarkStart w:id="199" w:name="_Toc6227"/>
      <w:bookmarkStart w:id="200" w:name="_Toc13336"/>
      <w:bookmarkStart w:id="201" w:name="_Toc93231797"/>
      <w:bookmarkStart w:id="202" w:name="_Toc93231902"/>
      <w:bookmarkStart w:id="203" w:name="_Toc93562126"/>
      <w:r>
        <w:rPr>
          <w:rFonts w:hint="default" w:ascii="Times New Roman" w:hAnsi="Times New Roman" w:cs="Times New Roman"/>
        </w:rPr>
        <w:t>3项目水土保持评价</w:t>
      </w:r>
      <w:bookmarkEnd w:id="198"/>
      <w:bookmarkEnd w:id="199"/>
      <w:bookmarkEnd w:id="200"/>
    </w:p>
    <w:p>
      <w:pPr>
        <w:pStyle w:val="5"/>
        <w:bidi w:val="0"/>
        <w:rPr>
          <w:rFonts w:hint="default" w:ascii="Times New Roman" w:hAnsi="Times New Roman" w:cs="Times New Roman"/>
        </w:rPr>
      </w:pPr>
      <w:bookmarkStart w:id="204" w:name="_Toc11350"/>
      <w:bookmarkStart w:id="205" w:name="_Toc11308"/>
      <w:bookmarkStart w:id="206" w:name="_Toc22821"/>
      <w:r>
        <w:rPr>
          <w:rFonts w:hint="default" w:ascii="Times New Roman" w:hAnsi="Times New Roman" w:cs="Times New Roman"/>
        </w:rPr>
        <w:t>3.1主体工程选址（线）水土保持评价</w:t>
      </w:r>
      <w:bookmarkEnd w:id="204"/>
      <w:bookmarkEnd w:id="205"/>
      <w:bookmarkEnd w:id="206"/>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根据水土保持</w:t>
      </w:r>
      <w:r>
        <w:rPr>
          <w:rFonts w:hint="eastAsia" w:eastAsia="仿宋_GB2312" w:cs="Times New Roman"/>
          <w:bCs/>
          <w:sz w:val="24"/>
          <w:highlight w:val="none"/>
          <w:lang w:val="en-US" w:eastAsia="zh-CN"/>
        </w:rPr>
        <w:t>法律法规以及</w:t>
      </w:r>
      <w:r>
        <w:rPr>
          <w:rFonts w:hint="default" w:ascii="Times New Roman" w:hAnsi="Times New Roman" w:eastAsia="仿宋_GB2312" w:cs="Times New Roman"/>
          <w:bCs/>
          <w:sz w:val="24"/>
          <w:highlight w:val="none"/>
        </w:rPr>
        <w:t>水土保持技术标准</w:t>
      </w:r>
      <w:r>
        <w:rPr>
          <w:rFonts w:hint="eastAsia" w:eastAsia="仿宋_GB2312" w:cs="Times New Roman"/>
          <w:bCs/>
          <w:sz w:val="24"/>
          <w:highlight w:val="none"/>
          <w:lang w:val="en-US" w:eastAsia="zh-CN"/>
        </w:rPr>
        <w:t>规范等</w:t>
      </w:r>
      <w:r>
        <w:rPr>
          <w:rFonts w:hint="default" w:ascii="Times New Roman" w:hAnsi="Times New Roman" w:eastAsia="仿宋_GB2312" w:cs="Times New Roman"/>
          <w:bCs/>
          <w:sz w:val="24"/>
          <w:highlight w:val="none"/>
        </w:rPr>
        <w:t>关于水土保持限制和约束性规定，</w:t>
      </w:r>
      <w:r>
        <w:rPr>
          <w:rFonts w:hint="default" w:ascii="Times New Roman" w:hAnsi="Times New Roman" w:eastAsia="仿宋_GB2312" w:cs="Times New Roman"/>
          <w:bCs/>
          <w:sz w:val="24"/>
          <w:highlight w:val="none"/>
          <w:lang w:eastAsia="zh-CN"/>
        </w:rPr>
        <w:t>本期工程</w:t>
      </w:r>
      <w:r>
        <w:rPr>
          <w:rFonts w:hint="default" w:ascii="Times New Roman" w:hAnsi="Times New Roman" w:eastAsia="仿宋_GB2312" w:cs="Times New Roman"/>
          <w:bCs/>
          <w:sz w:val="24"/>
          <w:highlight w:val="none"/>
        </w:rPr>
        <w:t>不涉及河流两岸、湖泊和水库周边的植物保护带；不涉及全国水土保持监测网络中的水土保持监测站点、重点试验区及国家确定的水土保持长期定位观测点；</w:t>
      </w:r>
      <w:r>
        <w:rPr>
          <w:rFonts w:hint="default" w:ascii="Times New Roman" w:hAnsi="Times New Roman" w:eastAsia="仿宋_GB2312" w:cs="Times New Roman"/>
          <w:bCs/>
          <w:sz w:val="24"/>
          <w:highlight w:val="none"/>
          <w:lang w:eastAsia="zh-CN"/>
        </w:rPr>
        <w:t>本期项目</w:t>
      </w:r>
      <w:r>
        <w:rPr>
          <w:rFonts w:hint="default" w:ascii="Times New Roman" w:hAnsi="Times New Roman" w:eastAsia="仿宋_GB2312" w:cs="Times New Roman"/>
          <w:bCs/>
          <w:sz w:val="24"/>
          <w:highlight w:val="none"/>
        </w:rPr>
        <w:t>选址无法避让国家级水土流失重点治理区，本水土保持方案通过严格执行东北黑土区水土流失防治一级标准，提高水土流失防治指标</w:t>
      </w:r>
      <w:r>
        <w:rPr>
          <w:rFonts w:hint="default" w:ascii="Times New Roman" w:hAnsi="Times New Roman" w:eastAsia="仿宋_GB2312" w:cs="Times New Roman"/>
          <w:bCs/>
          <w:sz w:val="24"/>
          <w:highlight w:val="none"/>
          <w:lang w:val="en-US" w:eastAsia="zh-CN"/>
        </w:rPr>
        <w:t>值</w:t>
      </w:r>
      <w:r>
        <w:rPr>
          <w:rFonts w:hint="default" w:ascii="Times New Roman" w:hAnsi="Times New Roman" w:eastAsia="仿宋_GB2312" w:cs="Times New Roman"/>
          <w:bCs/>
          <w:sz w:val="24"/>
          <w:highlight w:val="none"/>
        </w:rPr>
        <w:t>，补充和完善水土保持措施，通过在优化施工布置，施工生产生活区均布设在项目区内，同时，要求项目建设时严格控制扰动地表和损毁植被面积，建设单位通过加强工程施工管理、优化施工工艺和时序，减少项目建设可能产生的水土流失。基本满足《生产建设项目水土保持技术标准》</w:t>
      </w:r>
      <w:r>
        <w:rPr>
          <w:rFonts w:hint="default" w:ascii="Times New Roman" w:hAnsi="Times New Roman" w:eastAsia="仿宋_GB2312" w:cs="Times New Roman"/>
          <w:bCs/>
          <w:sz w:val="24"/>
          <w:highlight w:val="none"/>
          <w:lang w:eastAsia="zh-CN"/>
        </w:rPr>
        <w:t>（</w:t>
      </w:r>
      <w:r>
        <w:rPr>
          <w:rFonts w:hint="default" w:ascii="Times New Roman" w:hAnsi="Times New Roman" w:eastAsia="仿宋_GB2312" w:cs="Times New Roman"/>
          <w:bCs/>
          <w:sz w:val="24"/>
          <w:highlight w:val="none"/>
        </w:rPr>
        <w:t>GB50433—2018</w:t>
      </w:r>
      <w:r>
        <w:rPr>
          <w:rFonts w:hint="default" w:ascii="Times New Roman" w:hAnsi="Times New Roman" w:eastAsia="仿宋_GB2312" w:cs="Times New Roman"/>
          <w:bCs/>
          <w:sz w:val="24"/>
          <w:highlight w:val="none"/>
          <w:lang w:eastAsia="zh-CN"/>
        </w:rPr>
        <w:t>）</w:t>
      </w:r>
      <w:r>
        <w:rPr>
          <w:rFonts w:hint="default" w:ascii="Times New Roman" w:hAnsi="Times New Roman" w:eastAsia="仿宋_GB2312" w:cs="Times New Roman"/>
          <w:bCs/>
          <w:sz w:val="24"/>
          <w:highlight w:val="none"/>
        </w:rPr>
        <w:t>对主体工程选址水土保持规定的要求。因此，从水土保持角度评价认为</w:t>
      </w:r>
      <w:r>
        <w:rPr>
          <w:rFonts w:hint="default" w:ascii="Times New Roman" w:hAnsi="Times New Roman" w:eastAsia="仿宋_GB2312" w:cs="Times New Roman"/>
          <w:bCs/>
          <w:sz w:val="24"/>
          <w:highlight w:val="none"/>
          <w:lang w:eastAsia="zh-CN"/>
        </w:rPr>
        <w:t>本期项目</w:t>
      </w:r>
      <w:r>
        <w:rPr>
          <w:rFonts w:hint="default" w:ascii="Times New Roman" w:hAnsi="Times New Roman" w:eastAsia="仿宋_GB2312" w:cs="Times New Roman"/>
          <w:bCs/>
          <w:sz w:val="24"/>
          <w:highlight w:val="none"/>
        </w:rPr>
        <w:t>选址合理，符合水土保持要求。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主体工程约束性分析表见表3-1。</w:t>
      </w:r>
    </w:p>
    <w:p>
      <w:pPr>
        <w:pStyle w:val="16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val="en-US" w:eastAsia="zh-CN"/>
        </w:rPr>
      </w:pPr>
      <w:r>
        <w:rPr>
          <w:rFonts w:hint="default" w:ascii="Times New Roman" w:hAnsi="Times New Roman" w:eastAsia="微软雅黑" w:cs="Times New Roman"/>
          <w:b w:val="0"/>
          <w:bCs w:val="0"/>
          <w:sz w:val="21"/>
          <w:szCs w:val="21"/>
          <w:highlight w:val="none"/>
          <w:lang w:val="en-US" w:eastAsia="zh-CN"/>
        </w:rPr>
        <w:t>表3-1  主体工程选址水土保持限制性因素分析评价表</w:t>
      </w:r>
    </w:p>
    <w:tbl>
      <w:tblPr>
        <w:tblStyle w:val="88"/>
        <w:tblW w:w="4998" w:type="pct"/>
        <w:jc w:val="center"/>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478"/>
        <w:gridCol w:w="2927"/>
        <w:gridCol w:w="4126"/>
        <w:gridCol w:w="1090"/>
      </w:tblGrid>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7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序号</w:t>
            </w:r>
          </w:p>
        </w:tc>
        <w:tc>
          <w:tcPr>
            <w:tcW w:w="1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约束性条件</w:t>
            </w:r>
          </w:p>
        </w:tc>
        <w:tc>
          <w:tcPr>
            <w:tcW w:w="239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eastAsia="zh-CN"/>
              </w:rPr>
              <w:t>本期项目</w:t>
            </w:r>
            <w:r>
              <w:rPr>
                <w:rFonts w:hint="default" w:ascii="Times New Roman" w:hAnsi="Times New Roman" w:eastAsia="仿宋_GB2312" w:cs="Times New Roman"/>
                <w:sz w:val="20"/>
                <w:szCs w:val="20"/>
              </w:rPr>
              <w:t>情况</w:t>
            </w:r>
          </w:p>
        </w:tc>
        <w:tc>
          <w:tcPr>
            <w:tcW w:w="6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符合性规定</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7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1</w:t>
            </w:r>
          </w:p>
        </w:tc>
        <w:tc>
          <w:tcPr>
            <w:tcW w:w="1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firstLine="400" w:firstLineChars="200"/>
              <w:jc w:val="both"/>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生产建设项目选址、选线应当避让水土流失重点预防区和重点治理区；无法避让的，应当提高防治标准，优化施工工艺，减少地表扰动和植被损坏范围，有效控制可能造成的水土流失。</w:t>
            </w:r>
          </w:p>
        </w:tc>
        <w:tc>
          <w:tcPr>
            <w:tcW w:w="239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firstLine="400" w:firstLineChars="200"/>
              <w:jc w:val="both"/>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项目区属于东北漫川漫岗国家级水土流失重点治理区。工程施工优化了施工工艺，提高相关指标标准减少地表扰动和植被损坏范围，有效控制可能造成的水土流失；工程未涉及和影响到饮水安全、防洪安全、水资源安全；工程未占用重要基础设施建设、重要民生工程、国防工程。</w:t>
            </w:r>
          </w:p>
        </w:tc>
        <w:tc>
          <w:tcPr>
            <w:tcW w:w="6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基本符合</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7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2</w:t>
            </w:r>
          </w:p>
        </w:tc>
        <w:tc>
          <w:tcPr>
            <w:tcW w:w="1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firstLine="400" w:firstLineChars="200"/>
              <w:jc w:val="both"/>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rPr>
              <w:t>主体工程选址（线）应避让河流两岸、湖泊和水库周边的植物保护带。</w:t>
            </w:r>
          </w:p>
        </w:tc>
        <w:tc>
          <w:tcPr>
            <w:tcW w:w="239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firstLine="400" w:firstLineChars="200"/>
              <w:jc w:val="both"/>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rPr>
              <w:t>主体工程选址不位于河流两岸、湖泊和水库周边的植物保护带。</w:t>
            </w:r>
          </w:p>
        </w:tc>
        <w:tc>
          <w:tcPr>
            <w:tcW w:w="6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符合</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7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rPr>
              <w:t>3</w:t>
            </w:r>
          </w:p>
        </w:tc>
        <w:tc>
          <w:tcPr>
            <w:tcW w:w="1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firstLine="400" w:firstLineChars="200"/>
              <w:jc w:val="both"/>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主体工程选址（线）应避让全国水土保持监测网络中的水土保持监测站点、重点实验区，是否占用了国家确定的水土保持长期定位观测站。</w:t>
            </w:r>
          </w:p>
        </w:tc>
        <w:tc>
          <w:tcPr>
            <w:tcW w:w="239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firstLine="400" w:firstLineChars="200"/>
              <w:jc w:val="both"/>
              <w:textAlignment w:val="auto"/>
              <w:rPr>
                <w:rFonts w:hint="default" w:ascii="Times New Roman" w:hAnsi="Times New Roman" w:eastAsia="仿宋_GB2312" w:cs="Times New Roman"/>
                <w:sz w:val="20"/>
                <w:szCs w:val="20"/>
                <w:lang w:eastAsia="zh-CN"/>
              </w:rPr>
            </w:pPr>
            <w:r>
              <w:rPr>
                <w:rFonts w:hint="default" w:ascii="Times New Roman" w:hAnsi="Times New Roman" w:eastAsia="仿宋_GB2312" w:cs="Times New Roman"/>
                <w:sz w:val="20"/>
                <w:szCs w:val="20"/>
              </w:rPr>
              <w:t>项目区不属于上述地区</w:t>
            </w:r>
            <w:r>
              <w:rPr>
                <w:rFonts w:hint="default" w:ascii="Times New Roman" w:hAnsi="Times New Roman" w:eastAsia="仿宋_GB2312" w:cs="Times New Roman"/>
                <w:sz w:val="20"/>
                <w:szCs w:val="20"/>
                <w:lang w:eastAsia="zh-CN"/>
              </w:rPr>
              <w:t>。</w:t>
            </w:r>
          </w:p>
        </w:tc>
        <w:tc>
          <w:tcPr>
            <w:tcW w:w="6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符合</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7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rPr>
              <w:t>4</w:t>
            </w:r>
          </w:p>
        </w:tc>
        <w:tc>
          <w:tcPr>
            <w:tcW w:w="1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firstLine="400" w:firstLineChars="200"/>
              <w:jc w:val="both"/>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严禁在崩塌和滑坡危险区、泥石流易发区内设置取土（石、砂）场。</w:t>
            </w:r>
          </w:p>
        </w:tc>
        <w:tc>
          <w:tcPr>
            <w:tcW w:w="239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firstLine="400" w:firstLineChars="200"/>
              <w:jc w:val="both"/>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项目区未设置取土场。</w:t>
            </w:r>
          </w:p>
        </w:tc>
        <w:tc>
          <w:tcPr>
            <w:tcW w:w="6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符合</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7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0"/>
                <w:szCs w:val="20"/>
              </w:rPr>
            </w:pPr>
            <w:bookmarkStart w:id="207" w:name="_Toc12955"/>
            <w:bookmarkStart w:id="208" w:name="_Toc5422"/>
            <w:bookmarkStart w:id="209" w:name="_Toc423769745"/>
            <w:r>
              <w:rPr>
                <w:rFonts w:hint="default" w:ascii="Times New Roman" w:hAnsi="Times New Roman" w:eastAsia="仿宋_GB2312" w:cs="Times New Roman"/>
                <w:sz w:val="20"/>
                <w:szCs w:val="20"/>
                <w:lang w:val="en-US" w:eastAsia="zh-CN"/>
              </w:rPr>
              <w:t>5</w:t>
            </w:r>
          </w:p>
        </w:tc>
        <w:tc>
          <w:tcPr>
            <w:tcW w:w="1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firstLine="400" w:firstLineChars="200"/>
              <w:jc w:val="both"/>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严禁在对公共设施、基础设施、工业企业、居民点等有重大影响区域设置弃土（石、渣、灰、矸石、尾矿）场。</w:t>
            </w:r>
          </w:p>
        </w:tc>
        <w:tc>
          <w:tcPr>
            <w:tcW w:w="239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firstLine="400" w:firstLineChars="200"/>
              <w:jc w:val="both"/>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项目区未设置弃土场。</w:t>
            </w:r>
          </w:p>
        </w:tc>
        <w:tc>
          <w:tcPr>
            <w:tcW w:w="6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符合</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7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6</w:t>
            </w:r>
          </w:p>
        </w:tc>
        <w:tc>
          <w:tcPr>
            <w:tcW w:w="1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firstLine="400" w:firstLineChars="200"/>
              <w:jc w:val="both"/>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是否处于水土流失严重、生态脆弱的地区。</w:t>
            </w:r>
          </w:p>
        </w:tc>
        <w:tc>
          <w:tcPr>
            <w:tcW w:w="239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firstLine="400" w:firstLineChars="200"/>
              <w:jc w:val="both"/>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rPr>
              <w:t>项目区不属于上述地区</w:t>
            </w:r>
          </w:p>
        </w:tc>
        <w:tc>
          <w:tcPr>
            <w:tcW w:w="6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符合</w:t>
            </w:r>
          </w:p>
        </w:tc>
      </w:tr>
    </w:tbl>
    <w:p>
      <w:pPr>
        <w:pStyle w:val="5"/>
        <w:bidi w:val="0"/>
        <w:rPr>
          <w:rFonts w:hint="default" w:ascii="Times New Roman" w:hAnsi="Times New Roman" w:cs="Times New Roman"/>
        </w:rPr>
      </w:pPr>
      <w:bookmarkStart w:id="210" w:name="_Toc30491"/>
      <w:r>
        <w:rPr>
          <w:rFonts w:hint="default" w:ascii="Times New Roman" w:hAnsi="Times New Roman" w:cs="Times New Roman"/>
        </w:rPr>
        <w:t>3.2</w:t>
      </w:r>
      <w:bookmarkEnd w:id="207"/>
      <w:bookmarkEnd w:id="208"/>
      <w:bookmarkEnd w:id="209"/>
      <w:r>
        <w:rPr>
          <w:rFonts w:hint="default" w:ascii="Times New Roman" w:hAnsi="Times New Roman" w:cs="Times New Roman"/>
        </w:rPr>
        <w:t>建设方案与布局水土保持评价</w:t>
      </w:r>
      <w:bookmarkEnd w:id="210"/>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3.2.1建设方案评价</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lang w:eastAsia="zh-CN"/>
        </w:rPr>
        <w:t>本期项目</w:t>
      </w:r>
      <w:r>
        <w:rPr>
          <w:rFonts w:hint="default" w:ascii="Times New Roman" w:hAnsi="Times New Roman" w:eastAsia="仿宋_GB2312" w:cs="Times New Roman"/>
          <w:bCs/>
          <w:sz w:val="24"/>
          <w:highlight w:val="none"/>
        </w:rPr>
        <w:t>建设地点行政隶属位于</w:t>
      </w:r>
      <w:r>
        <w:rPr>
          <w:rFonts w:hint="default" w:ascii="Times New Roman" w:hAnsi="Times New Roman" w:eastAsia="仿宋_GB2312" w:cs="Times New Roman"/>
          <w:bCs/>
          <w:sz w:val="24"/>
          <w:highlight w:val="none"/>
          <w:lang w:val="en-US" w:eastAsia="zh-CN"/>
        </w:rPr>
        <w:t>长春市二道区</w:t>
      </w:r>
      <w:r>
        <w:rPr>
          <w:rFonts w:hint="default" w:ascii="Times New Roman" w:hAnsi="Times New Roman" w:eastAsia="仿宋_GB2312" w:cs="Times New Roman"/>
          <w:bCs/>
          <w:sz w:val="24"/>
          <w:highlight w:val="none"/>
        </w:rPr>
        <w:t>，无法避让东北漫川漫岗国家级水土流失重点治理区，项目区内排水</w:t>
      </w:r>
      <w:r>
        <w:rPr>
          <w:rFonts w:hint="eastAsia" w:eastAsia="仿宋_GB2312" w:cs="Times New Roman"/>
          <w:bCs/>
          <w:sz w:val="24"/>
          <w:highlight w:val="none"/>
          <w:lang w:val="en-US" w:eastAsia="zh-CN"/>
        </w:rPr>
        <w:t>管线</w:t>
      </w:r>
      <w:r>
        <w:rPr>
          <w:rFonts w:hint="default" w:ascii="Times New Roman" w:hAnsi="Times New Roman" w:eastAsia="仿宋_GB2312" w:cs="Times New Roman"/>
          <w:sz w:val="24"/>
          <w:szCs w:val="24"/>
          <w:lang w:eastAsia="zh-CN"/>
        </w:rPr>
        <w:t>沿场区道路方向敷设</w:t>
      </w:r>
      <w:r>
        <w:rPr>
          <w:rFonts w:hint="default" w:ascii="Times New Roman" w:hAnsi="Times New Roman" w:eastAsia="仿宋_GB2312" w:cs="Times New Roman"/>
          <w:bCs/>
          <w:sz w:val="24"/>
          <w:highlight w:val="none"/>
        </w:rPr>
        <w:t>，全部采用地埋管线，利用</w:t>
      </w:r>
      <w:r>
        <w:rPr>
          <w:rFonts w:hint="eastAsia" w:eastAsia="仿宋_GB2312" w:cs="Times New Roman"/>
          <w:bCs/>
          <w:sz w:val="24"/>
          <w:highlight w:val="none"/>
          <w:lang w:eastAsia="zh-CN"/>
        </w:rPr>
        <w:t>雨水口</w:t>
      </w:r>
      <w:r>
        <w:rPr>
          <w:rFonts w:hint="default" w:ascii="Times New Roman" w:hAnsi="Times New Roman" w:eastAsia="仿宋_GB2312" w:cs="Times New Roman"/>
          <w:bCs/>
          <w:sz w:val="24"/>
          <w:highlight w:val="none"/>
        </w:rPr>
        <w:t>收集地表径流，有效的减少了开挖断面，减少了非必要的土石方开挖；建构筑物施工除必要的地下建筑物挖方外，均采用钢筋混凝土基础</w:t>
      </w:r>
      <w:r>
        <w:rPr>
          <w:rFonts w:hint="default" w:ascii="Times New Roman" w:hAnsi="Times New Roman" w:eastAsia="仿宋_GB2312" w:cs="Times New Roman"/>
          <w:bCs/>
          <w:sz w:val="24"/>
          <w:highlight w:val="none"/>
          <w:lang w:val="en-US" w:eastAsia="zh-CN"/>
        </w:rPr>
        <w:t>和轻钢</w:t>
      </w:r>
      <w:r>
        <w:rPr>
          <w:rFonts w:hint="default" w:ascii="Times New Roman" w:hAnsi="Times New Roman" w:eastAsia="仿宋_GB2312" w:cs="Times New Roman"/>
          <w:bCs/>
          <w:sz w:val="24"/>
          <w:highlight w:val="none"/>
        </w:rPr>
        <w:t>框架结构；主体工程绿化设计标准采用1级标准；主体工程雨水管线工程按照《室外排水设计标准》要求设计重现期以2年为标准进行设计。工程建设方案布局结合地形、地貌、交通、经济等具体情况，最大限度地减少了占地，平面布局合理。工程建设方案总体布局在充分利用现有条件的前提下，最大满足工程布局合理、交通运输方便、减少土石方量的要求，总体布局基本合理。</w:t>
      </w:r>
    </w:p>
    <w:p>
      <w:pPr>
        <w:pageBreakBefore w:val="0"/>
        <w:kinsoku/>
        <w:wordWrap/>
        <w:bidi w:val="0"/>
        <w:spacing w:line="360" w:lineRule="auto"/>
        <w:ind w:firstLine="480" w:firstLineChars="200"/>
        <w:rPr>
          <w:rFonts w:hint="default" w:ascii="Times New Roman" w:hAnsi="Times New Roman" w:cs="Times New Roman"/>
        </w:rPr>
      </w:pPr>
      <w:r>
        <w:rPr>
          <w:rFonts w:hint="default" w:ascii="Times New Roman" w:hAnsi="Times New Roman" w:eastAsia="仿宋_GB2312" w:cs="Times New Roman"/>
          <w:bCs/>
          <w:sz w:val="24"/>
          <w:highlight w:val="none"/>
        </w:rPr>
        <w:t>从水土保持角度来分析，项目选址基本合理，总体布局紧凑，尽量减少对原地貌、地表植被的占用和破坏，减少对周边生态环境的影响，可使项目区的水土流失降至最低。因此，工程建设方案与布局符合水土保持的要求。</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3.2.2工程占地评价</w:t>
      </w:r>
    </w:p>
    <w:p>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仿宋_GB2312" w:cs="Times New Roman"/>
          <w:sz w:val="24"/>
          <w:szCs w:val="24"/>
          <w:highlight w:val="none"/>
        </w:rPr>
      </w:pPr>
      <w:bookmarkStart w:id="211" w:name="_Toc165190167"/>
      <w:bookmarkStart w:id="212" w:name="_Toc165093787"/>
      <w:bookmarkStart w:id="213" w:name="_Toc152040110"/>
      <w:bookmarkStart w:id="214" w:name="_Toc156179562"/>
      <w:r>
        <w:rPr>
          <w:rFonts w:hint="default" w:ascii="Times New Roman" w:hAnsi="Times New Roman" w:eastAsia="仿宋_GB2312" w:cs="Times New Roman"/>
          <w:sz w:val="24"/>
          <w:szCs w:val="24"/>
          <w:highlight w:val="none"/>
          <w:lang w:val="en-US" w:eastAsia="zh-CN"/>
        </w:rPr>
        <w:t>本期</w:t>
      </w:r>
      <w:r>
        <w:rPr>
          <w:rFonts w:hint="default" w:ascii="Times New Roman" w:hAnsi="Times New Roman" w:eastAsia="仿宋_GB2312" w:cs="Times New Roman"/>
          <w:sz w:val="24"/>
          <w:szCs w:val="24"/>
          <w:highlight w:val="none"/>
        </w:rPr>
        <w:t>项目施工期间直接利用</w:t>
      </w:r>
      <w:r>
        <w:rPr>
          <w:rFonts w:hint="default" w:ascii="Times New Roman" w:hAnsi="Times New Roman" w:eastAsia="仿宋_GB2312" w:cs="Times New Roman"/>
          <w:sz w:val="24"/>
          <w:szCs w:val="24"/>
          <w:highlight w:val="none"/>
          <w:lang w:eastAsia="zh-CN"/>
        </w:rPr>
        <w:t>周边</w:t>
      </w:r>
      <w:r>
        <w:rPr>
          <w:rFonts w:hint="default" w:ascii="Times New Roman" w:hAnsi="Times New Roman" w:eastAsia="仿宋_GB2312" w:cs="Times New Roman"/>
          <w:sz w:val="24"/>
          <w:szCs w:val="24"/>
          <w:highlight w:val="none"/>
        </w:rPr>
        <w:t>市政道路进场，无需新建外部道路；用电、用水均接引利用</w:t>
      </w:r>
      <w:r>
        <w:rPr>
          <w:rFonts w:hint="default" w:ascii="Times New Roman" w:hAnsi="Times New Roman" w:eastAsia="仿宋_GB2312" w:cs="Times New Roman"/>
          <w:sz w:val="24"/>
          <w:szCs w:val="24"/>
          <w:highlight w:val="none"/>
          <w:lang w:eastAsia="zh-CN"/>
        </w:rPr>
        <w:t>既有市政设施</w:t>
      </w:r>
      <w:r>
        <w:rPr>
          <w:rFonts w:hint="default" w:ascii="Times New Roman" w:hAnsi="Times New Roman" w:eastAsia="仿宋_GB2312" w:cs="Times New Roman"/>
          <w:sz w:val="24"/>
          <w:szCs w:val="24"/>
          <w:highlight w:val="none"/>
        </w:rPr>
        <w:t>；项目区内道路采取永临结合的方式，不在永久征地范围外另行设置临时道路</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施工生产生活区布置在项目</w:t>
      </w:r>
      <w:r>
        <w:rPr>
          <w:rFonts w:hint="eastAsia" w:eastAsia="仿宋_GB2312" w:cs="Times New Roman"/>
          <w:sz w:val="24"/>
          <w:szCs w:val="24"/>
          <w:highlight w:val="none"/>
          <w:lang w:val="en-US" w:eastAsia="zh-CN"/>
        </w:rPr>
        <w:t>占地</w:t>
      </w:r>
      <w:r>
        <w:rPr>
          <w:rFonts w:hint="default" w:ascii="Times New Roman" w:hAnsi="Times New Roman" w:eastAsia="仿宋_GB2312" w:cs="Times New Roman"/>
          <w:sz w:val="24"/>
          <w:szCs w:val="24"/>
          <w:highlight w:val="none"/>
        </w:rPr>
        <w:t>范围内，不另行占地。通过合理利用现有场地，优化施工组织和加强土石方调配，</w:t>
      </w:r>
      <w:r>
        <w:rPr>
          <w:rFonts w:hint="default" w:ascii="Times New Roman" w:hAnsi="Times New Roman" w:eastAsia="仿宋_GB2312" w:cs="Times New Roman"/>
          <w:sz w:val="24"/>
          <w:szCs w:val="24"/>
          <w:highlight w:val="none"/>
          <w:lang w:eastAsia="zh-CN"/>
        </w:rPr>
        <w:t>地下开挖土方直接用于场平，减少弃土征地面积</w:t>
      </w:r>
      <w:r>
        <w:rPr>
          <w:rFonts w:hint="default" w:ascii="Times New Roman" w:hAnsi="Times New Roman" w:eastAsia="仿宋_GB2312" w:cs="Times New Roman"/>
          <w:sz w:val="24"/>
          <w:szCs w:val="24"/>
          <w:highlight w:val="none"/>
        </w:rPr>
        <w:t>。项目永久</w:t>
      </w:r>
      <w:r>
        <w:rPr>
          <w:rFonts w:hint="eastAsia" w:eastAsia="仿宋_GB2312" w:cs="Times New Roman"/>
          <w:sz w:val="24"/>
          <w:szCs w:val="24"/>
          <w:highlight w:val="none"/>
          <w:lang w:val="en-US" w:eastAsia="zh-CN"/>
        </w:rPr>
        <w:t>征</w:t>
      </w:r>
      <w:r>
        <w:rPr>
          <w:rFonts w:hint="default" w:ascii="Times New Roman" w:hAnsi="Times New Roman" w:eastAsia="仿宋_GB2312" w:cs="Times New Roman"/>
          <w:sz w:val="24"/>
          <w:szCs w:val="24"/>
          <w:highlight w:val="none"/>
        </w:rPr>
        <w:t>地范围可以满足项目施工需求，不需在场地外增加临时占地。</w:t>
      </w:r>
    </w:p>
    <w:p>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lang w:eastAsia="zh-CN"/>
        </w:rPr>
        <w:t>本期工程</w:t>
      </w:r>
      <w:r>
        <w:rPr>
          <w:rFonts w:hint="default" w:ascii="Times New Roman" w:hAnsi="Times New Roman" w:eastAsia="仿宋_GB2312" w:cs="Times New Roman"/>
          <w:sz w:val="24"/>
          <w:szCs w:val="24"/>
          <w:highlight w:val="none"/>
        </w:rPr>
        <w:t>总占地面积共计</w:t>
      </w:r>
      <w:r>
        <w:rPr>
          <w:rFonts w:hint="eastAsia" w:eastAsia="仿宋_GB2312" w:cs="Times New Roman"/>
          <w:sz w:val="24"/>
          <w:szCs w:val="24"/>
          <w:highlight w:val="none"/>
          <w:lang w:val="en-US" w:eastAsia="zh-CN"/>
        </w:rPr>
        <w:t>19.98</w:t>
      </w:r>
      <w:r>
        <w:rPr>
          <w:rFonts w:hint="default" w:ascii="Times New Roman" w:hAnsi="Times New Roman" w:eastAsia="仿宋_GB2312" w:cs="Times New Roman"/>
          <w:sz w:val="24"/>
          <w:szCs w:val="24"/>
          <w:highlight w:val="none"/>
        </w:rPr>
        <w:t>h</w:t>
      </w:r>
      <w:r>
        <w:rPr>
          <w:rFonts w:hint="default" w:ascii="Times New Roman" w:hAnsi="Times New Roman" w:eastAsia="仿宋_GB2312" w:cs="Times New Roman"/>
          <w:sz w:val="24"/>
          <w:szCs w:val="24"/>
        </w:rPr>
        <w:t>m²</w:t>
      </w:r>
      <w:r>
        <w:rPr>
          <w:rFonts w:hint="default" w:ascii="Times New Roman" w:hAnsi="Times New Roman" w:eastAsia="仿宋_GB2312" w:cs="Times New Roman"/>
          <w:sz w:val="24"/>
          <w:szCs w:val="24"/>
          <w:highlight w:val="none"/>
        </w:rPr>
        <w:t>，占地类型为</w:t>
      </w:r>
      <w:r>
        <w:rPr>
          <w:rFonts w:hint="default" w:ascii="Times New Roman" w:hAnsi="Times New Roman" w:eastAsia="仿宋_GB2312" w:cs="Times New Roman"/>
          <w:sz w:val="24"/>
          <w:szCs w:val="24"/>
          <w:highlight w:val="none"/>
          <w:lang w:eastAsia="zh-CN"/>
        </w:rPr>
        <w:t>工矿及仓储用地</w:t>
      </w:r>
      <w:r>
        <w:rPr>
          <w:rFonts w:hint="default" w:ascii="Times New Roman" w:hAnsi="Times New Roman" w:eastAsia="仿宋_GB2312" w:cs="Times New Roman"/>
          <w:sz w:val="24"/>
          <w:szCs w:val="24"/>
          <w:highlight w:val="none"/>
        </w:rPr>
        <w:t>。工程占地范围明确，占地面积统计无漏项、缺项。</w:t>
      </w:r>
    </w:p>
    <w:p>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lang w:eastAsia="zh-CN"/>
        </w:rPr>
        <w:t>本期项目</w:t>
      </w:r>
      <w:r>
        <w:rPr>
          <w:rFonts w:hint="default" w:ascii="Times New Roman" w:hAnsi="Times New Roman" w:eastAsia="仿宋_GB2312" w:cs="Times New Roman"/>
          <w:sz w:val="24"/>
          <w:szCs w:val="24"/>
          <w:highlight w:val="none"/>
        </w:rPr>
        <w:t>规划指标为绿化率</w:t>
      </w:r>
      <w:r>
        <w:rPr>
          <w:rFonts w:hint="eastAsia" w:eastAsia="仿宋_GB2312" w:cs="Times New Roman"/>
          <w:sz w:val="24"/>
          <w:szCs w:val="24"/>
          <w:highlight w:val="none"/>
          <w:lang w:val="en-US" w:eastAsia="zh-CN"/>
        </w:rPr>
        <w:t>19.98</w:t>
      </w:r>
      <w:r>
        <w:rPr>
          <w:rFonts w:hint="default" w:ascii="Times New Roman" w:hAnsi="Times New Roman" w:eastAsia="仿宋_GB2312" w:cs="Times New Roman"/>
          <w:sz w:val="24"/>
          <w:szCs w:val="24"/>
          <w:highlight w:val="none"/>
        </w:rPr>
        <w:t>%，容积率</w:t>
      </w:r>
      <w:r>
        <w:rPr>
          <w:rFonts w:hint="eastAsia" w:eastAsia="仿宋_GB2312" w:cs="Times New Roman"/>
          <w:sz w:val="24"/>
          <w:szCs w:val="24"/>
          <w:highlight w:val="none"/>
          <w:lang w:eastAsia="zh-CN"/>
        </w:rPr>
        <w:t>0.94</w:t>
      </w:r>
      <w:r>
        <w:rPr>
          <w:rFonts w:hint="default" w:ascii="Times New Roman" w:hAnsi="Times New Roman" w:eastAsia="仿宋_GB2312" w:cs="Times New Roman"/>
          <w:sz w:val="24"/>
          <w:szCs w:val="24"/>
          <w:highlight w:val="none"/>
        </w:rPr>
        <w:t>，建筑密度为</w:t>
      </w:r>
      <w:r>
        <w:rPr>
          <w:rFonts w:hint="eastAsia" w:eastAsia="仿宋_GB2312" w:cs="Times New Roman"/>
          <w:sz w:val="24"/>
          <w:szCs w:val="24"/>
          <w:highlight w:val="none"/>
          <w:lang w:eastAsia="zh-CN"/>
        </w:rPr>
        <w:t>40.05</w:t>
      </w:r>
      <w:r>
        <w:rPr>
          <w:rFonts w:hint="default" w:ascii="Times New Roman" w:hAnsi="Times New Roman" w:eastAsia="仿宋_GB2312" w:cs="Times New Roman"/>
          <w:sz w:val="24"/>
          <w:szCs w:val="24"/>
          <w:highlight w:val="none"/>
        </w:rPr>
        <w:t>%</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满足建设用地规划设计条件要求。</w:t>
      </w:r>
    </w:p>
    <w:p>
      <w:pPr>
        <w:pStyle w:val="16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rPr>
      </w:pPr>
      <w:r>
        <w:rPr>
          <w:rFonts w:hint="default" w:ascii="Times New Roman" w:hAnsi="Times New Roman" w:eastAsia="微软雅黑" w:cs="Times New Roman"/>
          <w:b w:val="0"/>
          <w:bCs w:val="0"/>
          <w:sz w:val="21"/>
          <w:szCs w:val="21"/>
          <w:highlight w:val="none"/>
        </w:rPr>
        <w:t>表3-2</w:t>
      </w:r>
      <w:r>
        <w:rPr>
          <w:rFonts w:hint="default" w:ascii="Times New Roman" w:hAnsi="Times New Roman" w:eastAsia="微软雅黑" w:cs="Times New Roman"/>
          <w:b w:val="0"/>
          <w:bCs w:val="0"/>
          <w:sz w:val="21"/>
          <w:szCs w:val="21"/>
          <w:highlight w:val="none"/>
          <w:lang w:val="en-US" w:eastAsia="zh-CN"/>
        </w:rPr>
        <w:t xml:space="preserve">  </w:t>
      </w:r>
      <w:r>
        <w:rPr>
          <w:rFonts w:hint="default" w:ascii="Times New Roman" w:hAnsi="Times New Roman" w:eastAsia="微软雅黑" w:cs="Times New Roman"/>
          <w:b w:val="0"/>
          <w:bCs w:val="0"/>
          <w:sz w:val="21"/>
          <w:szCs w:val="21"/>
          <w:highlight w:val="none"/>
        </w:rPr>
        <w:t>项目占地标准指标统计表</w:t>
      </w:r>
    </w:p>
    <w:tbl>
      <w:tblPr>
        <w:tblStyle w:val="556"/>
        <w:tblW w:w="4997" w:type="pct"/>
        <w:jc w:val="center"/>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Layout w:type="autofit"/>
        <w:tblCellMar>
          <w:top w:w="0" w:type="dxa"/>
          <w:left w:w="0" w:type="dxa"/>
          <w:bottom w:w="0" w:type="dxa"/>
          <w:right w:w="0" w:type="dxa"/>
        </w:tblCellMar>
      </w:tblPr>
      <w:tblGrid>
        <w:gridCol w:w="720"/>
        <w:gridCol w:w="938"/>
        <w:gridCol w:w="947"/>
        <w:gridCol w:w="689"/>
        <w:gridCol w:w="829"/>
        <w:gridCol w:w="688"/>
        <w:gridCol w:w="758"/>
        <w:gridCol w:w="1372"/>
        <w:gridCol w:w="824"/>
        <w:gridCol w:w="638"/>
      </w:tblGrid>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PrEx>
        <w:trPr>
          <w:trHeight w:val="454" w:hRule="atLeast"/>
          <w:jc w:val="center"/>
        </w:trPr>
        <w:tc>
          <w:tcPr>
            <w:tcW w:w="428"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分</w:t>
            </w:r>
            <w:r>
              <w:rPr>
                <w:rFonts w:hint="default" w:ascii="Times New Roman" w:hAnsi="Times New Roman" w:eastAsia="仿宋_GB2312" w:cs="Times New Roman"/>
                <w:spacing w:val="2"/>
                <w:sz w:val="20"/>
                <w:szCs w:val="20"/>
              </w:rPr>
              <w:t>区</w:t>
            </w:r>
          </w:p>
        </w:tc>
        <w:tc>
          <w:tcPr>
            <w:tcW w:w="558"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2"/>
                <w:sz w:val="20"/>
                <w:szCs w:val="20"/>
              </w:rPr>
              <w:t>占</w:t>
            </w:r>
            <w:r>
              <w:rPr>
                <w:rFonts w:hint="default" w:ascii="Times New Roman" w:hAnsi="Times New Roman" w:eastAsia="仿宋_GB2312" w:cs="Times New Roman"/>
                <w:spacing w:val="-11"/>
                <w:sz w:val="20"/>
                <w:szCs w:val="20"/>
              </w:rPr>
              <w:t>地</w:t>
            </w:r>
            <w:r>
              <w:rPr>
                <w:rFonts w:hint="default" w:ascii="Times New Roman" w:hAnsi="Times New Roman" w:eastAsia="仿宋_GB2312" w:cs="Times New Roman"/>
                <w:spacing w:val="72"/>
                <w:sz w:val="20"/>
                <w:szCs w:val="20"/>
              </w:rPr>
              <w:t>面积</w:t>
            </w:r>
            <w:r>
              <w:rPr>
                <w:rFonts w:hint="default" w:ascii="Times New Roman" w:hAnsi="Times New Roman" w:eastAsia="仿宋_GB2312" w:cs="Times New Roman"/>
                <w:spacing w:val="30"/>
                <w:sz w:val="20"/>
                <w:szCs w:val="20"/>
              </w:rPr>
              <w:t>(</w:t>
            </w:r>
            <w:r>
              <w:rPr>
                <w:rFonts w:hint="default" w:ascii="Times New Roman" w:hAnsi="Times New Roman" w:eastAsia="仿宋_GB2312" w:cs="Times New Roman"/>
                <w:sz w:val="20"/>
                <w:szCs w:val="20"/>
              </w:rPr>
              <w:t>hm</w:t>
            </w:r>
            <w:r>
              <w:rPr>
                <w:rFonts w:hint="default" w:ascii="Times New Roman" w:hAnsi="Times New Roman" w:eastAsia="仿宋_GB2312" w:cs="Times New Roman"/>
                <w:spacing w:val="28"/>
                <w:sz w:val="20"/>
                <w:szCs w:val="20"/>
              </w:rPr>
              <w:t>²)</w:t>
            </w:r>
          </w:p>
        </w:tc>
        <w:tc>
          <w:tcPr>
            <w:tcW w:w="563"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lang w:val="en-US" w:eastAsia="zh-CN"/>
              </w:rPr>
              <w:t>用地</w:t>
            </w:r>
            <w:r>
              <w:rPr>
                <w:rFonts w:hint="default" w:ascii="Times New Roman" w:hAnsi="Times New Roman" w:eastAsia="仿宋_GB2312" w:cs="Times New Roman"/>
                <w:spacing w:val="3"/>
                <w:sz w:val="20"/>
                <w:szCs w:val="20"/>
              </w:rPr>
              <w:t>性</w:t>
            </w:r>
            <w:r>
              <w:rPr>
                <w:rFonts w:hint="default" w:ascii="Times New Roman" w:hAnsi="Times New Roman" w:eastAsia="仿宋_GB2312" w:cs="Times New Roman"/>
                <w:spacing w:val="2"/>
                <w:sz w:val="20"/>
                <w:szCs w:val="20"/>
              </w:rPr>
              <w:t>质</w:t>
            </w:r>
          </w:p>
        </w:tc>
        <w:tc>
          <w:tcPr>
            <w:tcW w:w="903"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容积率</w:t>
            </w:r>
          </w:p>
        </w:tc>
        <w:tc>
          <w:tcPr>
            <w:tcW w:w="860"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建筑密度</w:t>
            </w:r>
          </w:p>
        </w:tc>
        <w:tc>
          <w:tcPr>
            <w:tcW w:w="1306"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绿化率</w:t>
            </w:r>
          </w:p>
        </w:tc>
        <w:tc>
          <w:tcPr>
            <w:tcW w:w="379"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11"/>
                <w:sz w:val="20"/>
                <w:szCs w:val="20"/>
              </w:rPr>
            </w:pPr>
            <w:r>
              <w:rPr>
                <w:rFonts w:hint="default" w:ascii="Times New Roman" w:hAnsi="Times New Roman" w:eastAsia="仿宋_GB2312" w:cs="Times New Roman"/>
                <w:spacing w:val="-12"/>
                <w:sz w:val="20"/>
                <w:szCs w:val="20"/>
              </w:rPr>
              <w:t>占</w:t>
            </w:r>
            <w:r>
              <w:rPr>
                <w:rFonts w:hint="default" w:ascii="Times New Roman" w:hAnsi="Times New Roman" w:eastAsia="仿宋_GB2312" w:cs="Times New Roman"/>
                <w:spacing w:val="-11"/>
                <w:sz w:val="20"/>
                <w:szCs w:val="20"/>
              </w:rPr>
              <w:t>地</w:t>
            </w:r>
          </w:p>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标准</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42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p>
        </w:tc>
        <w:tc>
          <w:tcPr>
            <w:tcW w:w="55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p>
        </w:tc>
        <w:tc>
          <w:tcPr>
            <w:tcW w:w="56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p>
        </w:tc>
        <w:tc>
          <w:tcPr>
            <w:tcW w:w="41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0"/>
                <w:szCs w:val="20"/>
              </w:rPr>
            </w:pPr>
            <w:r>
              <w:rPr>
                <w:rFonts w:hint="default" w:ascii="Times New Roman" w:hAnsi="Times New Roman" w:eastAsia="仿宋_GB2312" w:cs="Times New Roman"/>
                <w:spacing w:val="5"/>
                <w:sz w:val="20"/>
                <w:szCs w:val="20"/>
              </w:rPr>
              <w:t>规划</w:t>
            </w:r>
          </w:p>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0"/>
                <w:szCs w:val="20"/>
              </w:rPr>
            </w:pPr>
            <w:r>
              <w:rPr>
                <w:rFonts w:hint="default" w:ascii="Times New Roman" w:hAnsi="Times New Roman" w:eastAsia="仿宋_GB2312" w:cs="Times New Roman"/>
                <w:spacing w:val="5"/>
                <w:sz w:val="20"/>
                <w:szCs w:val="20"/>
              </w:rPr>
              <w:t>条件</w:t>
            </w:r>
          </w:p>
        </w:tc>
        <w:tc>
          <w:tcPr>
            <w:tcW w:w="49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0"/>
                <w:szCs w:val="20"/>
              </w:rPr>
            </w:pPr>
            <w:r>
              <w:rPr>
                <w:rFonts w:hint="default" w:ascii="Times New Roman" w:hAnsi="Times New Roman" w:eastAsia="仿宋_GB2312" w:cs="Times New Roman"/>
                <w:spacing w:val="5"/>
                <w:sz w:val="20"/>
                <w:szCs w:val="20"/>
              </w:rPr>
              <w:t>实际</w:t>
            </w:r>
          </w:p>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0"/>
                <w:szCs w:val="20"/>
              </w:rPr>
            </w:pPr>
            <w:r>
              <w:rPr>
                <w:rFonts w:hint="default" w:ascii="Times New Roman" w:hAnsi="Times New Roman" w:eastAsia="仿宋_GB2312" w:cs="Times New Roman"/>
                <w:spacing w:val="5"/>
                <w:sz w:val="20"/>
                <w:szCs w:val="20"/>
              </w:rPr>
              <w:t>参数</w:t>
            </w:r>
          </w:p>
        </w:tc>
        <w:tc>
          <w:tcPr>
            <w:tcW w:w="4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0"/>
                <w:szCs w:val="20"/>
              </w:rPr>
            </w:pPr>
            <w:r>
              <w:rPr>
                <w:rFonts w:hint="default" w:ascii="Times New Roman" w:hAnsi="Times New Roman" w:eastAsia="仿宋_GB2312" w:cs="Times New Roman"/>
                <w:spacing w:val="5"/>
                <w:sz w:val="20"/>
                <w:szCs w:val="20"/>
              </w:rPr>
              <w:t>规划</w:t>
            </w:r>
          </w:p>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0"/>
                <w:szCs w:val="20"/>
              </w:rPr>
            </w:pPr>
            <w:r>
              <w:rPr>
                <w:rFonts w:hint="default" w:ascii="Times New Roman" w:hAnsi="Times New Roman" w:eastAsia="仿宋_GB2312" w:cs="Times New Roman"/>
                <w:spacing w:val="5"/>
                <w:sz w:val="20"/>
                <w:szCs w:val="20"/>
              </w:rPr>
              <w:t>条件</w:t>
            </w:r>
          </w:p>
        </w:tc>
        <w:tc>
          <w:tcPr>
            <w:tcW w:w="4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0"/>
                <w:szCs w:val="20"/>
              </w:rPr>
            </w:pPr>
            <w:r>
              <w:rPr>
                <w:rFonts w:hint="default" w:ascii="Times New Roman" w:hAnsi="Times New Roman" w:eastAsia="仿宋_GB2312" w:cs="Times New Roman"/>
                <w:spacing w:val="5"/>
                <w:sz w:val="20"/>
                <w:szCs w:val="20"/>
              </w:rPr>
              <w:t>实际</w:t>
            </w:r>
          </w:p>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0"/>
                <w:szCs w:val="20"/>
              </w:rPr>
            </w:pPr>
            <w:r>
              <w:rPr>
                <w:rFonts w:hint="default" w:ascii="Times New Roman" w:hAnsi="Times New Roman" w:eastAsia="仿宋_GB2312" w:cs="Times New Roman"/>
                <w:spacing w:val="5"/>
                <w:sz w:val="20"/>
                <w:szCs w:val="20"/>
              </w:rPr>
              <w:t>参数</w:t>
            </w:r>
          </w:p>
        </w:tc>
        <w:tc>
          <w:tcPr>
            <w:tcW w:w="81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0"/>
                <w:szCs w:val="20"/>
              </w:rPr>
            </w:pPr>
            <w:r>
              <w:rPr>
                <w:rFonts w:hint="default" w:ascii="Times New Roman" w:hAnsi="Times New Roman" w:eastAsia="仿宋_GB2312" w:cs="Times New Roman"/>
                <w:spacing w:val="5"/>
                <w:sz w:val="20"/>
                <w:szCs w:val="20"/>
              </w:rPr>
              <w:t>规划条件</w:t>
            </w:r>
          </w:p>
        </w:tc>
        <w:tc>
          <w:tcPr>
            <w:tcW w:w="49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0"/>
                <w:szCs w:val="20"/>
              </w:rPr>
            </w:pPr>
            <w:r>
              <w:rPr>
                <w:rFonts w:hint="default" w:ascii="Times New Roman" w:hAnsi="Times New Roman" w:eastAsia="仿宋_GB2312" w:cs="Times New Roman"/>
                <w:spacing w:val="5"/>
                <w:sz w:val="20"/>
                <w:szCs w:val="20"/>
              </w:rPr>
              <w:t>实际</w:t>
            </w:r>
          </w:p>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0"/>
                <w:szCs w:val="20"/>
              </w:rPr>
            </w:pPr>
            <w:r>
              <w:rPr>
                <w:rFonts w:hint="default" w:ascii="Times New Roman" w:hAnsi="Times New Roman" w:eastAsia="仿宋_GB2312" w:cs="Times New Roman"/>
                <w:spacing w:val="5"/>
                <w:sz w:val="20"/>
                <w:szCs w:val="20"/>
              </w:rPr>
              <w:t>参数</w:t>
            </w:r>
          </w:p>
        </w:tc>
        <w:tc>
          <w:tcPr>
            <w:tcW w:w="37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42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工</w:t>
            </w:r>
            <w:r>
              <w:rPr>
                <w:rFonts w:hint="default" w:ascii="Times New Roman" w:hAnsi="Times New Roman" w:eastAsia="仿宋_GB2312" w:cs="Times New Roman"/>
                <w:spacing w:val="4"/>
                <w:sz w:val="20"/>
                <w:szCs w:val="20"/>
              </w:rPr>
              <w:t>程建设区</w:t>
            </w:r>
          </w:p>
        </w:tc>
        <w:tc>
          <w:tcPr>
            <w:tcW w:w="55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val="en-US" w:eastAsia="zh-CN"/>
              </w:rPr>
            </w:pPr>
            <w:r>
              <w:rPr>
                <w:rFonts w:hint="eastAsia" w:eastAsia="仿宋_GB2312" w:cs="Times New Roman"/>
                <w:spacing w:val="3"/>
                <w:sz w:val="20"/>
                <w:szCs w:val="20"/>
                <w:lang w:val="en-US" w:eastAsia="zh-CN"/>
              </w:rPr>
              <w:t>19.98</w:t>
            </w:r>
          </w:p>
        </w:tc>
        <w:tc>
          <w:tcPr>
            <w:tcW w:w="56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eastAsia="zh-CN"/>
              </w:rPr>
            </w:pPr>
            <w:r>
              <w:rPr>
                <w:rFonts w:hint="default" w:ascii="Times New Roman" w:hAnsi="Times New Roman" w:eastAsia="仿宋_GB2312" w:cs="Times New Roman"/>
                <w:spacing w:val="6"/>
                <w:sz w:val="20"/>
                <w:szCs w:val="20"/>
                <w:lang w:eastAsia="zh-CN"/>
              </w:rPr>
              <w:t>工矿及仓储用地</w:t>
            </w:r>
          </w:p>
        </w:tc>
        <w:tc>
          <w:tcPr>
            <w:tcW w:w="41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
                <w:position w:val="1"/>
                <w:sz w:val="20"/>
                <w:szCs w:val="20"/>
              </w:rPr>
              <w:t>＞0</w:t>
            </w:r>
            <w:r>
              <w:rPr>
                <w:rFonts w:hint="default" w:ascii="Times New Roman" w:hAnsi="Times New Roman" w:eastAsia="仿宋_GB2312" w:cs="Times New Roman"/>
                <w:position w:val="1"/>
                <w:sz w:val="20"/>
                <w:szCs w:val="20"/>
              </w:rPr>
              <w:t>.7</w:t>
            </w:r>
          </w:p>
        </w:tc>
        <w:tc>
          <w:tcPr>
            <w:tcW w:w="49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val="en-US" w:eastAsia="zh-CN"/>
              </w:rPr>
            </w:pPr>
            <w:r>
              <w:rPr>
                <w:rFonts w:hint="eastAsia" w:eastAsia="仿宋_GB2312" w:cs="Times New Roman"/>
                <w:spacing w:val="3"/>
                <w:sz w:val="20"/>
                <w:szCs w:val="20"/>
                <w:lang w:val="en-US" w:eastAsia="zh-CN"/>
              </w:rPr>
              <w:t>0.94</w:t>
            </w:r>
          </w:p>
        </w:tc>
        <w:tc>
          <w:tcPr>
            <w:tcW w:w="4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
                <w:position w:val="1"/>
                <w:sz w:val="20"/>
                <w:szCs w:val="20"/>
              </w:rPr>
              <w:t>＞40</w:t>
            </w:r>
          </w:p>
        </w:tc>
        <w:tc>
          <w:tcPr>
            <w:tcW w:w="4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1"/>
                <w:position w:val="1"/>
                <w:sz w:val="20"/>
                <w:szCs w:val="20"/>
              </w:rPr>
            </w:pPr>
            <w:r>
              <w:rPr>
                <w:rFonts w:hint="eastAsia" w:ascii="Times New Roman" w:hAnsi="Times New Roman" w:eastAsia="仿宋_GB2312" w:cs="Times New Roman"/>
                <w:spacing w:val="1"/>
                <w:position w:val="1"/>
                <w:sz w:val="20"/>
                <w:szCs w:val="20"/>
                <w:lang w:eastAsia="zh-CN"/>
              </w:rPr>
              <w:t>40.05</w:t>
            </w:r>
            <w:r>
              <w:rPr>
                <w:rFonts w:hint="default" w:ascii="Times New Roman" w:hAnsi="Times New Roman" w:eastAsia="仿宋_GB2312" w:cs="Times New Roman"/>
                <w:spacing w:val="1"/>
                <w:position w:val="1"/>
                <w:sz w:val="20"/>
                <w:szCs w:val="20"/>
              </w:rPr>
              <w:t>%</w:t>
            </w:r>
          </w:p>
        </w:tc>
        <w:tc>
          <w:tcPr>
            <w:tcW w:w="81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1"/>
                <w:position w:val="1"/>
                <w:sz w:val="20"/>
                <w:szCs w:val="20"/>
                <w:lang w:eastAsia="zh-CN"/>
              </w:rPr>
            </w:pPr>
            <w:r>
              <w:rPr>
                <w:rFonts w:hint="default" w:ascii="Times New Roman" w:hAnsi="Times New Roman" w:eastAsia="仿宋_GB2312" w:cs="Times New Roman"/>
                <w:spacing w:val="1"/>
                <w:position w:val="1"/>
                <w:sz w:val="20"/>
                <w:szCs w:val="20"/>
              </w:rPr>
              <w:t>＞19%且＜</w:t>
            </w:r>
            <w:r>
              <w:rPr>
                <w:rFonts w:hint="eastAsia" w:eastAsia="仿宋_GB2312" w:cs="Times New Roman"/>
                <w:spacing w:val="1"/>
                <w:position w:val="1"/>
                <w:sz w:val="20"/>
                <w:szCs w:val="20"/>
                <w:lang w:val="en-US" w:eastAsia="zh-CN"/>
              </w:rPr>
              <w:t>20</w:t>
            </w:r>
            <w:r>
              <w:rPr>
                <w:rFonts w:hint="default" w:ascii="Times New Roman" w:hAnsi="Times New Roman" w:eastAsia="仿宋_GB2312" w:cs="Times New Roman"/>
                <w:spacing w:val="1"/>
                <w:position w:val="1"/>
                <w:sz w:val="20"/>
                <w:szCs w:val="20"/>
                <w:lang w:eastAsia="zh-CN"/>
              </w:rPr>
              <w:t>%</w:t>
            </w:r>
          </w:p>
        </w:tc>
        <w:tc>
          <w:tcPr>
            <w:tcW w:w="49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eastAsia" w:eastAsia="仿宋_GB2312" w:cs="Times New Roman"/>
                <w:spacing w:val="2"/>
                <w:position w:val="2"/>
                <w:sz w:val="20"/>
                <w:szCs w:val="20"/>
                <w:lang w:eastAsia="zh-CN"/>
              </w:rPr>
              <w:t>19.98</w:t>
            </w:r>
            <w:r>
              <w:rPr>
                <w:rFonts w:hint="default" w:ascii="Times New Roman" w:hAnsi="Times New Roman" w:eastAsia="仿宋_GB2312" w:cs="Times New Roman"/>
                <w:spacing w:val="1"/>
                <w:position w:val="2"/>
                <w:sz w:val="20"/>
                <w:szCs w:val="20"/>
              </w:rPr>
              <w:t>%</w:t>
            </w:r>
          </w:p>
        </w:tc>
        <w:tc>
          <w:tcPr>
            <w:tcW w:w="37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符</w:t>
            </w:r>
            <w:r>
              <w:rPr>
                <w:rFonts w:hint="default" w:ascii="Times New Roman" w:hAnsi="Times New Roman" w:eastAsia="仿宋_GB2312" w:cs="Times New Roman"/>
                <w:spacing w:val="1"/>
                <w:sz w:val="20"/>
                <w:szCs w:val="20"/>
              </w:rPr>
              <w:t>合</w:t>
            </w:r>
          </w:p>
        </w:tc>
      </w:tr>
    </w:tbl>
    <w:p>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综上，从水土保持角度分析，</w:t>
      </w:r>
      <w:r>
        <w:rPr>
          <w:rFonts w:hint="default" w:ascii="Times New Roman" w:hAnsi="Times New Roman" w:eastAsia="仿宋_GB2312" w:cs="Times New Roman"/>
          <w:sz w:val="24"/>
          <w:szCs w:val="24"/>
          <w:highlight w:val="none"/>
          <w:lang w:eastAsia="zh-CN"/>
        </w:rPr>
        <w:t>本期项目</w:t>
      </w:r>
      <w:r>
        <w:rPr>
          <w:rFonts w:hint="default" w:ascii="Times New Roman" w:hAnsi="Times New Roman" w:eastAsia="仿宋_GB2312" w:cs="Times New Roman"/>
          <w:sz w:val="24"/>
          <w:szCs w:val="24"/>
          <w:highlight w:val="none"/>
        </w:rPr>
        <w:t>工程占地范围明确，占地统计无漏项、缺项，项目规划设计指标满足建设用地规划设计条件，工程占地总体符合水土保持和节约用地的要求。</w:t>
      </w:r>
      <w:r>
        <w:rPr>
          <w:rFonts w:hint="default" w:ascii="Times New Roman" w:hAnsi="Times New Roman" w:eastAsia="仿宋_GB2312" w:cs="Times New Roman"/>
          <w:sz w:val="24"/>
          <w:szCs w:val="24"/>
          <w:highlight w:val="none"/>
          <w:lang w:eastAsia="zh-CN"/>
        </w:rPr>
        <w:t>本期项目</w:t>
      </w:r>
      <w:r>
        <w:rPr>
          <w:rFonts w:hint="default" w:ascii="Times New Roman" w:hAnsi="Times New Roman" w:eastAsia="仿宋_GB2312" w:cs="Times New Roman"/>
          <w:sz w:val="24"/>
          <w:szCs w:val="24"/>
          <w:highlight w:val="none"/>
        </w:rPr>
        <w:t>周边供水、电、交通等公共配套设施齐全，可就近接引，不新增临时占地，可满足施工要求，工程占地不存在漏项。</w:t>
      </w:r>
    </w:p>
    <w:p>
      <w:pPr>
        <w:pStyle w:val="6"/>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3.2.3土石方平衡评价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bookmarkStart w:id="215" w:name="_Toc152040114"/>
      <w:r>
        <w:rPr>
          <w:rFonts w:hint="default" w:ascii="Times New Roman" w:hAnsi="Times New Roman" w:eastAsia="仿宋_GB2312" w:cs="Times New Roman"/>
          <w:sz w:val="24"/>
          <w:szCs w:val="24"/>
        </w:rPr>
        <w:t>1）表土资源剥离、保护和利用评价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经现场调查，项目区原地貌的净地，待建筑物及硬化施工结束后，需对景观绿化区域进行绿化用土回覆，覆土面积</w:t>
      </w:r>
      <w:r>
        <w:rPr>
          <w:rFonts w:hint="eastAsia" w:eastAsia="仿宋_GB2312" w:cs="Times New Roman"/>
          <w:sz w:val="24"/>
          <w:szCs w:val="24"/>
          <w:lang w:val="en-US" w:eastAsia="zh-CN"/>
        </w:rPr>
        <w:t>3.99</w:t>
      </w:r>
      <w:r>
        <w:rPr>
          <w:rFonts w:hint="default" w:ascii="Times New Roman" w:hAnsi="Times New Roman" w:eastAsia="仿宋_GB2312" w:cs="Times New Roman"/>
          <w:sz w:val="24"/>
          <w:szCs w:val="24"/>
        </w:rPr>
        <w:t>hm²，覆土厚度0.30m，覆土量为</w:t>
      </w:r>
      <w:r>
        <w:rPr>
          <w:rFonts w:hint="eastAsia" w:eastAsia="仿宋_GB2312" w:cs="Times New Roman"/>
          <w:sz w:val="24"/>
          <w:szCs w:val="24"/>
          <w:lang w:val="en-US" w:eastAsia="zh-CN"/>
        </w:rPr>
        <w:t>1.20</w:t>
      </w:r>
      <w:r>
        <w:rPr>
          <w:rFonts w:hint="default" w:ascii="Times New Roman" w:hAnsi="Times New Roman" w:eastAsia="仿宋_GB2312" w:cs="Times New Roman"/>
          <w:sz w:val="24"/>
          <w:szCs w:val="24"/>
        </w:rPr>
        <w:t>万m³，</w:t>
      </w:r>
      <w:r>
        <w:rPr>
          <w:rFonts w:hint="eastAsia" w:eastAsia="仿宋_GB2312" w:cs="Times New Roman"/>
          <w:sz w:val="24"/>
          <w:szCs w:val="24"/>
          <w:lang w:val="en-US" w:eastAsia="zh-CN"/>
        </w:rPr>
        <w:t>所需</w:t>
      </w:r>
      <w:r>
        <w:rPr>
          <w:rFonts w:hint="default" w:ascii="Times New Roman" w:hAnsi="Times New Roman" w:eastAsia="仿宋_GB2312" w:cs="Times New Roman"/>
          <w:sz w:val="24"/>
          <w:szCs w:val="24"/>
        </w:rPr>
        <w:t>绿化用土</w:t>
      </w:r>
      <w:r>
        <w:rPr>
          <w:rFonts w:hint="eastAsia" w:eastAsia="仿宋_GB2312" w:cs="Times New Roman"/>
          <w:sz w:val="24"/>
          <w:szCs w:val="24"/>
          <w:lang w:val="en-US" w:eastAsia="zh-CN"/>
        </w:rPr>
        <w:t>均</w:t>
      </w:r>
      <w:r>
        <w:rPr>
          <w:rFonts w:hint="default" w:ascii="Times New Roman" w:hAnsi="Times New Roman" w:eastAsia="仿宋_GB2312" w:cs="Times New Roman"/>
          <w:sz w:val="24"/>
          <w:szCs w:val="24"/>
        </w:rPr>
        <w:t>由</w:t>
      </w:r>
      <w:r>
        <w:rPr>
          <w:rFonts w:hint="eastAsia" w:eastAsia="仿宋_GB2312" w:cs="Times New Roman"/>
          <w:sz w:val="24"/>
          <w:szCs w:val="24"/>
          <w:lang w:val="en-US" w:eastAsia="zh-CN"/>
        </w:rPr>
        <w:t>绿化公司负责</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符合水土保持要求。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2）土石方量分析评价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1</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临时堆土及防护分析评价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本期工程</w:t>
      </w:r>
      <w:r>
        <w:rPr>
          <w:rFonts w:hint="default" w:ascii="Times New Roman" w:hAnsi="Times New Roman" w:eastAsia="仿宋_GB2312" w:cs="Times New Roman"/>
          <w:sz w:val="24"/>
          <w:szCs w:val="24"/>
        </w:rPr>
        <w:t>临时堆土场分别设置在各个建筑基础周边并进行临时防护，也便于基础施工后直接进行回填。管线施工时开挖的土石方临时堆存在管沟一侧，即挖即填，挖填自身平衡，减少了土方倒运。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2</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土方调运合理性分析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本期</w:t>
      </w:r>
      <w:r>
        <w:rPr>
          <w:rFonts w:hint="default" w:ascii="Times New Roman" w:hAnsi="Times New Roman" w:eastAsia="仿宋_GB2312" w:cs="Times New Roman"/>
          <w:sz w:val="24"/>
          <w:szCs w:val="24"/>
        </w:rPr>
        <w:t>项目土石方挖方包括建筑物基础开挖</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管线沟槽开挖</w:t>
      </w:r>
      <w:r>
        <w:rPr>
          <w:rFonts w:hint="default" w:ascii="Times New Roman" w:hAnsi="Times New Roman" w:eastAsia="仿宋_GB2312" w:cs="Times New Roman"/>
          <w:sz w:val="24"/>
          <w:szCs w:val="24"/>
        </w:rPr>
        <w:t>，填方包括场地平整回填；硬化区域基层回填随场地平整回填一并处理。各单项工程土石方挖填数量，与场地平面、竖向布置指标、施工方法及时序总体对应，土石方计算无漏项、挖填数量合理。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项目为点型建设项目，土石方调运主要为场内短距离调配。通过加强施工组织，</w:t>
      </w:r>
      <w:r>
        <w:rPr>
          <w:rFonts w:hint="default" w:ascii="Times New Roman" w:hAnsi="Times New Roman" w:eastAsia="仿宋_GB2312" w:cs="Times New Roman"/>
          <w:sz w:val="24"/>
          <w:szCs w:val="24"/>
          <w:lang w:eastAsia="zh-CN"/>
        </w:rPr>
        <w:t>基础</w:t>
      </w:r>
      <w:r>
        <w:rPr>
          <w:rFonts w:hint="default" w:ascii="Times New Roman" w:hAnsi="Times New Roman" w:eastAsia="仿宋_GB2312" w:cs="Times New Roman"/>
          <w:sz w:val="24"/>
          <w:szCs w:val="24"/>
        </w:rPr>
        <w:t>施工期间土方开挖与场地平整回填同时进行，做到土方随挖、随填，最大限度减少了土方重复挖填量和弃方量，土石方调运符合场地实际、节点适宜、时序可行。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综上，从水土保持角度分析，</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土石方数量准确，土石方调运和临时堆土方案符合工程实际，</w:t>
      </w:r>
      <w:r>
        <w:rPr>
          <w:rFonts w:hint="default" w:ascii="Times New Roman" w:hAnsi="Times New Roman" w:eastAsia="仿宋_GB2312" w:cs="Times New Roman"/>
          <w:sz w:val="24"/>
          <w:szCs w:val="24"/>
          <w:lang w:eastAsia="zh-CN"/>
        </w:rPr>
        <w:t>弃土</w:t>
      </w:r>
      <w:r>
        <w:rPr>
          <w:rFonts w:hint="default" w:ascii="Times New Roman" w:hAnsi="Times New Roman" w:eastAsia="仿宋_GB2312" w:cs="Times New Roman"/>
          <w:sz w:val="24"/>
          <w:szCs w:val="24"/>
        </w:rPr>
        <w:t>明确、时序合理，土石方平衡总体合理可行，符合水土保持要求。</w:t>
      </w:r>
    </w:p>
    <w:p>
      <w:pPr>
        <w:pStyle w:val="6"/>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3.2.4取土（石、砂）场设置评价</w:t>
      </w:r>
    </w:p>
    <w:p>
      <w:pPr>
        <w:pageBreakBefore w:val="0"/>
        <w:kinsoku/>
        <w:wordWrap/>
        <w:bidi w:val="0"/>
        <w:spacing w:line="360" w:lineRule="auto"/>
        <w:ind w:firstLine="480" w:firstLineChars="200"/>
        <w:rPr>
          <w:rFonts w:hint="default" w:ascii="Times New Roman" w:hAnsi="Times New Roman" w:eastAsia="仿宋_GB2312" w:cs="Times New Roman"/>
          <w:bCs/>
          <w:color w:val="000000"/>
          <w:sz w:val="24"/>
          <w:highlight w:val="none"/>
        </w:rPr>
      </w:pPr>
      <w:r>
        <w:rPr>
          <w:rFonts w:hint="default" w:ascii="Times New Roman" w:hAnsi="Times New Roman" w:eastAsia="仿宋_GB2312" w:cs="Times New Roman"/>
          <w:bCs/>
          <w:color w:val="000000"/>
          <w:sz w:val="24"/>
          <w:highlight w:val="none"/>
          <w:lang w:eastAsia="zh-CN"/>
        </w:rPr>
        <w:t>本期项目</w:t>
      </w:r>
      <w:r>
        <w:rPr>
          <w:rFonts w:hint="default" w:ascii="Times New Roman" w:hAnsi="Times New Roman" w:eastAsia="仿宋_GB2312" w:cs="Times New Roman"/>
          <w:bCs/>
          <w:color w:val="000000"/>
          <w:sz w:val="24"/>
          <w:highlight w:val="none"/>
        </w:rPr>
        <w:t>不设置取土（石、砂）场。</w:t>
      </w:r>
    </w:p>
    <w:p>
      <w:pPr>
        <w:pStyle w:val="6"/>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3.2.5弃土(石、渣、灰、矸石、尾矿)场设置评价</w:t>
      </w:r>
    </w:p>
    <w:p>
      <w:pPr>
        <w:pageBreakBefore w:val="0"/>
        <w:kinsoku/>
        <w:wordWrap/>
        <w:bidi w:val="0"/>
        <w:spacing w:line="360" w:lineRule="auto"/>
        <w:ind w:firstLine="480" w:firstLineChars="200"/>
        <w:rPr>
          <w:rFonts w:hint="default" w:ascii="Times New Roman" w:hAnsi="Times New Roman" w:eastAsia="仿宋_GB2312" w:cs="Times New Roman"/>
          <w:bCs/>
          <w:color w:val="000000"/>
          <w:sz w:val="24"/>
          <w:highlight w:val="none"/>
        </w:rPr>
      </w:pPr>
      <w:r>
        <w:rPr>
          <w:rFonts w:hint="default" w:ascii="Times New Roman" w:hAnsi="Times New Roman" w:eastAsia="仿宋_GB2312" w:cs="Times New Roman"/>
          <w:bCs/>
          <w:color w:val="000000"/>
          <w:sz w:val="24"/>
          <w:highlight w:val="none"/>
          <w:lang w:eastAsia="zh-CN"/>
        </w:rPr>
        <w:t>本期项目</w:t>
      </w:r>
      <w:r>
        <w:rPr>
          <w:rFonts w:hint="default" w:ascii="Times New Roman" w:hAnsi="Times New Roman" w:eastAsia="仿宋_GB2312" w:cs="Times New Roman"/>
          <w:bCs/>
          <w:color w:val="000000"/>
          <w:sz w:val="24"/>
          <w:highlight w:val="none"/>
        </w:rPr>
        <w:t>不设置弃土场。</w:t>
      </w:r>
    </w:p>
    <w:p>
      <w:pPr>
        <w:pStyle w:val="6"/>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3.2.6施工方法与工艺评价</w:t>
      </w:r>
    </w:p>
    <w:bookmarkEnd w:id="215"/>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主体工程在施工前首先成立施工部，并合理布置施工场地，制定有效施工方案、施工工期以及施工时序等，保证工程的顺利实施。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施工场地集中布置，占地面积满足施工活动的需要。整个施工阶段交叉进行确保工程如期完成。施工进度安排紧凑合理，在满足工程施工需要的同时，缩短了施工工期减少了施工过程中的水土流失。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从施工时序上看，施工准备期进行通电、通水等施工同步进行，施工期间基础开挖与部分构建筑物施工同步进行，土方回填后进行管线施工，即挖即填，土石方堆放在施工沿线一侧，这样既有利于土方的就近调动，又可缩短运距，减少运输过程中的水土流失，以避免二次开挖和搬运。在管线施工完成后立即进行道路及硬化施工。施工方法满足水土保持的要求，避免了对土地资源的浪费。满足水土保持少占地、少扰动、少破坏的要求。综上所述，施工方法符合减少水土流失的要求。</w:t>
      </w:r>
    </w:p>
    <w:p>
      <w:pPr>
        <w:pStyle w:val="6"/>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3.2.7主体设计中具有水土保持功能工程的分析评价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bookmarkStart w:id="216" w:name="_Toc288852048"/>
      <w:r>
        <w:rPr>
          <w:rFonts w:hint="default" w:ascii="Times New Roman" w:hAnsi="Times New Roman" w:eastAsia="仿宋_GB2312" w:cs="Times New Roman"/>
          <w:sz w:val="24"/>
          <w:szCs w:val="24"/>
        </w:rPr>
        <w:t>根据水土保持技术标准，分析和评价主体工程具有水土保持功能的措施能否满足工程建设过程中的水土保持要求，是进行水土保持工程总体布局、合理制定防治措施体系的基础。本方案将对主体工程设计中以防治水土流失为主要目的的工程措施纳入到水土保持总体布局中，并对主体工程中不满足水土保持要求的工程措施提出改善措施，以完善水土保持防治措施体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1</w:t>
      </w:r>
      <w:r>
        <w:rPr>
          <w:rFonts w:hint="default" w:ascii="Times New Roman" w:hAnsi="Times New Roman" w:eastAsia="仿宋_GB2312" w:cs="Times New Roman"/>
          <w:sz w:val="24"/>
          <w:szCs w:val="24"/>
        </w:rPr>
        <w:t>）表土回覆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工程建设区</w:t>
      </w:r>
      <w:r>
        <w:rPr>
          <w:rFonts w:hint="default" w:ascii="Times New Roman" w:hAnsi="Times New Roman" w:eastAsia="仿宋_GB2312" w:cs="Times New Roman"/>
          <w:sz w:val="24"/>
          <w:szCs w:val="24"/>
        </w:rPr>
        <w:t>在施工后期对项目区内绿化区域采取了</w:t>
      </w:r>
      <w:r>
        <w:rPr>
          <w:rFonts w:hint="default" w:ascii="Times New Roman" w:hAnsi="Times New Roman" w:eastAsia="仿宋_GB2312" w:cs="Times New Roman"/>
          <w:sz w:val="24"/>
          <w:szCs w:val="24"/>
          <w:lang w:eastAsia="zh-CN"/>
        </w:rPr>
        <w:t>绿化用土</w:t>
      </w:r>
      <w:r>
        <w:rPr>
          <w:rFonts w:hint="default" w:ascii="Times New Roman" w:hAnsi="Times New Roman" w:eastAsia="仿宋_GB2312" w:cs="Times New Roman"/>
          <w:sz w:val="24"/>
          <w:szCs w:val="24"/>
        </w:rPr>
        <w:t>回覆，为植被恢复创造了条件，该工程具有水土保持功能，列入水土保持工程。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2</w:t>
      </w:r>
      <w:r>
        <w:rPr>
          <w:rFonts w:hint="default" w:ascii="Times New Roman" w:hAnsi="Times New Roman" w:eastAsia="仿宋_GB2312" w:cs="Times New Roman"/>
          <w:sz w:val="24"/>
          <w:szCs w:val="24"/>
        </w:rPr>
        <w:t>）绿化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主体工程在施工后期对项目区内可绿化区域采取了铺设草坪和栽植灌木的方式恢复植被，使项目区植被得到恢复，增加了林草覆盖率，该工程具有水土保持功能，列入水土保持工程。</w:t>
      </w:r>
      <w:r>
        <w:rPr>
          <w:rFonts w:hint="default" w:ascii="Times New Roman" w:hAnsi="Times New Roman" w:eastAsia="仿宋_GB2312" w:cs="Times New Roman"/>
          <w:sz w:val="24"/>
          <w:szCs w:val="24"/>
          <w:lang w:eastAsia="zh-CN"/>
        </w:rPr>
        <w:t>但是主体工程未设计全面整地措施，本方案予以补充。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rPr>
        <w:t>）雨水管线及雨水口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主体工程在过程中沿规划道路布设雨水管线以及雨水收集口，使得项目区内地表降水有序排出项目区外，减少水土流失，该工程具有水土保持功能，列入水土保持工程。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道路及</w:t>
      </w:r>
      <w:r>
        <w:rPr>
          <w:rFonts w:hint="default" w:ascii="Times New Roman" w:hAnsi="Times New Roman" w:eastAsia="仿宋_GB2312" w:cs="Times New Roman"/>
          <w:sz w:val="24"/>
          <w:szCs w:val="24"/>
        </w:rPr>
        <w:t>硬化场地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区内道路及停车场等硬化措施，均避免了雨水对地表的直接溅蚀，减轻了径流对地表的冲刷，但以主体功能为主，不界定为水土保持措施。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密目网苫盖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对基础开挖土方采取密目网苫盖措施，避免雨水对土方的侵蚀，造成水土流失，</w:t>
      </w:r>
      <w:r>
        <w:rPr>
          <w:rFonts w:hint="default" w:ascii="Times New Roman" w:hAnsi="Times New Roman" w:eastAsia="仿宋_GB2312" w:cs="Times New Roman"/>
          <w:sz w:val="24"/>
          <w:szCs w:val="24"/>
        </w:rPr>
        <w:t>该工程具有水土保持功能，列入水土保持工程。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通过对工程建设区内水土保持措施的分析与评价，认为主体工程设计的各项措施具有水土保持作用，符合水土保持要求，但还不完善，方案提出了补充完善措施。主体工程水土保持功能措施评价表见表3-</w:t>
      </w: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rPr>
        <w:t>。</w:t>
      </w:r>
    </w:p>
    <w:p>
      <w:pPr>
        <w:pStyle w:val="16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rPr>
      </w:pPr>
      <w:r>
        <w:rPr>
          <w:rFonts w:hint="default" w:ascii="Times New Roman" w:hAnsi="Times New Roman" w:eastAsia="微软雅黑" w:cs="Times New Roman"/>
          <w:b w:val="0"/>
          <w:bCs w:val="0"/>
          <w:sz w:val="21"/>
          <w:szCs w:val="21"/>
          <w:highlight w:val="none"/>
        </w:rPr>
        <w:t>表3-</w:t>
      </w:r>
      <w:r>
        <w:rPr>
          <w:rFonts w:hint="default" w:ascii="Times New Roman" w:hAnsi="Times New Roman" w:eastAsia="微软雅黑" w:cs="Times New Roman"/>
          <w:b w:val="0"/>
          <w:bCs w:val="0"/>
          <w:sz w:val="21"/>
          <w:szCs w:val="21"/>
          <w:highlight w:val="none"/>
          <w:lang w:val="en-US" w:eastAsia="zh-CN"/>
        </w:rPr>
        <w:t xml:space="preserve">3  </w:t>
      </w:r>
      <w:r>
        <w:rPr>
          <w:rFonts w:hint="default" w:ascii="Times New Roman" w:hAnsi="Times New Roman" w:eastAsia="微软雅黑" w:cs="Times New Roman"/>
          <w:b w:val="0"/>
          <w:bCs w:val="0"/>
          <w:sz w:val="21"/>
          <w:szCs w:val="21"/>
          <w:highlight w:val="none"/>
        </w:rPr>
        <w:t>主体工程水土保持功能措施评价分析成果表</w:t>
      </w:r>
    </w:p>
    <w:tbl>
      <w:tblPr>
        <w:tblStyle w:val="88"/>
        <w:tblW w:w="4998"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452"/>
        <w:gridCol w:w="2933"/>
        <w:gridCol w:w="2010"/>
        <w:gridCol w:w="2010"/>
      </w:tblGrid>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63" w:type="pct"/>
            <w:tcBorders>
              <w:tl2br w:val="nil"/>
              <w:tr2bl w:val="nil"/>
            </w:tcBorders>
            <w:tcMar>
              <w:top w:w="0" w:type="dxa"/>
              <w:left w:w="0" w:type="dxa"/>
              <w:bottom w:w="0" w:type="dxa"/>
              <w:right w:w="0" w:type="dxa"/>
            </w:tcMar>
            <w:vAlign w:val="center"/>
          </w:tcPr>
          <w:p>
            <w:pPr>
              <w:pStyle w:val="169"/>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防治分区</w:t>
            </w:r>
          </w:p>
        </w:tc>
        <w:tc>
          <w:tcPr>
            <w:tcW w:w="1744" w:type="pct"/>
            <w:tcBorders>
              <w:tl2br w:val="nil"/>
              <w:tr2bl w:val="nil"/>
            </w:tcBorders>
            <w:vAlign w:val="center"/>
          </w:tcPr>
          <w:p>
            <w:pPr>
              <w:pStyle w:val="169"/>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lang w:val="en-US" w:eastAsia="zh-CN"/>
              </w:rPr>
            </w:pPr>
            <w:r>
              <w:rPr>
                <w:rFonts w:hint="eastAsia" w:ascii="Times New Roman" w:hAnsi="Times New Roman" w:eastAsia="仿宋_GB2312" w:cs="Times New Roman"/>
                <w:sz w:val="20"/>
                <w:szCs w:val="20"/>
                <w:highlight w:val="none"/>
                <w:lang w:val="en-US" w:eastAsia="zh-CN"/>
              </w:rPr>
              <w:t>主体已有的措施</w:t>
            </w:r>
          </w:p>
        </w:tc>
        <w:tc>
          <w:tcPr>
            <w:tcW w:w="1195" w:type="pct"/>
            <w:tcBorders>
              <w:tl2br w:val="nil"/>
              <w:tr2bl w:val="nil"/>
            </w:tcBorders>
            <w:vAlign w:val="center"/>
          </w:tcPr>
          <w:p>
            <w:pPr>
              <w:pStyle w:val="169"/>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lang w:val="en-US" w:eastAsia="zh-CN"/>
              </w:rPr>
            </w:pPr>
            <w:r>
              <w:rPr>
                <w:rFonts w:hint="eastAsia" w:ascii="Times New Roman" w:hAnsi="Times New Roman" w:eastAsia="仿宋_GB2312" w:cs="Times New Roman"/>
                <w:sz w:val="20"/>
                <w:szCs w:val="20"/>
                <w:highlight w:val="none"/>
                <w:lang w:val="en-US" w:eastAsia="zh-CN"/>
              </w:rPr>
              <w:t>缺少的措施</w:t>
            </w:r>
          </w:p>
        </w:tc>
        <w:tc>
          <w:tcPr>
            <w:tcW w:w="1195" w:type="pct"/>
            <w:tcBorders>
              <w:tl2br w:val="nil"/>
              <w:tr2bl w:val="nil"/>
            </w:tcBorders>
            <w:vAlign w:val="center"/>
          </w:tcPr>
          <w:p>
            <w:pPr>
              <w:pStyle w:val="169"/>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lang w:val="en-US" w:eastAsia="zh-CN"/>
              </w:rPr>
            </w:pPr>
            <w:r>
              <w:rPr>
                <w:rFonts w:hint="eastAsia" w:ascii="Times New Roman" w:hAnsi="Times New Roman" w:eastAsia="仿宋_GB2312" w:cs="Times New Roman"/>
                <w:sz w:val="20"/>
                <w:szCs w:val="20"/>
                <w:highlight w:val="none"/>
                <w:lang w:val="en-US" w:eastAsia="zh-CN"/>
              </w:rPr>
              <w:t>本方案补充措施</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1000" w:hRule="atLeast"/>
          <w:jc w:val="center"/>
        </w:trPr>
        <w:tc>
          <w:tcPr>
            <w:tcW w:w="863" w:type="pct"/>
            <w:tcBorders>
              <w:tl2br w:val="nil"/>
              <w:tr2bl w:val="nil"/>
            </w:tcBorders>
            <w:tcMar>
              <w:top w:w="0" w:type="dxa"/>
              <w:left w:w="0" w:type="dxa"/>
              <w:bottom w:w="0" w:type="dxa"/>
              <w:right w:w="0" w:type="dxa"/>
            </w:tcMar>
            <w:vAlign w:val="center"/>
          </w:tcPr>
          <w:p>
            <w:pPr>
              <w:pStyle w:val="169"/>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工程建设区</w:t>
            </w:r>
          </w:p>
        </w:tc>
        <w:tc>
          <w:tcPr>
            <w:tcW w:w="1744" w:type="pct"/>
            <w:tcBorders>
              <w:tl2br w:val="nil"/>
              <w:tr2bl w:val="nil"/>
            </w:tcBorders>
            <w:vAlign w:val="center"/>
          </w:tcPr>
          <w:p>
            <w:pPr>
              <w:pStyle w:val="169"/>
              <w:keepNext w:val="0"/>
              <w:keepLines w:val="0"/>
              <w:pageBreakBefore w:val="0"/>
              <w:kinsoku/>
              <w:wordWrap/>
              <w:overflowPunct/>
              <w:topLinePunct w:val="0"/>
              <w:autoSpaceDE/>
              <w:autoSpaceDN/>
              <w:bidi w:val="0"/>
              <w:adjustRightInd/>
              <w:snapToGrid w:val="0"/>
              <w:textAlignment w:val="auto"/>
              <w:rPr>
                <w:rFonts w:hint="eastAsia" w:ascii="Times New Roman" w:hAnsi="Times New Roman" w:eastAsia="仿宋_GB2312" w:cs="Times New Roman"/>
                <w:sz w:val="20"/>
                <w:szCs w:val="20"/>
                <w:highlight w:val="none"/>
                <w:lang w:eastAsia="zh-CN"/>
              </w:rPr>
            </w:pPr>
            <w:r>
              <w:rPr>
                <w:rFonts w:hint="default" w:ascii="Times New Roman" w:hAnsi="Times New Roman" w:eastAsia="仿宋_GB2312" w:cs="Times New Roman"/>
                <w:sz w:val="20"/>
                <w:szCs w:val="20"/>
                <w:highlight w:val="none"/>
              </w:rPr>
              <w:t>雨水管线及</w:t>
            </w:r>
            <w:r>
              <w:rPr>
                <w:rFonts w:hint="eastAsia" w:ascii="Times New Roman" w:hAnsi="Times New Roman" w:eastAsia="仿宋_GB2312" w:cs="Times New Roman"/>
                <w:sz w:val="20"/>
                <w:szCs w:val="20"/>
                <w:highlight w:val="none"/>
                <w:lang w:eastAsia="zh-CN"/>
              </w:rPr>
              <w:t>雨水口</w:t>
            </w:r>
          </w:p>
          <w:p>
            <w:pPr>
              <w:pStyle w:val="169"/>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绿化用土回覆</w:t>
            </w:r>
          </w:p>
          <w:p>
            <w:pPr>
              <w:pStyle w:val="169"/>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景观绿化</w:t>
            </w:r>
          </w:p>
          <w:p>
            <w:pPr>
              <w:pStyle w:val="169"/>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lang w:val="en-US" w:eastAsia="zh-CN"/>
              </w:rPr>
              <w:t>密目网苫盖</w:t>
            </w:r>
          </w:p>
        </w:tc>
        <w:tc>
          <w:tcPr>
            <w:tcW w:w="1195" w:type="pct"/>
            <w:tcBorders>
              <w:tl2br w:val="nil"/>
              <w:tr2bl w:val="nil"/>
            </w:tcBorders>
            <w:vAlign w:val="center"/>
          </w:tcPr>
          <w:p>
            <w:pPr>
              <w:pStyle w:val="169"/>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全面整地</w:t>
            </w:r>
          </w:p>
          <w:p>
            <w:pPr>
              <w:pStyle w:val="169"/>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lang w:val="en-US" w:eastAsia="zh-CN"/>
              </w:rPr>
            </w:pPr>
            <w:r>
              <w:rPr>
                <w:rFonts w:hint="eastAsia" w:ascii="Times New Roman" w:hAnsi="Times New Roman" w:eastAsia="仿宋_GB2312" w:cs="Times New Roman"/>
                <w:sz w:val="20"/>
                <w:szCs w:val="20"/>
                <w:highlight w:val="none"/>
                <w:lang w:val="en-US" w:eastAsia="zh-CN"/>
              </w:rPr>
              <w:t>拦挡措施</w:t>
            </w:r>
          </w:p>
        </w:tc>
        <w:tc>
          <w:tcPr>
            <w:tcW w:w="1195" w:type="pct"/>
            <w:tcBorders>
              <w:tl2br w:val="nil"/>
              <w:tr2bl w:val="nil"/>
            </w:tcBorders>
            <w:vAlign w:val="center"/>
          </w:tcPr>
          <w:p>
            <w:pPr>
              <w:pStyle w:val="169"/>
              <w:keepNext w:val="0"/>
              <w:keepLines w:val="0"/>
              <w:pageBreakBefore w:val="0"/>
              <w:kinsoku/>
              <w:wordWrap/>
              <w:overflowPunct/>
              <w:topLinePunct w:val="0"/>
              <w:autoSpaceDE/>
              <w:autoSpaceDN/>
              <w:bidi w:val="0"/>
              <w:adjustRightInd/>
              <w:snapToGrid w:val="0"/>
              <w:textAlignment w:val="auto"/>
              <w:rPr>
                <w:rFonts w:hint="eastAsia" w:ascii="Times New Roman" w:hAnsi="Times New Roman" w:eastAsia="仿宋_GB2312" w:cs="Times New Roman"/>
                <w:sz w:val="20"/>
                <w:szCs w:val="20"/>
                <w:highlight w:val="none"/>
                <w:lang w:val="en-US" w:eastAsia="zh-CN"/>
              </w:rPr>
            </w:pPr>
            <w:r>
              <w:rPr>
                <w:rFonts w:hint="eastAsia" w:ascii="Times New Roman" w:hAnsi="Times New Roman" w:eastAsia="仿宋_GB2312" w:cs="Times New Roman"/>
                <w:sz w:val="20"/>
                <w:szCs w:val="20"/>
                <w:highlight w:val="none"/>
                <w:lang w:val="en-US" w:eastAsia="zh-CN"/>
              </w:rPr>
              <w:t>全面整地</w:t>
            </w:r>
          </w:p>
          <w:p>
            <w:pPr>
              <w:pStyle w:val="169"/>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编织袋土砌筑与拆除</w:t>
            </w:r>
          </w:p>
        </w:tc>
      </w:tr>
    </w:tbl>
    <w:p>
      <w:pPr>
        <w:pStyle w:val="5"/>
        <w:bidi w:val="0"/>
        <w:rPr>
          <w:rFonts w:hint="default" w:ascii="Times New Roman" w:hAnsi="Times New Roman" w:cs="Times New Roman"/>
        </w:rPr>
      </w:pPr>
      <w:bookmarkStart w:id="217" w:name="_Toc16695"/>
      <w:bookmarkStart w:id="218" w:name="_Toc13124"/>
      <w:bookmarkStart w:id="219" w:name="_Toc28677"/>
      <w:r>
        <w:rPr>
          <w:rFonts w:hint="default" w:ascii="Times New Roman" w:hAnsi="Times New Roman" w:cs="Times New Roman"/>
        </w:rPr>
        <w:t>3.3主体工程设计中水土保持措施界定</w:t>
      </w:r>
      <w:bookmarkEnd w:id="217"/>
      <w:bookmarkEnd w:id="218"/>
      <w:bookmarkEnd w:id="219"/>
    </w:p>
    <w:bookmarkEnd w:id="216"/>
    <w:p>
      <w:pPr>
        <w:pageBreakBefore w:val="0"/>
        <w:kinsoku/>
        <w:wordWrap/>
        <w:bidi w:val="0"/>
        <w:spacing w:line="360" w:lineRule="auto"/>
        <w:ind w:firstLine="56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通过对主体工程设计中具有水土保持功能工程的分析评价，按照《生产建设项目水土保持技术标准》</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rPr>
        <w:t>GB50433-2018</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rPr>
        <w:t>中的界定原则，将主体工程的绿化用土回覆、雨水管线</w:t>
      </w:r>
      <w:r>
        <w:rPr>
          <w:rFonts w:hint="default" w:ascii="Times New Roman" w:hAnsi="Times New Roman" w:eastAsia="仿宋_GB2312" w:cs="Times New Roman"/>
          <w:sz w:val="24"/>
          <w:highlight w:val="none"/>
          <w:lang w:val="en-US" w:eastAsia="zh-CN"/>
        </w:rPr>
        <w:t>及</w:t>
      </w:r>
      <w:r>
        <w:rPr>
          <w:rFonts w:hint="eastAsia" w:eastAsia="仿宋_GB2312" w:cs="Times New Roman"/>
          <w:sz w:val="24"/>
          <w:highlight w:val="none"/>
          <w:lang w:eastAsia="zh-CN"/>
        </w:rPr>
        <w:t>雨水口</w:t>
      </w:r>
      <w:r>
        <w:rPr>
          <w:rFonts w:hint="default" w:ascii="Times New Roman" w:hAnsi="Times New Roman" w:eastAsia="仿宋_GB2312" w:cs="Times New Roman"/>
          <w:sz w:val="24"/>
          <w:highlight w:val="none"/>
        </w:rPr>
        <w:t>、</w:t>
      </w:r>
      <w:r>
        <w:rPr>
          <w:rFonts w:hint="default" w:ascii="Times New Roman" w:hAnsi="Times New Roman" w:eastAsia="仿宋_GB2312" w:cs="Times New Roman"/>
          <w:sz w:val="24"/>
          <w:highlight w:val="none"/>
          <w:lang w:val="en-US" w:eastAsia="zh-CN"/>
        </w:rPr>
        <w:t>密目网苫盖、</w:t>
      </w:r>
      <w:r>
        <w:rPr>
          <w:rFonts w:hint="default" w:ascii="Times New Roman" w:hAnsi="Times New Roman" w:eastAsia="仿宋_GB2312" w:cs="Times New Roman"/>
          <w:sz w:val="24"/>
          <w:highlight w:val="none"/>
        </w:rPr>
        <w:t>绿化措施界定为水土保持措施。</w:t>
      </w:r>
    </w:p>
    <w:p>
      <w:pPr>
        <w:pStyle w:val="6"/>
        <w:bidi w:val="0"/>
        <w:rPr>
          <w:rFonts w:hint="default" w:ascii="Times New Roman" w:hAnsi="Times New Roman" w:cs="Times New Roman"/>
        </w:rPr>
      </w:pPr>
      <w:r>
        <w:rPr>
          <w:rFonts w:hint="default" w:ascii="Times New Roman" w:hAnsi="Times New Roman" w:cs="Times New Roman"/>
        </w:rPr>
        <w:t>3.3.1 工程措施</w:t>
      </w:r>
    </w:p>
    <w:p>
      <w:pPr>
        <w:pageBreakBefore w:val="0"/>
        <w:kinsoku/>
        <w:wordWrap/>
        <w:bidi w:val="0"/>
        <w:snapToGrid w:val="0"/>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r>
        <w:rPr>
          <w:rFonts w:hint="default" w:ascii="Times New Roman" w:hAnsi="Times New Roman" w:eastAsia="仿宋_GB2312" w:cs="Times New Roman"/>
          <w:color w:val="auto"/>
          <w:sz w:val="24"/>
          <w:lang w:val="en-US" w:eastAsia="zh-CN"/>
        </w:rPr>
        <w:t>1</w:t>
      </w:r>
      <w:r>
        <w:rPr>
          <w:rFonts w:hint="default" w:ascii="Times New Roman" w:hAnsi="Times New Roman" w:eastAsia="仿宋_GB2312" w:cs="Times New Roman"/>
          <w:color w:val="auto"/>
          <w:sz w:val="24"/>
        </w:rPr>
        <w:t>）</w:t>
      </w:r>
      <w:r>
        <w:rPr>
          <w:rFonts w:hint="default" w:ascii="Times New Roman" w:hAnsi="Times New Roman" w:eastAsia="仿宋_GB2312" w:cs="Times New Roman"/>
          <w:color w:val="auto"/>
          <w:sz w:val="24"/>
          <w:lang w:eastAsia="zh-CN"/>
        </w:rPr>
        <w:t>表土</w:t>
      </w:r>
      <w:r>
        <w:rPr>
          <w:rFonts w:hint="default" w:ascii="Times New Roman" w:hAnsi="Times New Roman" w:eastAsia="仿宋_GB2312" w:cs="Times New Roman"/>
          <w:color w:val="auto"/>
          <w:sz w:val="24"/>
          <w:lang w:val="en-US" w:eastAsia="zh-CN"/>
        </w:rPr>
        <w:t>用土</w:t>
      </w:r>
      <w:r>
        <w:rPr>
          <w:rFonts w:hint="default" w:ascii="Times New Roman" w:hAnsi="Times New Roman" w:eastAsia="仿宋_GB2312" w:cs="Times New Roman"/>
          <w:color w:val="auto"/>
          <w:sz w:val="24"/>
        </w:rPr>
        <w:t>回覆</w:t>
      </w:r>
    </w:p>
    <w:p>
      <w:pPr>
        <w:pageBreakBefore w:val="0"/>
        <w:kinsoku/>
        <w:wordWrap/>
        <w:bidi w:val="0"/>
        <w:spacing w:line="360" w:lineRule="auto"/>
        <w:ind w:firstLine="480" w:firstLineChars="200"/>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sz w:val="24"/>
        </w:rPr>
        <w:t>主体设计在</w:t>
      </w:r>
      <w:r>
        <w:rPr>
          <w:rFonts w:hint="default" w:ascii="Times New Roman" w:hAnsi="Times New Roman" w:eastAsia="仿宋_GB2312" w:cs="Times New Roman"/>
          <w:color w:val="auto"/>
          <w:sz w:val="24"/>
          <w:lang w:eastAsia="zh-CN"/>
        </w:rPr>
        <w:t>工程建设区</w:t>
      </w:r>
      <w:r>
        <w:rPr>
          <w:rFonts w:hint="default" w:ascii="Times New Roman" w:hAnsi="Times New Roman" w:eastAsia="仿宋_GB2312" w:cs="Times New Roman"/>
          <w:color w:val="auto"/>
          <w:sz w:val="24"/>
        </w:rPr>
        <w:t>进行植被绿化前先进行</w:t>
      </w:r>
      <w:r>
        <w:rPr>
          <w:rFonts w:hint="default" w:ascii="Times New Roman" w:hAnsi="Times New Roman" w:eastAsia="仿宋_GB2312" w:cs="Times New Roman"/>
          <w:color w:val="auto"/>
          <w:sz w:val="24"/>
          <w:lang w:eastAsia="zh-CN"/>
        </w:rPr>
        <w:t>绿化用土</w:t>
      </w:r>
      <w:r>
        <w:rPr>
          <w:rFonts w:hint="default" w:ascii="Times New Roman" w:hAnsi="Times New Roman" w:eastAsia="仿宋_GB2312" w:cs="Times New Roman"/>
          <w:color w:val="auto"/>
          <w:sz w:val="24"/>
        </w:rPr>
        <w:t>回覆，以便其植被生长，</w:t>
      </w:r>
      <w:r>
        <w:rPr>
          <w:rFonts w:hint="default" w:ascii="Times New Roman" w:hAnsi="Times New Roman" w:eastAsia="仿宋_GB2312" w:cs="Times New Roman"/>
          <w:color w:val="auto"/>
          <w:sz w:val="24"/>
          <w:lang w:eastAsia="zh-CN"/>
        </w:rPr>
        <w:t>本期项目</w:t>
      </w:r>
      <w:r>
        <w:rPr>
          <w:rFonts w:hint="default" w:ascii="Times New Roman" w:hAnsi="Times New Roman" w:eastAsia="仿宋_GB2312" w:cs="Times New Roman"/>
          <w:color w:val="auto"/>
          <w:sz w:val="24"/>
        </w:rPr>
        <w:t>表土回覆面积为</w:t>
      </w:r>
      <w:r>
        <w:rPr>
          <w:rFonts w:hint="eastAsia" w:eastAsia="仿宋_GB2312" w:cs="Times New Roman"/>
          <w:color w:val="auto"/>
          <w:sz w:val="24"/>
          <w:lang w:val="en-US" w:eastAsia="zh-CN"/>
        </w:rPr>
        <w:t>3.99</w:t>
      </w:r>
      <w:r>
        <w:rPr>
          <w:rFonts w:hint="default" w:ascii="Times New Roman" w:hAnsi="Times New Roman" w:eastAsia="仿宋_GB2312" w:cs="Times New Roman"/>
          <w:color w:val="auto"/>
          <w:sz w:val="24"/>
        </w:rPr>
        <w:t>hm</w:t>
      </w:r>
      <w:r>
        <w:rPr>
          <w:rFonts w:hint="default" w:ascii="Times New Roman" w:hAnsi="Times New Roman" w:eastAsia="仿宋_GB2312" w:cs="Times New Roman"/>
          <w:color w:val="auto"/>
          <w:sz w:val="24"/>
          <w:vertAlign w:val="superscript"/>
          <w:lang w:eastAsia="zh-CN"/>
        </w:rPr>
        <w:t>2</w:t>
      </w:r>
      <w:r>
        <w:rPr>
          <w:rFonts w:hint="default" w:ascii="Times New Roman" w:hAnsi="Times New Roman" w:eastAsia="仿宋_GB2312" w:cs="Times New Roman"/>
          <w:color w:val="auto"/>
          <w:sz w:val="24"/>
        </w:rPr>
        <w:t>，覆土厚度</w:t>
      </w:r>
      <w:r>
        <w:rPr>
          <w:rFonts w:hint="default" w:ascii="Times New Roman" w:hAnsi="Times New Roman" w:eastAsia="仿宋_GB2312" w:cs="Times New Roman"/>
          <w:color w:val="auto"/>
          <w:sz w:val="24"/>
          <w:lang w:val="en-US" w:eastAsia="zh-CN"/>
        </w:rPr>
        <w:t>3</w:t>
      </w:r>
      <w:r>
        <w:rPr>
          <w:rFonts w:hint="default" w:ascii="Times New Roman" w:hAnsi="Times New Roman" w:eastAsia="仿宋_GB2312" w:cs="Times New Roman"/>
          <w:color w:val="auto"/>
          <w:sz w:val="24"/>
        </w:rPr>
        <w:t>0cm，表土回覆量为</w:t>
      </w:r>
      <w:r>
        <w:rPr>
          <w:rFonts w:hint="eastAsia" w:eastAsia="仿宋_GB2312" w:cs="Times New Roman"/>
          <w:color w:val="auto"/>
          <w:sz w:val="24"/>
          <w:lang w:val="en-US" w:eastAsia="zh-CN"/>
        </w:rPr>
        <w:t>1.20</w:t>
      </w:r>
      <w:r>
        <w:rPr>
          <w:rFonts w:hint="default" w:ascii="Times New Roman" w:hAnsi="Times New Roman" w:eastAsia="仿宋_GB2312" w:cs="Times New Roman"/>
          <w:color w:val="auto"/>
          <w:sz w:val="24"/>
        </w:rPr>
        <w:t>万m</w:t>
      </w:r>
      <w:r>
        <w:rPr>
          <w:rFonts w:hint="default" w:ascii="Times New Roman" w:hAnsi="Times New Roman" w:eastAsia="仿宋_GB2312" w:cs="Times New Roman"/>
          <w:color w:val="auto"/>
          <w:sz w:val="24"/>
          <w:vertAlign w:val="superscript"/>
          <w:lang w:eastAsia="zh-CN"/>
        </w:rPr>
        <w:t>3</w:t>
      </w:r>
      <w:r>
        <w:rPr>
          <w:rFonts w:hint="default" w:ascii="Times New Roman" w:hAnsi="Times New Roman" w:eastAsia="仿宋_GB2312" w:cs="Times New Roman"/>
          <w:color w:val="auto"/>
          <w:sz w:val="24"/>
        </w:rPr>
        <w:t>。</w:t>
      </w:r>
      <w:r>
        <w:rPr>
          <w:rFonts w:hint="default" w:ascii="Times New Roman" w:hAnsi="Times New Roman" w:eastAsia="仿宋_GB2312" w:cs="Times New Roman"/>
          <w:color w:val="auto"/>
          <w:kern w:val="0"/>
          <w:sz w:val="24"/>
        </w:rPr>
        <w:t>该措施具有水土保持功能，满足水土保持要求，界定为水土保持措施，计入水土保持投资。</w:t>
      </w:r>
    </w:p>
    <w:p>
      <w:pPr>
        <w:pageBreakBefore w:val="0"/>
        <w:kinsoku/>
        <w:wordWrap/>
        <w:bidi w:val="0"/>
        <w:adjustRightInd w:val="0"/>
        <w:spacing w:line="360" w:lineRule="auto"/>
        <w:ind w:firstLine="482"/>
        <w:jc w:val="left"/>
        <w:textAlignment w:val="baseline"/>
        <w:rPr>
          <w:rFonts w:hint="default" w:ascii="Times New Roman" w:hAnsi="Times New Roman" w:eastAsia="仿宋_GB2312" w:cs="Times New Roman"/>
          <w:color w:val="auto"/>
          <w:kern w:val="0"/>
          <w:sz w:val="24"/>
          <w:szCs w:val="20"/>
        </w:rPr>
      </w:pPr>
      <w:r>
        <w:rPr>
          <w:rFonts w:hint="default" w:ascii="Times New Roman" w:hAnsi="Times New Roman" w:eastAsia="仿宋_GB2312" w:cs="Times New Roman"/>
          <w:color w:val="auto"/>
          <w:kern w:val="0"/>
          <w:sz w:val="24"/>
          <w:szCs w:val="20"/>
        </w:rPr>
        <w:t>（</w:t>
      </w:r>
      <w:r>
        <w:rPr>
          <w:rFonts w:hint="default" w:ascii="Times New Roman" w:hAnsi="Times New Roman" w:eastAsia="仿宋_GB2312" w:cs="Times New Roman"/>
          <w:color w:val="auto"/>
          <w:kern w:val="0"/>
          <w:sz w:val="24"/>
          <w:szCs w:val="20"/>
          <w:lang w:val="en-US" w:eastAsia="zh-CN"/>
        </w:rPr>
        <w:t>2</w:t>
      </w:r>
      <w:r>
        <w:rPr>
          <w:rFonts w:hint="default" w:ascii="Times New Roman" w:hAnsi="Times New Roman" w:eastAsia="仿宋_GB2312" w:cs="Times New Roman"/>
          <w:color w:val="auto"/>
          <w:kern w:val="0"/>
          <w:sz w:val="24"/>
          <w:szCs w:val="20"/>
        </w:rPr>
        <w:t>）雨水管线及雨水口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体工程在工程建设区内设计了雨水排水设施，用于收集和排泄地表集水，雨水管线工程按照《室外排水设计标准》（GB50014-2021）要求设计重现期以2年为标准进行设计，雨水排水管线根据地形沿道路敷设，以直埋方式敷设，长</w:t>
      </w:r>
      <w:r>
        <w:rPr>
          <w:rFonts w:hint="eastAsia" w:eastAsia="仿宋_GB2312" w:cs="Times New Roman"/>
          <w:sz w:val="24"/>
          <w:szCs w:val="24"/>
          <w:lang w:val="en-US" w:eastAsia="zh-CN"/>
        </w:rPr>
        <w:t>2600m</w:t>
      </w:r>
      <w:r>
        <w:rPr>
          <w:rFonts w:hint="default" w:ascii="Times New Roman" w:hAnsi="Times New Roman" w:eastAsia="仿宋_GB2312" w:cs="Times New Roman"/>
          <w:sz w:val="24"/>
          <w:szCs w:val="24"/>
        </w:rPr>
        <w:t>，</w:t>
      </w:r>
      <w:r>
        <w:rPr>
          <w:rFonts w:hint="eastAsia" w:eastAsia="仿宋_GB2312" w:cs="Times New Roman"/>
          <w:sz w:val="24"/>
          <w:szCs w:val="24"/>
          <w:lang w:eastAsia="zh-CN"/>
        </w:rPr>
        <w:t>雨水口</w:t>
      </w:r>
      <w:r>
        <w:rPr>
          <w:rFonts w:hint="eastAsia" w:eastAsia="仿宋_GB2312" w:cs="Times New Roman"/>
          <w:sz w:val="24"/>
          <w:szCs w:val="24"/>
          <w:lang w:val="en-US" w:eastAsia="zh-CN"/>
        </w:rPr>
        <w:t>260</w:t>
      </w:r>
      <w:r>
        <w:rPr>
          <w:rFonts w:hint="default" w:ascii="Times New Roman" w:hAnsi="Times New Roman" w:eastAsia="仿宋_GB2312" w:cs="Times New Roman"/>
          <w:sz w:val="24"/>
          <w:szCs w:val="24"/>
        </w:rPr>
        <w:t>个。</w:t>
      </w:r>
      <w:r>
        <w:rPr>
          <w:rFonts w:hint="default" w:ascii="Times New Roman" w:hAnsi="Times New Roman" w:eastAsia="仿宋_GB2312" w:cs="Times New Roman"/>
          <w:color w:val="auto"/>
          <w:kern w:val="0"/>
          <w:sz w:val="24"/>
        </w:rPr>
        <w:t>该措施具有水土保持功能，满足水土保持要求，界定为水土保持措施，计入水土保持投资。</w:t>
      </w:r>
    </w:p>
    <w:p>
      <w:pPr>
        <w:pStyle w:val="6"/>
        <w:bidi w:val="0"/>
        <w:rPr>
          <w:rFonts w:hint="default" w:ascii="Times New Roman" w:hAnsi="Times New Roman" w:cs="Times New Roman"/>
        </w:rPr>
      </w:pPr>
      <w:r>
        <w:rPr>
          <w:rFonts w:hint="default" w:ascii="Times New Roman" w:hAnsi="Times New Roman" w:cs="Times New Roman"/>
        </w:rPr>
        <w:t>3.3.2 植物措施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主体设计对项目区可绿化区域进行景观绿化，绿化采用栽植乔灌木及撒播种草方式。</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绿化面积</w:t>
      </w:r>
      <w:r>
        <w:rPr>
          <w:rFonts w:hint="eastAsia" w:eastAsia="仿宋_GB2312" w:cs="Times New Roman"/>
          <w:sz w:val="24"/>
          <w:szCs w:val="24"/>
          <w:lang w:val="en-US" w:eastAsia="zh-CN"/>
        </w:rPr>
        <w:t>3.99</w:t>
      </w:r>
      <w:r>
        <w:rPr>
          <w:rFonts w:hint="default" w:ascii="Times New Roman" w:hAnsi="Times New Roman" w:eastAsia="仿宋_GB2312" w:cs="Times New Roman"/>
          <w:sz w:val="24"/>
          <w:szCs w:val="24"/>
          <w:lang w:val="en-US" w:eastAsia="zh-CN"/>
        </w:rPr>
        <w:t>h</w:t>
      </w:r>
      <w:r>
        <w:rPr>
          <w:rFonts w:hint="default" w:ascii="Times New Roman" w:hAnsi="Times New Roman" w:eastAsia="仿宋" w:cs="Times New Roman"/>
          <w:sz w:val="20"/>
          <w:szCs w:val="20"/>
          <w:highlight w:val="none"/>
        </w:rPr>
        <w:t>m</w:t>
      </w:r>
      <w:r>
        <w:rPr>
          <w:rFonts w:hint="default" w:ascii="Times New Roman" w:hAnsi="Times New Roman" w:eastAsia="仿宋" w:cs="Times New Roman"/>
          <w:spacing w:val="8"/>
          <w:sz w:val="20"/>
          <w:szCs w:val="20"/>
          <w:highlight w:val="none"/>
        </w:rPr>
        <w:t>²</w:t>
      </w:r>
      <w:r>
        <w:rPr>
          <w:rFonts w:hint="default" w:ascii="Times New Roman" w:hAnsi="Times New Roman" w:eastAsia="仿宋_GB2312" w:cs="Times New Roman"/>
          <w:sz w:val="24"/>
          <w:szCs w:val="24"/>
        </w:rPr>
        <w:t>。该工程具有水土保持功能，满足水土保持要求，界定为水土保持措施，计入水土保持投资。</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3.3.3 临时措施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密目网苫盖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本期工程</w:t>
      </w:r>
      <w:r>
        <w:rPr>
          <w:rFonts w:hint="default" w:ascii="Times New Roman" w:hAnsi="Times New Roman" w:eastAsia="仿宋_GB2312" w:cs="Times New Roman"/>
          <w:sz w:val="24"/>
          <w:szCs w:val="24"/>
          <w:lang w:val="en-US" w:eastAsia="zh-CN"/>
        </w:rPr>
        <w:t>共布设临时堆土区</w:t>
      </w:r>
      <w:r>
        <w:rPr>
          <w:rFonts w:hint="eastAsia" w:eastAsia="仿宋_GB2312" w:cs="Times New Roman"/>
          <w:sz w:val="24"/>
          <w:szCs w:val="24"/>
          <w:lang w:val="en-US" w:eastAsia="zh-CN"/>
        </w:rPr>
        <w:t>1</w:t>
      </w:r>
      <w:r>
        <w:rPr>
          <w:rFonts w:hint="default" w:ascii="Times New Roman" w:hAnsi="Times New Roman" w:eastAsia="仿宋_GB2312" w:cs="Times New Roman"/>
          <w:sz w:val="24"/>
          <w:szCs w:val="24"/>
          <w:lang w:val="en-US" w:eastAsia="zh-CN"/>
        </w:rPr>
        <w:t>个，总设计容积约为1.63</w:t>
      </w:r>
      <w:r>
        <w:rPr>
          <w:rFonts w:hint="default" w:ascii="Times New Roman" w:hAnsi="Times New Roman" w:eastAsia="仿宋_GB2312" w:cs="Times New Roman"/>
          <w:sz w:val="24"/>
          <w:szCs w:val="24"/>
        </w:rPr>
        <w:t>万m³</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实际堆土量1.60</w:t>
      </w:r>
      <w:r>
        <w:rPr>
          <w:rFonts w:hint="default" w:ascii="Times New Roman" w:hAnsi="Times New Roman" w:eastAsia="仿宋_GB2312" w:cs="Times New Roman"/>
          <w:sz w:val="24"/>
          <w:szCs w:val="24"/>
        </w:rPr>
        <w:t>万m³</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该措施具有水土保持功能，满足水土保持要求，界定为水土保持措施，计入水土保持投资。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主体已列水土保持措施及投资见表3-4。</w:t>
      </w:r>
    </w:p>
    <w:p>
      <w:pPr>
        <w:pStyle w:val="16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rPr>
      </w:pPr>
      <w:r>
        <w:rPr>
          <w:rFonts w:hint="default" w:ascii="Times New Roman" w:hAnsi="Times New Roman" w:eastAsia="微软雅黑" w:cs="Times New Roman"/>
          <w:b w:val="0"/>
          <w:bCs w:val="0"/>
          <w:sz w:val="21"/>
          <w:szCs w:val="21"/>
          <w:highlight w:val="none"/>
        </w:rPr>
        <w:t>表3-</w:t>
      </w:r>
      <w:r>
        <w:rPr>
          <w:rFonts w:hint="default" w:ascii="Times New Roman" w:hAnsi="Times New Roman" w:eastAsia="微软雅黑" w:cs="Times New Roman"/>
          <w:b w:val="0"/>
          <w:bCs w:val="0"/>
          <w:sz w:val="21"/>
          <w:szCs w:val="21"/>
          <w:highlight w:val="none"/>
          <w:lang w:val="en-US" w:eastAsia="zh-CN"/>
        </w:rPr>
        <w:t xml:space="preserve">4  </w:t>
      </w:r>
      <w:r>
        <w:rPr>
          <w:rFonts w:hint="default" w:ascii="Times New Roman" w:hAnsi="Times New Roman" w:eastAsia="微软雅黑" w:cs="Times New Roman"/>
          <w:b w:val="0"/>
          <w:bCs w:val="0"/>
          <w:sz w:val="21"/>
          <w:szCs w:val="21"/>
          <w:highlight w:val="none"/>
        </w:rPr>
        <w:t>主体工程具有水土保持功能的措施及工程量</w:t>
      </w:r>
    </w:p>
    <w:tbl>
      <w:tblPr>
        <w:tblStyle w:val="556"/>
        <w:tblW w:w="4998"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758"/>
        <w:gridCol w:w="1099"/>
        <w:gridCol w:w="1434"/>
        <w:gridCol w:w="1024"/>
        <w:gridCol w:w="1266"/>
        <w:gridCol w:w="1261"/>
        <w:gridCol w:w="1563"/>
      </w:tblGrid>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2"/>
                <w:sz w:val="20"/>
                <w:szCs w:val="20"/>
                <w:highlight w:val="none"/>
                <w:lang w:val="en-US" w:eastAsia="zh-CN"/>
              </w:rPr>
            </w:pPr>
            <w:r>
              <w:rPr>
                <w:rFonts w:hint="default" w:ascii="Times New Roman" w:hAnsi="Times New Roman" w:eastAsia="仿宋" w:cs="Times New Roman"/>
                <w:spacing w:val="2"/>
                <w:sz w:val="20"/>
                <w:szCs w:val="20"/>
                <w:highlight w:val="none"/>
                <w:lang w:val="en-US" w:eastAsia="zh-CN"/>
              </w:rPr>
              <w:t>序号</w:t>
            </w:r>
          </w:p>
        </w:tc>
        <w:tc>
          <w:tcPr>
            <w:tcW w:w="1507"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2"/>
                <w:sz w:val="20"/>
                <w:szCs w:val="20"/>
                <w:highlight w:val="none"/>
                <w:lang w:val="en-US" w:eastAsia="zh-CN"/>
              </w:rPr>
            </w:pPr>
            <w:r>
              <w:rPr>
                <w:rFonts w:hint="default" w:ascii="Times New Roman" w:hAnsi="Times New Roman" w:eastAsia="仿宋" w:cs="Times New Roman"/>
                <w:spacing w:val="2"/>
                <w:sz w:val="20"/>
                <w:szCs w:val="20"/>
                <w:highlight w:val="none"/>
                <w:lang w:val="en-US" w:eastAsia="zh-CN"/>
              </w:rPr>
              <w:t>措施名称</w:t>
            </w:r>
          </w:p>
        </w:tc>
        <w:tc>
          <w:tcPr>
            <w:tcW w:w="6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pacing w:val="-1"/>
                <w:sz w:val="20"/>
                <w:szCs w:val="20"/>
                <w:highlight w:val="none"/>
              </w:rPr>
              <w:t>单</w:t>
            </w:r>
            <w:r>
              <w:rPr>
                <w:rFonts w:hint="default" w:ascii="Times New Roman" w:hAnsi="Times New Roman" w:eastAsia="仿宋" w:cs="Times New Roman"/>
                <w:sz w:val="20"/>
                <w:szCs w:val="20"/>
                <w:highlight w:val="none"/>
              </w:rPr>
              <w:t>位</w:t>
            </w:r>
          </w:p>
        </w:tc>
        <w:tc>
          <w:tcPr>
            <w:tcW w:w="75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pacing w:val="2"/>
                <w:sz w:val="20"/>
                <w:szCs w:val="20"/>
                <w:highlight w:val="none"/>
              </w:rPr>
              <w:t>数量</w:t>
            </w:r>
          </w:p>
        </w:tc>
        <w:tc>
          <w:tcPr>
            <w:tcW w:w="74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2"/>
                <w:sz w:val="20"/>
                <w:szCs w:val="20"/>
                <w:highlight w:val="none"/>
                <w:lang w:val="en-US" w:eastAsia="zh-CN"/>
              </w:rPr>
            </w:pPr>
            <w:r>
              <w:rPr>
                <w:rFonts w:hint="default" w:ascii="Times New Roman" w:hAnsi="Times New Roman" w:eastAsia="仿宋" w:cs="Times New Roman"/>
                <w:spacing w:val="2"/>
                <w:sz w:val="20"/>
                <w:szCs w:val="20"/>
                <w:highlight w:val="none"/>
                <w:lang w:val="en-US" w:eastAsia="zh-CN"/>
              </w:rPr>
              <w:t>单价（元）</w:t>
            </w:r>
          </w:p>
        </w:tc>
        <w:tc>
          <w:tcPr>
            <w:tcW w:w="93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2"/>
                <w:sz w:val="20"/>
                <w:szCs w:val="20"/>
                <w:highlight w:val="none"/>
                <w:lang w:val="en-US" w:eastAsia="zh-CN"/>
              </w:rPr>
            </w:pPr>
            <w:r>
              <w:rPr>
                <w:rFonts w:hint="default" w:ascii="Times New Roman" w:hAnsi="Times New Roman" w:eastAsia="仿宋" w:cs="Times New Roman"/>
                <w:spacing w:val="2"/>
                <w:sz w:val="20"/>
                <w:szCs w:val="20"/>
                <w:highlight w:val="none"/>
                <w:lang w:val="en-US" w:eastAsia="zh-CN"/>
              </w:rPr>
              <w:t>投资（万元）</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6"/>
                <w:sz w:val="20"/>
                <w:szCs w:val="20"/>
                <w:highlight w:val="none"/>
                <w:lang w:val="en-US" w:eastAsia="zh-CN"/>
              </w:rPr>
            </w:pPr>
            <w:r>
              <w:rPr>
                <w:rFonts w:hint="default" w:ascii="Times New Roman" w:hAnsi="Times New Roman" w:eastAsia="仿宋" w:cs="Times New Roman"/>
                <w:spacing w:val="6"/>
                <w:sz w:val="20"/>
                <w:szCs w:val="20"/>
                <w:highlight w:val="none"/>
                <w:lang w:val="en-US" w:eastAsia="zh-CN"/>
              </w:rPr>
              <w:t>1</w:t>
            </w:r>
          </w:p>
        </w:tc>
        <w:tc>
          <w:tcPr>
            <w:tcW w:w="654"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pacing w:val="6"/>
                <w:sz w:val="20"/>
                <w:szCs w:val="20"/>
                <w:highlight w:val="none"/>
              </w:rPr>
              <w:t>工</w:t>
            </w:r>
            <w:r>
              <w:rPr>
                <w:rFonts w:hint="default" w:ascii="Times New Roman" w:hAnsi="Times New Roman" w:eastAsia="仿宋" w:cs="Times New Roman"/>
                <w:spacing w:val="4"/>
                <w:sz w:val="20"/>
                <w:szCs w:val="20"/>
                <w:highlight w:val="none"/>
              </w:rPr>
              <w:t>程措施</w:t>
            </w:r>
          </w:p>
        </w:tc>
        <w:tc>
          <w:tcPr>
            <w:tcW w:w="8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pacing w:val="10"/>
                <w:sz w:val="20"/>
                <w:szCs w:val="20"/>
                <w:highlight w:val="none"/>
              </w:rPr>
              <w:t>绿</w:t>
            </w:r>
            <w:r>
              <w:rPr>
                <w:rFonts w:hint="default" w:ascii="Times New Roman" w:hAnsi="Times New Roman" w:eastAsia="仿宋" w:cs="Times New Roman"/>
                <w:spacing w:val="6"/>
                <w:sz w:val="20"/>
                <w:szCs w:val="20"/>
                <w:highlight w:val="none"/>
              </w:rPr>
              <w:t>化用土回覆</w:t>
            </w:r>
          </w:p>
        </w:tc>
        <w:tc>
          <w:tcPr>
            <w:tcW w:w="6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m³</w:t>
            </w:r>
          </w:p>
        </w:tc>
        <w:tc>
          <w:tcPr>
            <w:tcW w:w="75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lang w:val="en-US" w:eastAsia="zh-CN"/>
              </w:rPr>
            </w:pPr>
            <w:r>
              <w:rPr>
                <w:rFonts w:hint="eastAsia" w:eastAsia="仿宋" w:cs="Times New Roman"/>
                <w:spacing w:val="4"/>
                <w:sz w:val="20"/>
                <w:szCs w:val="20"/>
                <w:highlight w:val="none"/>
                <w:lang w:val="en-US" w:eastAsia="zh-CN"/>
              </w:rPr>
              <w:t>12000</w:t>
            </w:r>
          </w:p>
        </w:tc>
        <w:tc>
          <w:tcPr>
            <w:tcW w:w="74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lang w:val="en-US"/>
              </w:rPr>
            </w:pPr>
            <w:r>
              <w:rPr>
                <w:rFonts w:hint="eastAsia" w:eastAsia="仿宋_GB2312" w:cs="Times New Roman"/>
                <w:color w:val="000000"/>
                <w:kern w:val="0"/>
                <w:sz w:val="20"/>
                <w:szCs w:val="20"/>
                <w:highlight w:val="none"/>
                <w:lang w:val="en-US" w:eastAsia="zh-CN" w:bidi="ar"/>
              </w:rPr>
              <w:t>10</w:t>
            </w:r>
          </w:p>
        </w:tc>
        <w:tc>
          <w:tcPr>
            <w:tcW w:w="15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eastAsia="仿宋" w:cs="Times New Roman"/>
                <w:spacing w:val="6"/>
                <w:sz w:val="20"/>
                <w:szCs w:val="20"/>
                <w:highlight w:val="none"/>
                <w:lang w:val="en-US" w:eastAsia="zh-CN"/>
              </w:rPr>
            </w:pPr>
            <w:r>
              <w:rPr>
                <w:rFonts w:hint="eastAsia" w:eastAsia="仿宋" w:cs="Times New Roman"/>
                <w:spacing w:val="6"/>
                <w:sz w:val="20"/>
                <w:szCs w:val="20"/>
                <w:highlight w:val="none"/>
                <w:lang w:val="en-US" w:eastAsia="zh-CN"/>
              </w:rPr>
              <w:t>12</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lang w:val="en-US" w:eastAsia="zh-CN"/>
              </w:rPr>
            </w:pPr>
            <w:r>
              <w:rPr>
                <w:rFonts w:hint="default" w:ascii="Times New Roman" w:hAnsi="Times New Roman" w:eastAsia="仿宋" w:cs="Times New Roman"/>
                <w:sz w:val="20"/>
                <w:szCs w:val="20"/>
                <w:highlight w:val="none"/>
                <w:lang w:val="en-US" w:eastAsia="zh-CN"/>
              </w:rPr>
              <w:t>2</w:t>
            </w:r>
          </w:p>
        </w:tc>
        <w:tc>
          <w:tcPr>
            <w:tcW w:w="654"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p>
        </w:tc>
        <w:tc>
          <w:tcPr>
            <w:tcW w:w="8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pacing w:val="6"/>
                <w:sz w:val="20"/>
                <w:szCs w:val="20"/>
                <w:highlight w:val="none"/>
              </w:rPr>
              <w:t>雨水管</w:t>
            </w:r>
            <w:r>
              <w:rPr>
                <w:rFonts w:hint="default" w:ascii="Times New Roman" w:hAnsi="Times New Roman" w:eastAsia="仿宋" w:cs="Times New Roman"/>
                <w:spacing w:val="5"/>
                <w:sz w:val="20"/>
                <w:szCs w:val="20"/>
                <w:highlight w:val="none"/>
              </w:rPr>
              <w:t>线</w:t>
            </w:r>
          </w:p>
        </w:tc>
        <w:tc>
          <w:tcPr>
            <w:tcW w:w="6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pacing w:val="5"/>
                <w:sz w:val="20"/>
                <w:szCs w:val="20"/>
                <w:highlight w:val="none"/>
              </w:rPr>
              <w:t>m</w:t>
            </w:r>
          </w:p>
        </w:tc>
        <w:tc>
          <w:tcPr>
            <w:tcW w:w="75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lang w:val="en-US" w:eastAsia="zh-CN"/>
              </w:rPr>
            </w:pPr>
            <w:r>
              <w:rPr>
                <w:rFonts w:hint="eastAsia" w:eastAsia="仿宋" w:cs="Times New Roman"/>
                <w:spacing w:val="3"/>
                <w:sz w:val="20"/>
                <w:szCs w:val="20"/>
                <w:highlight w:val="none"/>
                <w:lang w:val="en-US" w:eastAsia="zh-CN"/>
              </w:rPr>
              <w:t>2600</w:t>
            </w:r>
          </w:p>
        </w:tc>
        <w:tc>
          <w:tcPr>
            <w:tcW w:w="74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lang w:val="en-US" w:eastAsia="zh-CN"/>
              </w:rPr>
            </w:pPr>
            <w:r>
              <w:rPr>
                <w:rFonts w:hint="eastAsia" w:eastAsia="仿宋" w:cs="Times New Roman"/>
                <w:spacing w:val="3"/>
                <w:sz w:val="20"/>
                <w:szCs w:val="20"/>
                <w:highlight w:val="none"/>
                <w:lang w:val="en-US" w:eastAsia="zh-CN"/>
              </w:rPr>
              <w:t>1000</w:t>
            </w:r>
          </w:p>
        </w:tc>
        <w:tc>
          <w:tcPr>
            <w:tcW w:w="15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eastAsia="仿宋" w:cs="Times New Roman"/>
                <w:spacing w:val="6"/>
                <w:sz w:val="20"/>
                <w:szCs w:val="20"/>
                <w:highlight w:val="none"/>
                <w:lang w:val="en-US" w:eastAsia="zh-CN"/>
              </w:rPr>
            </w:pPr>
            <w:r>
              <w:rPr>
                <w:rFonts w:hint="eastAsia" w:eastAsia="仿宋" w:cs="Times New Roman"/>
                <w:spacing w:val="6"/>
                <w:sz w:val="20"/>
                <w:szCs w:val="20"/>
                <w:highlight w:val="none"/>
                <w:lang w:val="en-US" w:eastAsia="zh-CN"/>
              </w:rPr>
              <w:t>260</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lang w:val="en-US" w:eastAsia="zh-CN"/>
              </w:rPr>
            </w:pPr>
            <w:r>
              <w:rPr>
                <w:rFonts w:hint="default" w:ascii="Times New Roman" w:hAnsi="Times New Roman" w:eastAsia="仿宋" w:cs="Times New Roman"/>
                <w:sz w:val="20"/>
                <w:szCs w:val="20"/>
                <w:highlight w:val="none"/>
                <w:lang w:val="en-US" w:eastAsia="zh-CN"/>
              </w:rPr>
              <w:t>3</w:t>
            </w:r>
          </w:p>
        </w:tc>
        <w:tc>
          <w:tcPr>
            <w:tcW w:w="654"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p>
        </w:tc>
        <w:tc>
          <w:tcPr>
            <w:tcW w:w="8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lang w:eastAsia="zh-CN"/>
              </w:rPr>
            </w:pPr>
            <w:r>
              <w:rPr>
                <w:rFonts w:hint="default" w:ascii="Times New Roman" w:hAnsi="Times New Roman" w:eastAsia="仿宋" w:cs="Times New Roman"/>
                <w:spacing w:val="-13"/>
                <w:sz w:val="20"/>
                <w:szCs w:val="20"/>
                <w:highlight w:val="none"/>
                <w:lang w:eastAsia="zh-CN"/>
              </w:rPr>
              <w:t>雨水</w:t>
            </w:r>
            <w:r>
              <w:rPr>
                <w:rFonts w:hint="eastAsia" w:eastAsia="仿宋" w:cs="Times New Roman"/>
                <w:spacing w:val="-13"/>
                <w:sz w:val="20"/>
                <w:szCs w:val="20"/>
                <w:highlight w:val="none"/>
                <w:lang w:val="en-US" w:eastAsia="zh-CN"/>
              </w:rPr>
              <w:t>口</w:t>
            </w:r>
          </w:p>
        </w:tc>
        <w:tc>
          <w:tcPr>
            <w:tcW w:w="6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个</w:t>
            </w:r>
          </w:p>
        </w:tc>
        <w:tc>
          <w:tcPr>
            <w:tcW w:w="75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lang w:val="en-US" w:eastAsia="zh-CN"/>
              </w:rPr>
            </w:pPr>
            <w:r>
              <w:rPr>
                <w:rFonts w:hint="eastAsia" w:eastAsia="仿宋" w:cs="Times New Roman"/>
                <w:sz w:val="20"/>
                <w:szCs w:val="20"/>
                <w:highlight w:val="none"/>
                <w:lang w:val="en-US" w:eastAsia="zh-CN"/>
              </w:rPr>
              <w:t>260</w:t>
            </w:r>
          </w:p>
        </w:tc>
        <w:tc>
          <w:tcPr>
            <w:tcW w:w="74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lang w:val="en-US" w:eastAsia="zh-CN"/>
              </w:rPr>
            </w:pPr>
            <w:r>
              <w:rPr>
                <w:rFonts w:hint="eastAsia" w:eastAsia="仿宋" w:cs="Times New Roman"/>
                <w:spacing w:val="2"/>
                <w:sz w:val="20"/>
                <w:szCs w:val="20"/>
                <w:highlight w:val="none"/>
                <w:lang w:val="en-US" w:eastAsia="zh-CN"/>
              </w:rPr>
              <w:t>500</w:t>
            </w:r>
          </w:p>
        </w:tc>
        <w:tc>
          <w:tcPr>
            <w:tcW w:w="15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eastAsia="仿宋" w:cs="Times New Roman"/>
                <w:spacing w:val="6"/>
                <w:sz w:val="20"/>
                <w:szCs w:val="20"/>
                <w:highlight w:val="none"/>
                <w:lang w:val="en-US" w:eastAsia="zh-CN"/>
              </w:rPr>
            </w:pPr>
            <w:r>
              <w:rPr>
                <w:rFonts w:hint="eastAsia" w:eastAsia="仿宋" w:cs="Times New Roman"/>
                <w:spacing w:val="6"/>
                <w:sz w:val="20"/>
                <w:szCs w:val="20"/>
                <w:highlight w:val="none"/>
                <w:lang w:val="en-US" w:eastAsia="zh-CN"/>
              </w:rPr>
              <w:t>13</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6"/>
                <w:sz w:val="20"/>
                <w:szCs w:val="20"/>
                <w:highlight w:val="none"/>
                <w:lang w:val="en-US" w:eastAsia="zh-CN"/>
              </w:rPr>
            </w:pPr>
            <w:r>
              <w:rPr>
                <w:rFonts w:hint="default" w:ascii="Times New Roman" w:hAnsi="Times New Roman" w:eastAsia="仿宋" w:cs="Times New Roman"/>
                <w:spacing w:val="6"/>
                <w:sz w:val="20"/>
                <w:szCs w:val="20"/>
                <w:highlight w:val="none"/>
                <w:lang w:val="en-US" w:eastAsia="zh-CN"/>
              </w:rPr>
              <w:t>4</w:t>
            </w:r>
          </w:p>
        </w:tc>
        <w:tc>
          <w:tcPr>
            <w:tcW w:w="65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pacing w:val="6"/>
                <w:sz w:val="20"/>
                <w:szCs w:val="20"/>
                <w:highlight w:val="none"/>
              </w:rPr>
              <w:t>植物措施</w:t>
            </w:r>
          </w:p>
        </w:tc>
        <w:tc>
          <w:tcPr>
            <w:tcW w:w="8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kern w:val="2"/>
                <w:sz w:val="20"/>
                <w:szCs w:val="20"/>
                <w:highlight w:val="none"/>
                <w:lang w:val="en-US" w:eastAsia="zh-CN" w:bidi="ar-SA"/>
              </w:rPr>
            </w:pPr>
            <w:r>
              <w:rPr>
                <w:rFonts w:hint="default" w:ascii="Times New Roman" w:hAnsi="Times New Roman" w:eastAsia="仿宋" w:cs="Times New Roman"/>
                <w:spacing w:val="8"/>
                <w:sz w:val="20"/>
                <w:szCs w:val="20"/>
                <w:highlight w:val="none"/>
                <w:lang w:val="en-US" w:eastAsia="zh-CN"/>
              </w:rPr>
              <w:t>绿化</w:t>
            </w:r>
          </w:p>
        </w:tc>
        <w:tc>
          <w:tcPr>
            <w:tcW w:w="6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kern w:val="2"/>
                <w:sz w:val="20"/>
                <w:szCs w:val="20"/>
                <w:highlight w:val="none"/>
                <w:lang w:val="en-US" w:eastAsia="zh-CN" w:bidi="ar-SA"/>
              </w:rPr>
            </w:pPr>
            <w:r>
              <w:rPr>
                <w:rFonts w:hint="default" w:ascii="Times New Roman" w:hAnsi="Times New Roman" w:eastAsia="仿宋" w:cs="Times New Roman"/>
                <w:sz w:val="20"/>
                <w:szCs w:val="20"/>
                <w:highlight w:val="none"/>
              </w:rPr>
              <w:t>m</w:t>
            </w:r>
            <w:r>
              <w:rPr>
                <w:rFonts w:hint="default" w:ascii="Times New Roman" w:hAnsi="Times New Roman" w:eastAsia="仿宋" w:cs="Times New Roman"/>
                <w:spacing w:val="8"/>
                <w:sz w:val="20"/>
                <w:szCs w:val="20"/>
                <w:highlight w:val="none"/>
              </w:rPr>
              <w:t>²</w:t>
            </w:r>
          </w:p>
        </w:tc>
        <w:tc>
          <w:tcPr>
            <w:tcW w:w="75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kern w:val="2"/>
                <w:sz w:val="20"/>
                <w:szCs w:val="20"/>
                <w:highlight w:val="none"/>
                <w:lang w:val="en-US" w:eastAsia="zh-CN" w:bidi="ar-SA"/>
              </w:rPr>
            </w:pPr>
            <w:r>
              <w:rPr>
                <w:rFonts w:hint="eastAsia" w:eastAsia="仿宋" w:cs="Times New Roman"/>
                <w:spacing w:val="2"/>
                <w:sz w:val="20"/>
                <w:szCs w:val="20"/>
                <w:highlight w:val="none"/>
                <w:lang w:eastAsia="zh-CN"/>
              </w:rPr>
              <w:t>39933.28</w:t>
            </w:r>
          </w:p>
        </w:tc>
        <w:tc>
          <w:tcPr>
            <w:tcW w:w="74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kern w:val="2"/>
                <w:sz w:val="20"/>
                <w:szCs w:val="20"/>
                <w:highlight w:val="none"/>
                <w:lang w:val="en-US" w:eastAsia="zh-CN" w:bidi="ar-SA"/>
              </w:rPr>
            </w:pPr>
            <w:r>
              <w:rPr>
                <w:rFonts w:hint="eastAsia" w:eastAsia="仿宋" w:cs="Times New Roman"/>
                <w:spacing w:val="6"/>
                <w:sz w:val="20"/>
                <w:szCs w:val="20"/>
                <w:highlight w:val="none"/>
                <w:lang w:val="en-US" w:eastAsia="zh-CN"/>
              </w:rPr>
              <w:t>120</w:t>
            </w:r>
          </w:p>
        </w:tc>
        <w:tc>
          <w:tcPr>
            <w:tcW w:w="15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eastAsia="仿宋" w:cs="Times New Roman"/>
                <w:spacing w:val="6"/>
                <w:sz w:val="20"/>
                <w:szCs w:val="20"/>
                <w:highlight w:val="none"/>
                <w:lang w:val="en-US" w:eastAsia="zh-CN"/>
              </w:rPr>
            </w:pPr>
            <w:r>
              <w:rPr>
                <w:rFonts w:hint="eastAsia" w:eastAsia="仿宋" w:cs="Times New Roman"/>
                <w:spacing w:val="6"/>
                <w:sz w:val="20"/>
                <w:szCs w:val="20"/>
                <w:highlight w:val="none"/>
                <w:lang w:val="en-US" w:eastAsia="zh-CN"/>
              </w:rPr>
              <w:t>479.20</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3"/>
                <w:sz w:val="20"/>
                <w:szCs w:val="20"/>
                <w:highlight w:val="none"/>
                <w:lang w:val="en-US" w:eastAsia="zh-CN"/>
              </w:rPr>
            </w:pPr>
            <w:r>
              <w:rPr>
                <w:rFonts w:hint="default" w:ascii="Times New Roman" w:hAnsi="Times New Roman" w:eastAsia="仿宋" w:cs="Times New Roman"/>
                <w:spacing w:val="3"/>
                <w:sz w:val="20"/>
                <w:szCs w:val="20"/>
                <w:highlight w:val="none"/>
                <w:lang w:val="en-US" w:eastAsia="zh-CN"/>
              </w:rPr>
              <w:t>5</w:t>
            </w:r>
          </w:p>
        </w:tc>
        <w:tc>
          <w:tcPr>
            <w:tcW w:w="65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pacing w:val="3"/>
                <w:sz w:val="20"/>
                <w:szCs w:val="20"/>
                <w:highlight w:val="none"/>
              </w:rPr>
              <w:t>临时措</w:t>
            </w:r>
            <w:r>
              <w:rPr>
                <w:rFonts w:hint="default" w:ascii="Times New Roman" w:hAnsi="Times New Roman" w:eastAsia="仿宋" w:cs="Times New Roman"/>
                <w:spacing w:val="2"/>
                <w:sz w:val="20"/>
                <w:szCs w:val="20"/>
                <w:highlight w:val="none"/>
              </w:rPr>
              <w:t>施</w:t>
            </w:r>
          </w:p>
        </w:tc>
        <w:tc>
          <w:tcPr>
            <w:tcW w:w="8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spacing w:val="6"/>
                <w:kern w:val="2"/>
                <w:sz w:val="20"/>
                <w:szCs w:val="20"/>
                <w:highlight w:val="none"/>
                <w:lang w:val="en-US" w:eastAsia="zh-CN" w:bidi="ar-SA"/>
              </w:rPr>
            </w:pPr>
            <w:r>
              <w:rPr>
                <w:rFonts w:hint="default" w:ascii="Times New Roman" w:hAnsi="Times New Roman" w:eastAsia="仿宋" w:cs="Times New Roman"/>
                <w:spacing w:val="6"/>
                <w:sz w:val="20"/>
                <w:szCs w:val="20"/>
                <w:highlight w:val="none"/>
                <w:lang w:val="en-US" w:eastAsia="zh-CN"/>
              </w:rPr>
              <w:t>密目网苫盖</w:t>
            </w:r>
          </w:p>
        </w:tc>
        <w:tc>
          <w:tcPr>
            <w:tcW w:w="6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kern w:val="2"/>
                <w:sz w:val="20"/>
                <w:szCs w:val="20"/>
                <w:highlight w:val="none"/>
                <w:lang w:val="en-US" w:eastAsia="zh-CN" w:bidi="ar-SA"/>
              </w:rPr>
            </w:pPr>
            <w:r>
              <w:rPr>
                <w:rFonts w:hint="default" w:ascii="Times New Roman" w:hAnsi="Times New Roman" w:eastAsia="仿宋" w:cs="Times New Roman"/>
                <w:sz w:val="20"/>
                <w:szCs w:val="20"/>
                <w:highlight w:val="none"/>
              </w:rPr>
              <w:t>m</w:t>
            </w:r>
            <w:r>
              <w:rPr>
                <w:rFonts w:hint="default" w:ascii="Times New Roman" w:hAnsi="Times New Roman" w:eastAsia="仿宋" w:cs="Times New Roman"/>
                <w:spacing w:val="8"/>
                <w:sz w:val="20"/>
                <w:szCs w:val="20"/>
                <w:highlight w:val="none"/>
              </w:rPr>
              <w:t>²</w:t>
            </w:r>
          </w:p>
        </w:tc>
        <w:tc>
          <w:tcPr>
            <w:tcW w:w="75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kern w:val="2"/>
                <w:sz w:val="20"/>
                <w:szCs w:val="20"/>
                <w:highlight w:val="none"/>
                <w:lang w:val="en-US" w:eastAsia="zh-CN" w:bidi="ar-SA"/>
              </w:rPr>
            </w:pPr>
            <w:r>
              <w:rPr>
                <w:rFonts w:hint="eastAsia" w:eastAsia="仿宋" w:cs="Times New Roman"/>
                <w:sz w:val="20"/>
                <w:szCs w:val="20"/>
                <w:highlight w:val="none"/>
                <w:lang w:val="en-US" w:eastAsia="zh-CN"/>
              </w:rPr>
              <w:t>2965</w:t>
            </w:r>
          </w:p>
        </w:tc>
        <w:tc>
          <w:tcPr>
            <w:tcW w:w="74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spacing w:val="6"/>
                <w:kern w:val="2"/>
                <w:sz w:val="20"/>
                <w:szCs w:val="20"/>
                <w:highlight w:val="none"/>
                <w:lang w:val="en-US" w:eastAsia="zh-CN" w:bidi="ar-SA"/>
              </w:rPr>
            </w:pPr>
            <w:r>
              <w:rPr>
                <w:rFonts w:hint="eastAsia" w:eastAsia="仿宋" w:cs="Times New Roman"/>
                <w:spacing w:val="6"/>
                <w:sz w:val="20"/>
                <w:szCs w:val="20"/>
                <w:highlight w:val="none"/>
                <w:lang w:val="en-US" w:eastAsia="zh-CN"/>
              </w:rPr>
              <w:t>5</w:t>
            </w:r>
          </w:p>
        </w:tc>
        <w:tc>
          <w:tcPr>
            <w:tcW w:w="15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eastAsia="仿宋" w:cs="Times New Roman"/>
                <w:spacing w:val="6"/>
                <w:sz w:val="20"/>
                <w:szCs w:val="20"/>
                <w:highlight w:val="none"/>
                <w:lang w:val="en-US" w:eastAsia="zh-CN"/>
              </w:rPr>
            </w:pPr>
            <w:r>
              <w:rPr>
                <w:rFonts w:hint="eastAsia" w:eastAsia="仿宋" w:cs="Times New Roman"/>
                <w:spacing w:val="6"/>
                <w:sz w:val="20"/>
                <w:szCs w:val="20"/>
                <w:highlight w:val="none"/>
                <w:lang w:val="en-US" w:eastAsia="zh-CN"/>
              </w:rPr>
              <w:t>1.48</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069" w:type="pct"/>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pacing w:val="-1"/>
                <w:sz w:val="20"/>
                <w:szCs w:val="20"/>
                <w:highlight w:val="none"/>
              </w:rPr>
              <w:t>合计</w:t>
            </w:r>
          </w:p>
        </w:tc>
        <w:tc>
          <w:tcPr>
            <w:tcW w:w="15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eastAsia="仿宋" w:cs="Times New Roman"/>
                <w:spacing w:val="6"/>
                <w:sz w:val="20"/>
                <w:szCs w:val="20"/>
                <w:highlight w:val="none"/>
                <w:lang w:val="en-US" w:eastAsia="zh-CN"/>
              </w:rPr>
            </w:pPr>
            <w:r>
              <w:rPr>
                <w:rFonts w:hint="eastAsia" w:eastAsia="仿宋" w:cs="Times New Roman"/>
                <w:spacing w:val="6"/>
                <w:sz w:val="20"/>
                <w:szCs w:val="20"/>
                <w:highlight w:val="none"/>
                <w:lang w:val="en-US" w:eastAsia="zh-CN"/>
              </w:rPr>
              <w:t>765.68</w:t>
            </w:r>
          </w:p>
        </w:tc>
      </w:tr>
    </w:tbl>
    <w:p>
      <w:pPr>
        <w:pStyle w:val="164"/>
        <w:pageBreakBefore w:val="0"/>
        <w:kinsoku/>
        <w:wordWrap/>
        <w:bidi w:val="0"/>
        <w:spacing w:line="360" w:lineRule="auto"/>
        <w:ind w:firstLine="0" w:firstLineChars="0"/>
        <w:rPr>
          <w:rFonts w:hint="default" w:ascii="Times New Roman" w:hAnsi="Times New Roman" w:eastAsia="仿宋_GB2312" w:cs="Times New Roman"/>
          <w:szCs w:val="28"/>
          <w:highlight w:val="none"/>
        </w:rPr>
      </w:pPr>
    </w:p>
    <w:p>
      <w:pPr>
        <w:pStyle w:val="164"/>
        <w:pageBreakBefore w:val="0"/>
        <w:kinsoku/>
        <w:wordWrap/>
        <w:bidi w:val="0"/>
        <w:spacing w:line="360" w:lineRule="auto"/>
        <w:ind w:firstLine="0" w:firstLineChars="0"/>
        <w:jc w:val="center"/>
        <w:rPr>
          <w:rFonts w:hint="default" w:ascii="Times New Roman" w:hAnsi="Times New Roman" w:eastAsia="仿宋_GB2312" w:cs="Times New Roman"/>
          <w:highlight w:val="none"/>
        </w:rPr>
        <w:sectPr>
          <w:headerReference r:id="rId16" w:type="default"/>
          <w:footerReference r:id="rId17" w:type="default"/>
          <w:pgSz w:w="11906" w:h="16838"/>
          <w:pgMar w:top="1418" w:right="1701" w:bottom="1418" w:left="1797" w:header="851" w:footer="992" w:gutter="0"/>
          <w:pgBorders>
            <w:top w:val="none" w:sz="0" w:space="0"/>
            <w:left w:val="none" w:sz="0" w:space="0"/>
            <w:bottom w:val="none" w:sz="0" w:space="0"/>
            <w:right w:val="none" w:sz="0" w:space="0"/>
          </w:pgBorders>
          <w:pgNumType w:fmt="decimal"/>
          <w:cols w:space="720" w:num="1"/>
          <w:docGrid w:linePitch="312" w:charSpace="0"/>
        </w:sectPr>
      </w:pPr>
    </w:p>
    <w:bookmarkEnd w:id="211"/>
    <w:bookmarkEnd w:id="212"/>
    <w:bookmarkEnd w:id="213"/>
    <w:bookmarkEnd w:id="214"/>
    <w:p>
      <w:pPr>
        <w:pStyle w:val="4"/>
        <w:bidi w:val="0"/>
        <w:rPr>
          <w:rFonts w:hint="default" w:ascii="Times New Roman" w:hAnsi="Times New Roman" w:cs="Times New Roman"/>
        </w:rPr>
      </w:pPr>
      <w:bookmarkStart w:id="220" w:name="_Toc21341"/>
      <w:bookmarkStart w:id="221" w:name="_Toc5520"/>
      <w:bookmarkStart w:id="222" w:name="_Toc25306"/>
      <w:r>
        <w:rPr>
          <w:rFonts w:hint="default" w:ascii="Times New Roman" w:hAnsi="Times New Roman" w:cs="Times New Roman"/>
        </w:rPr>
        <w:t>4水土流失分析</w:t>
      </w:r>
      <w:bookmarkEnd w:id="201"/>
      <w:bookmarkEnd w:id="202"/>
      <w:bookmarkEnd w:id="203"/>
      <w:r>
        <w:rPr>
          <w:rFonts w:hint="default" w:ascii="Times New Roman" w:hAnsi="Times New Roman" w:cs="Times New Roman"/>
        </w:rPr>
        <w:t>与预测</w:t>
      </w:r>
      <w:bookmarkEnd w:id="220"/>
      <w:bookmarkEnd w:id="221"/>
      <w:bookmarkEnd w:id="222"/>
    </w:p>
    <w:p>
      <w:pPr>
        <w:pStyle w:val="5"/>
        <w:bidi w:val="0"/>
        <w:rPr>
          <w:rFonts w:hint="default" w:ascii="Times New Roman" w:hAnsi="Times New Roman" w:cs="Times New Roman"/>
        </w:rPr>
      </w:pPr>
      <w:bookmarkStart w:id="223" w:name="_Toc235255261"/>
      <w:bookmarkStart w:id="224" w:name="_Toc232323112"/>
      <w:bookmarkStart w:id="225" w:name="_Toc227034470"/>
      <w:bookmarkStart w:id="226" w:name="_Toc237622172"/>
      <w:bookmarkStart w:id="227" w:name="_Toc11177"/>
      <w:bookmarkStart w:id="228" w:name="_Toc15355"/>
      <w:bookmarkStart w:id="229" w:name="_Toc9669"/>
      <w:bookmarkStart w:id="230" w:name="_Toc85681708"/>
      <w:bookmarkStart w:id="231" w:name="_Toc80407935"/>
      <w:bookmarkStart w:id="232" w:name="_Toc79407945"/>
      <w:bookmarkStart w:id="233" w:name="_Toc79055648"/>
      <w:bookmarkStart w:id="234" w:name="_Toc93231903"/>
      <w:bookmarkStart w:id="235" w:name="_Toc85682073"/>
      <w:bookmarkStart w:id="236" w:name="_Toc84903155"/>
      <w:bookmarkStart w:id="237" w:name="_Toc93231798"/>
      <w:bookmarkStart w:id="238" w:name="_Toc84903323"/>
      <w:bookmarkStart w:id="239" w:name="_Toc85683216"/>
      <w:bookmarkStart w:id="240" w:name="_Toc85905615"/>
      <w:bookmarkStart w:id="241" w:name="_Toc79483666"/>
      <w:bookmarkStart w:id="242" w:name="_Toc84902802"/>
      <w:bookmarkStart w:id="243" w:name="_Toc85905488"/>
      <w:bookmarkStart w:id="244" w:name="_Toc93562127"/>
      <w:bookmarkStart w:id="245" w:name="_Toc84902407"/>
      <w:bookmarkStart w:id="246" w:name="_Toc80670678"/>
      <w:bookmarkStart w:id="247" w:name="_Toc84903267"/>
      <w:bookmarkStart w:id="248" w:name="_Toc85681946"/>
      <w:r>
        <w:rPr>
          <w:rFonts w:hint="default" w:ascii="Times New Roman" w:hAnsi="Times New Roman" w:cs="Times New Roman"/>
        </w:rPr>
        <w:t>4.1</w:t>
      </w:r>
      <w:bookmarkEnd w:id="223"/>
      <w:bookmarkEnd w:id="224"/>
      <w:bookmarkEnd w:id="225"/>
      <w:bookmarkEnd w:id="226"/>
      <w:r>
        <w:rPr>
          <w:rFonts w:hint="default" w:ascii="Times New Roman" w:hAnsi="Times New Roman" w:cs="Times New Roman"/>
        </w:rPr>
        <w:t>水土流失现状</w:t>
      </w:r>
      <w:bookmarkEnd w:id="227"/>
      <w:bookmarkEnd w:id="228"/>
      <w:bookmarkEnd w:id="229"/>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根据《全国水土保持区划》，项目区所在区域属东北黑土区。根据《吉林省水土保持规划</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2016-2030年</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》，项目区位于东北漫川漫岗国家级水土流失重点治理区。水土流失类型以水力侵蚀为主，根据项目区内的土地利用现状、林草覆盖率、降雨、地形地貌、土壤、人类活动</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施工</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等影响因素，结合土壤侵蚀分类分级标准进行评判，确定项目区原生土壤侵蚀模数为</w:t>
      </w:r>
      <w:r>
        <w:rPr>
          <w:rFonts w:hint="default"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rPr>
        <w:t>00t/(km²·a)，容许土壤流失量为200t/(km²·a)。根据《吉林省水土保持公报</w:t>
      </w:r>
      <w:r>
        <w:rPr>
          <w:rFonts w:hint="eastAsia" w:eastAsia="仿宋_GB2312" w:cs="Times New Roman"/>
          <w:sz w:val="24"/>
          <w:szCs w:val="24"/>
          <w:lang w:val="en-US" w:eastAsia="zh-CN"/>
        </w:rPr>
        <w:t>2021</w:t>
      </w:r>
      <w:r>
        <w:rPr>
          <w:rFonts w:hint="default" w:ascii="Times New Roman" w:hAnsi="Times New Roman" w:eastAsia="仿宋_GB2312" w:cs="Times New Roman"/>
          <w:sz w:val="24"/>
          <w:szCs w:val="24"/>
        </w:rPr>
        <w:t>年》，</w:t>
      </w:r>
      <w:r>
        <w:rPr>
          <w:rFonts w:hint="default" w:ascii="Times New Roman" w:hAnsi="Times New Roman" w:eastAsia="仿宋_GB2312" w:cs="Times New Roman"/>
          <w:sz w:val="24"/>
          <w:szCs w:val="24"/>
          <w:lang w:eastAsia="zh-CN"/>
        </w:rPr>
        <w:t>二道区</w:t>
      </w:r>
      <w:r>
        <w:rPr>
          <w:rFonts w:hint="default" w:ascii="Times New Roman" w:hAnsi="Times New Roman" w:eastAsia="仿宋_GB2312" w:cs="Times New Roman"/>
          <w:sz w:val="24"/>
          <w:szCs w:val="24"/>
        </w:rPr>
        <w:t>土壤侵蚀类型为水力侵蚀，水土流失总面积为</w:t>
      </w:r>
      <w:r>
        <w:rPr>
          <w:rFonts w:hint="eastAsia" w:eastAsia="仿宋_GB2312" w:cs="Times New Roman"/>
          <w:sz w:val="24"/>
          <w:szCs w:val="24"/>
          <w:lang w:eastAsia="zh-CN"/>
        </w:rPr>
        <w:t>310.35</w:t>
      </w:r>
      <w:r>
        <w:rPr>
          <w:rFonts w:hint="default" w:ascii="Times New Roman" w:hAnsi="Times New Roman" w:eastAsia="仿宋_GB2312" w:cs="Times New Roman"/>
          <w:sz w:val="24"/>
          <w:szCs w:val="24"/>
          <w:lang w:eastAsia="zh-CN"/>
        </w:rPr>
        <w:t>km²</w:t>
      </w:r>
      <w:r>
        <w:rPr>
          <w:rFonts w:hint="default" w:ascii="Times New Roman" w:hAnsi="Times New Roman" w:eastAsia="仿宋_GB2312" w:cs="Times New Roman"/>
          <w:sz w:val="24"/>
          <w:szCs w:val="24"/>
        </w:rPr>
        <w:t>，其中轻度侵蚀</w:t>
      </w:r>
      <w:r>
        <w:rPr>
          <w:rFonts w:hint="eastAsia" w:eastAsia="仿宋_GB2312" w:cs="Times New Roman"/>
          <w:sz w:val="24"/>
          <w:szCs w:val="24"/>
          <w:lang w:val="en-US" w:eastAsia="zh-CN"/>
        </w:rPr>
        <w:t>285.96</w:t>
      </w:r>
      <w:r>
        <w:rPr>
          <w:rFonts w:hint="default" w:ascii="Times New Roman" w:hAnsi="Times New Roman" w:eastAsia="仿宋_GB2312" w:cs="Times New Roman"/>
          <w:sz w:val="24"/>
          <w:szCs w:val="24"/>
          <w:lang w:eastAsia="zh-CN"/>
        </w:rPr>
        <w:t>km²</w:t>
      </w:r>
      <w:r>
        <w:rPr>
          <w:rFonts w:hint="default" w:ascii="Times New Roman" w:hAnsi="Times New Roman" w:eastAsia="仿宋_GB2312" w:cs="Times New Roman"/>
          <w:sz w:val="24"/>
          <w:szCs w:val="24"/>
        </w:rPr>
        <w:t>，中度侵蚀</w:t>
      </w:r>
      <w:r>
        <w:rPr>
          <w:rFonts w:hint="eastAsia" w:eastAsia="仿宋_GB2312" w:cs="Times New Roman"/>
          <w:sz w:val="24"/>
          <w:szCs w:val="24"/>
          <w:lang w:val="en-US" w:eastAsia="zh-CN"/>
        </w:rPr>
        <w:t>19.94</w:t>
      </w:r>
      <w:r>
        <w:rPr>
          <w:rFonts w:hint="default" w:ascii="Times New Roman" w:hAnsi="Times New Roman" w:eastAsia="仿宋_GB2312" w:cs="Times New Roman"/>
          <w:sz w:val="24"/>
          <w:szCs w:val="24"/>
          <w:lang w:eastAsia="zh-CN"/>
        </w:rPr>
        <w:t>km²</w:t>
      </w:r>
      <w:r>
        <w:rPr>
          <w:rFonts w:hint="default" w:ascii="Times New Roman" w:hAnsi="Times New Roman" w:eastAsia="仿宋_GB2312" w:cs="Times New Roman"/>
          <w:sz w:val="24"/>
          <w:szCs w:val="24"/>
        </w:rPr>
        <w:t>，强烈侵蚀</w:t>
      </w:r>
      <w:r>
        <w:rPr>
          <w:rFonts w:hint="eastAsia" w:eastAsia="仿宋_GB2312" w:cs="Times New Roman"/>
          <w:sz w:val="24"/>
          <w:szCs w:val="24"/>
          <w:lang w:val="en-US" w:eastAsia="zh-CN"/>
        </w:rPr>
        <w:t>3.67</w:t>
      </w:r>
      <w:r>
        <w:rPr>
          <w:rFonts w:hint="default" w:ascii="Times New Roman" w:hAnsi="Times New Roman" w:eastAsia="仿宋_GB2312" w:cs="Times New Roman"/>
          <w:sz w:val="24"/>
          <w:szCs w:val="24"/>
          <w:lang w:eastAsia="zh-CN"/>
        </w:rPr>
        <w:t>km²</w:t>
      </w:r>
      <w:r>
        <w:rPr>
          <w:rFonts w:hint="default" w:ascii="Times New Roman" w:hAnsi="Times New Roman" w:eastAsia="仿宋_GB2312" w:cs="Times New Roman"/>
          <w:sz w:val="24"/>
          <w:szCs w:val="24"/>
        </w:rPr>
        <w:t>，极强烈侵蚀</w:t>
      </w:r>
      <w:r>
        <w:rPr>
          <w:rFonts w:hint="eastAsia" w:eastAsia="仿宋_GB2312" w:cs="Times New Roman"/>
          <w:sz w:val="24"/>
          <w:szCs w:val="24"/>
          <w:lang w:val="en-US" w:eastAsia="zh-CN"/>
        </w:rPr>
        <w:t>0.76</w:t>
      </w:r>
      <w:r>
        <w:rPr>
          <w:rFonts w:hint="default" w:ascii="Times New Roman" w:hAnsi="Times New Roman" w:eastAsia="仿宋_GB2312" w:cs="Times New Roman"/>
          <w:sz w:val="24"/>
          <w:szCs w:val="24"/>
          <w:lang w:eastAsia="zh-CN"/>
        </w:rPr>
        <w:t>km²，</w:t>
      </w:r>
      <w:r>
        <w:rPr>
          <w:rFonts w:hint="default" w:ascii="Times New Roman" w:hAnsi="Times New Roman" w:eastAsia="仿宋_GB2312" w:cs="Times New Roman"/>
          <w:sz w:val="24"/>
          <w:szCs w:val="24"/>
          <w:lang w:val="en-US" w:eastAsia="zh-CN"/>
        </w:rPr>
        <w:t>剧烈</w:t>
      </w:r>
      <w:r>
        <w:rPr>
          <w:rFonts w:hint="default" w:ascii="Times New Roman" w:hAnsi="Times New Roman" w:eastAsia="仿宋_GB2312" w:cs="Times New Roman"/>
          <w:sz w:val="24"/>
          <w:szCs w:val="24"/>
        </w:rPr>
        <w:t>侵蚀</w:t>
      </w:r>
      <w:r>
        <w:rPr>
          <w:rFonts w:hint="default" w:ascii="Times New Roman" w:hAnsi="Times New Roman" w:eastAsia="仿宋_GB2312" w:cs="Times New Roman"/>
          <w:sz w:val="24"/>
          <w:szCs w:val="24"/>
          <w:lang w:val="en-US" w:eastAsia="zh-CN"/>
        </w:rPr>
        <w:t>0.0</w:t>
      </w:r>
      <w:r>
        <w:rPr>
          <w:rFonts w:hint="eastAsia" w:eastAsia="仿宋_GB2312" w:cs="Times New Roman"/>
          <w:sz w:val="24"/>
          <w:szCs w:val="24"/>
          <w:lang w:val="en-US" w:eastAsia="zh-CN"/>
        </w:rPr>
        <w:t>2</w:t>
      </w:r>
      <w:r>
        <w:rPr>
          <w:rFonts w:hint="default" w:ascii="Times New Roman" w:hAnsi="Times New Roman" w:eastAsia="仿宋_GB2312" w:cs="Times New Roman"/>
          <w:sz w:val="24"/>
          <w:szCs w:val="24"/>
          <w:lang w:eastAsia="zh-CN"/>
        </w:rPr>
        <w:t>km²。</w:t>
      </w:r>
      <w:r>
        <w:rPr>
          <w:rFonts w:hint="default" w:ascii="Times New Roman" w:hAnsi="Times New Roman" w:eastAsia="仿宋_GB2312" w:cs="Times New Roman"/>
          <w:sz w:val="24"/>
          <w:szCs w:val="24"/>
        </w:rPr>
        <w:t>项目涉及区域土壤侵蚀情况见表4-1。</w:t>
      </w:r>
    </w:p>
    <w:p>
      <w:pPr>
        <w:pStyle w:val="16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eastAsia="zh-CN"/>
        </w:rPr>
      </w:pPr>
      <w:r>
        <w:rPr>
          <w:rFonts w:hint="default" w:ascii="Times New Roman" w:hAnsi="Times New Roman" w:eastAsia="微软雅黑" w:cs="Times New Roman"/>
          <w:b w:val="0"/>
          <w:bCs w:val="0"/>
          <w:sz w:val="21"/>
          <w:szCs w:val="21"/>
          <w:highlight w:val="none"/>
        </w:rPr>
        <w:t>表4-1</w:t>
      </w:r>
      <w:r>
        <w:rPr>
          <w:rFonts w:hint="default" w:ascii="Times New Roman" w:hAnsi="Times New Roman" w:eastAsia="微软雅黑" w:cs="Times New Roman"/>
          <w:b w:val="0"/>
          <w:bCs w:val="0"/>
          <w:sz w:val="21"/>
          <w:szCs w:val="21"/>
          <w:highlight w:val="none"/>
          <w:lang w:val="en-US" w:eastAsia="zh-CN"/>
        </w:rPr>
        <w:t xml:space="preserve">  </w:t>
      </w:r>
      <w:r>
        <w:rPr>
          <w:rFonts w:hint="default" w:ascii="Times New Roman" w:hAnsi="Times New Roman" w:eastAsia="微软雅黑" w:cs="Times New Roman"/>
          <w:b w:val="0"/>
          <w:bCs w:val="0"/>
          <w:sz w:val="21"/>
          <w:szCs w:val="21"/>
          <w:highlight w:val="none"/>
          <w:lang w:eastAsia="zh-CN"/>
        </w:rPr>
        <w:t>二道区</w:t>
      </w:r>
      <w:r>
        <w:rPr>
          <w:rFonts w:hint="default" w:ascii="Times New Roman" w:hAnsi="Times New Roman" w:eastAsia="微软雅黑" w:cs="Times New Roman"/>
          <w:b w:val="0"/>
          <w:bCs w:val="0"/>
          <w:sz w:val="21"/>
          <w:szCs w:val="21"/>
          <w:highlight w:val="none"/>
        </w:rPr>
        <w:t>水土流失情况一览表</w:t>
      </w:r>
    </w:p>
    <w:p>
      <w:pPr>
        <w:keepNext w:val="0"/>
        <w:keepLines w:val="0"/>
        <w:pageBreakBefore w:val="0"/>
        <w:widowControl w:val="0"/>
        <w:kinsoku/>
        <w:wordWrap/>
        <w:overflowPunct/>
        <w:topLinePunct w:val="0"/>
        <w:autoSpaceDE/>
        <w:autoSpaceDN/>
        <w:bidi w:val="0"/>
        <w:adjustRightInd/>
        <w:snapToGrid w:val="0"/>
        <w:jc w:val="right"/>
        <w:textAlignment w:val="auto"/>
        <w:rPr>
          <w:rFonts w:hint="default" w:ascii="Times New Roman" w:hAnsi="Times New Roman" w:eastAsia="仿宋_GB2312" w:cs="Times New Roman"/>
          <w:b/>
          <w:bCs/>
          <w:sz w:val="18"/>
          <w:szCs w:val="18"/>
          <w:highlight w:val="none"/>
          <w:lang w:eastAsia="zh-CN"/>
        </w:rPr>
      </w:pPr>
      <w:r>
        <w:rPr>
          <w:rFonts w:hint="default" w:ascii="Times New Roman" w:hAnsi="Times New Roman" w:eastAsia="仿宋_GB2312" w:cs="Times New Roman"/>
          <w:b/>
          <w:bCs/>
          <w:sz w:val="18"/>
          <w:szCs w:val="18"/>
          <w:highlight w:val="none"/>
        </w:rPr>
        <w:t>单位：</w:t>
      </w:r>
      <w:r>
        <w:rPr>
          <w:rFonts w:hint="default" w:ascii="Times New Roman" w:hAnsi="Times New Roman" w:eastAsia="仿宋_GB2312" w:cs="Times New Roman"/>
          <w:b/>
          <w:bCs/>
          <w:sz w:val="18"/>
          <w:szCs w:val="18"/>
          <w:highlight w:val="none"/>
          <w:lang w:eastAsia="zh-CN"/>
        </w:rPr>
        <w:t>km²</w:t>
      </w:r>
    </w:p>
    <w:tbl>
      <w:tblPr>
        <w:tblStyle w:val="556"/>
        <w:tblW w:w="4999" w:type="pct"/>
        <w:jc w:val="center"/>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Layout w:type="autofit"/>
        <w:tblCellMar>
          <w:top w:w="0" w:type="dxa"/>
          <w:left w:w="0" w:type="dxa"/>
          <w:bottom w:w="0" w:type="dxa"/>
          <w:right w:w="0" w:type="dxa"/>
        </w:tblCellMar>
      </w:tblPr>
      <w:tblGrid>
        <w:gridCol w:w="1962"/>
        <w:gridCol w:w="1251"/>
        <w:gridCol w:w="997"/>
        <w:gridCol w:w="1098"/>
        <w:gridCol w:w="893"/>
        <w:gridCol w:w="1307"/>
        <w:gridCol w:w="898"/>
      </w:tblGrid>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71" w:hRule="atLeast"/>
          <w:jc w:val="center"/>
        </w:trPr>
        <w:tc>
          <w:tcPr>
            <w:tcW w:w="1167"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highlight w:val="none"/>
              </w:rPr>
            </w:pPr>
            <w:r>
              <w:rPr>
                <w:rFonts w:hint="default" w:ascii="Times New Roman" w:hAnsi="Times New Roman" w:eastAsia="仿宋" w:cs="Times New Roman"/>
                <w:spacing w:val="9"/>
                <w:sz w:val="21"/>
                <w:szCs w:val="21"/>
                <w:highlight w:val="none"/>
              </w:rPr>
              <w:t>行</w:t>
            </w:r>
            <w:r>
              <w:rPr>
                <w:rFonts w:hint="default" w:ascii="Times New Roman" w:hAnsi="Times New Roman" w:eastAsia="仿宋" w:cs="Times New Roman"/>
                <w:spacing w:val="6"/>
                <w:sz w:val="21"/>
                <w:szCs w:val="21"/>
                <w:highlight w:val="none"/>
              </w:rPr>
              <w:t>政区划</w:t>
            </w:r>
          </w:p>
        </w:tc>
        <w:tc>
          <w:tcPr>
            <w:tcW w:w="3832" w:type="pct"/>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highlight w:val="none"/>
              </w:rPr>
            </w:pPr>
            <w:r>
              <w:rPr>
                <w:rFonts w:hint="default" w:ascii="Times New Roman" w:hAnsi="Times New Roman" w:eastAsia="仿宋" w:cs="Times New Roman"/>
                <w:spacing w:val="7"/>
                <w:position w:val="1"/>
                <w:sz w:val="21"/>
                <w:szCs w:val="21"/>
                <w:highlight w:val="none"/>
              </w:rPr>
              <w:t>水</w:t>
            </w:r>
            <w:r>
              <w:rPr>
                <w:rFonts w:hint="default" w:ascii="Times New Roman" w:hAnsi="Times New Roman" w:eastAsia="仿宋" w:cs="Times New Roman"/>
                <w:spacing w:val="6"/>
                <w:position w:val="1"/>
                <w:sz w:val="21"/>
                <w:szCs w:val="21"/>
                <w:highlight w:val="none"/>
              </w:rPr>
              <w:t>力侵蚀面积及强度分级</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478" w:hRule="atLeast"/>
          <w:jc w:val="center"/>
        </w:trPr>
        <w:tc>
          <w:tcPr>
            <w:tcW w:w="116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sz w:val="21"/>
                <w:szCs w:val="21"/>
                <w:highlight w:val="none"/>
              </w:rPr>
            </w:pPr>
          </w:p>
        </w:tc>
        <w:tc>
          <w:tcPr>
            <w:tcW w:w="74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highlight w:val="none"/>
              </w:rPr>
            </w:pPr>
            <w:r>
              <w:rPr>
                <w:rFonts w:hint="default" w:ascii="Times New Roman" w:hAnsi="Times New Roman" w:eastAsia="仿宋" w:cs="Times New Roman"/>
                <w:spacing w:val="4"/>
                <w:sz w:val="21"/>
                <w:szCs w:val="21"/>
                <w:highlight w:val="none"/>
              </w:rPr>
              <w:t>水</w:t>
            </w:r>
            <w:r>
              <w:rPr>
                <w:rFonts w:hint="default" w:ascii="Times New Roman" w:hAnsi="Times New Roman" w:eastAsia="仿宋" w:cs="Times New Roman"/>
                <w:spacing w:val="3"/>
                <w:sz w:val="21"/>
                <w:szCs w:val="21"/>
                <w:highlight w:val="none"/>
              </w:rPr>
              <w:t>蚀</w:t>
            </w:r>
            <w:r>
              <w:rPr>
                <w:rFonts w:hint="default" w:ascii="Times New Roman" w:hAnsi="Times New Roman" w:eastAsia="仿宋" w:cs="Times New Roman"/>
                <w:spacing w:val="1"/>
                <w:sz w:val="21"/>
                <w:szCs w:val="21"/>
                <w:highlight w:val="none"/>
              </w:rPr>
              <w:t>面积</w:t>
            </w:r>
          </w:p>
        </w:tc>
        <w:tc>
          <w:tcPr>
            <w:tcW w:w="59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highlight w:val="none"/>
              </w:rPr>
            </w:pPr>
            <w:r>
              <w:rPr>
                <w:rFonts w:hint="default" w:ascii="Times New Roman" w:hAnsi="Times New Roman" w:eastAsia="仿宋" w:cs="Times New Roman"/>
                <w:spacing w:val="4"/>
                <w:sz w:val="21"/>
                <w:szCs w:val="21"/>
                <w:highlight w:val="none"/>
              </w:rPr>
              <w:t>轻</w:t>
            </w:r>
            <w:r>
              <w:rPr>
                <w:rFonts w:hint="default" w:ascii="Times New Roman" w:hAnsi="Times New Roman" w:eastAsia="仿宋" w:cs="Times New Roman"/>
                <w:spacing w:val="3"/>
                <w:sz w:val="21"/>
                <w:szCs w:val="21"/>
                <w:highlight w:val="none"/>
              </w:rPr>
              <w:t>度</w:t>
            </w:r>
          </w:p>
        </w:tc>
        <w:tc>
          <w:tcPr>
            <w:tcW w:w="65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highlight w:val="none"/>
              </w:rPr>
            </w:pPr>
            <w:r>
              <w:rPr>
                <w:rFonts w:hint="default" w:ascii="Times New Roman" w:hAnsi="Times New Roman" w:eastAsia="仿宋" w:cs="Times New Roman"/>
                <w:spacing w:val="-11"/>
                <w:sz w:val="21"/>
                <w:szCs w:val="21"/>
                <w:highlight w:val="none"/>
              </w:rPr>
              <w:t>中</w:t>
            </w:r>
            <w:r>
              <w:rPr>
                <w:rFonts w:hint="default" w:ascii="Times New Roman" w:hAnsi="Times New Roman" w:eastAsia="仿宋" w:cs="Times New Roman"/>
                <w:spacing w:val="-10"/>
                <w:sz w:val="21"/>
                <w:szCs w:val="21"/>
                <w:highlight w:val="none"/>
              </w:rPr>
              <w:t>度</w:t>
            </w:r>
          </w:p>
        </w:tc>
        <w:tc>
          <w:tcPr>
            <w:tcW w:w="53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highlight w:val="none"/>
              </w:rPr>
            </w:pPr>
            <w:r>
              <w:rPr>
                <w:rFonts w:hint="default" w:ascii="Times New Roman" w:hAnsi="Times New Roman" w:eastAsia="仿宋" w:cs="Times New Roman"/>
                <w:spacing w:val="-1"/>
                <w:sz w:val="21"/>
                <w:szCs w:val="21"/>
                <w:highlight w:val="none"/>
              </w:rPr>
              <w:t>强</w:t>
            </w:r>
            <w:r>
              <w:rPr>
                <w:rFonts w:hint="default" w:ascii="Times New Roman" w:hAnsi="Times New Roman" w:eastAsia="仿宋" w:cs="Times New Roman"/>
                <w:sz w:val="21"/>
                <w:szCs w:val="21"/>
                <w:highlight w:val="none"/>
              </w:rPr>
              <w:t>烈</w:t>
            </w:r>
          </w:p>
        </w:tc>
        <w:tc>
          <w:tcPr>
            <w:tcW w:w="77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highlight w:val="none"/>
              </w:rPr>
            </w:pPr>
            <w:r>
              <w:rPr>
                <w:rFonts w:hint="default" w:ascii="Times New Roman" w:hAnsi="Times New Roman" w:eastAsia="仿宋" w:cs="Times New Roman"/>
                <w:spacing w:val="6"/>
                <w:sz w:val="21"/>
                <w:szCs w:val="21"/>
                <w:highlight w:val="none"/>
              </w:rPr>
              <w:t>极强烈</w:t>
            </w:r>
          </w:p>
        </w:tc>
        <w:tc>
          <w:tcPr>
            <w:tcW w:w="5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highlight w:val="none"/>
              </w:rPr>
            </w:pPr>
            <w:r>
              <w:rPr>
                <w:rFonts w:hint="default" w:ascii="Times New Roman" w:hAnsi="Times New Roman" w:eastAsia="仿宋" w:cs="Times New Roman"/>
                <w:spacing w:val="3"/>
                <w:sz w:val="21"/>
                <w:szCs w:val="21"/>
                <w:highlight w:val="none"/>
              </w:rPr>
              <w:t>剧烈</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16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highlight w:val="none"/>
              </w:rPr>
            </w:pPr>
            <w:r>
              <w:rPr>
                <w:rFonts w:hint="default" w:ascii="Times New Roman" w:hAnsi="Times New Roman" w:eastAsia="仿宋" w:cs="Times New Roman"/>
                <w:spacing w:val="8"/>
                <w:sz w:val="21"/>
                <w:szCs w:val="21"/>
                <w:highlight w:val="none"/>
              </w:rPr>
              <w:t>长</w:t>
            </w:r>
            <w:r>
              <w:rPr>
                <w:rFonts w:hint="default" w:ascii="Times New Roman" w:hAnsi="Times New Roman" w:eastAsia="仿宋" w:cs="Times New Roman"/>
                <w:spacing w:val="7"/>
                <w:sz w:val="21"/>
                <w:szCs w:val="21"/>
                <w:highlight w:val="none"/>
              </w:rPr>
              <w:t>春市二道区</w:t>
            </w:r>
          </w:p>
        </w:tc>
        <w:tc>
          <w:tcPr>
            <w:tcW w:w="74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宋体" w:cs="Times New Roman"/>
                <w:sz w:val="21"/>
                <w:szCs w:val="21"/>
                <w:highlight w:val="none"/>
                <w:lang w:val="en-US" w:eastAsia="zh-CN"/>
              </w:rPr>
            </w:pPr>
            <w:r>
              <w:rPr>
                <w:rFonts w:hint="eastAsia" w:eastAsia="宋体" w:cs="Times New Roman"/>
                <w:spacing w:val="3"/>
                <w:sz w:val="21"/>
                <w:szCs w:val="21"/>
                <w:highlight w:val="none"/>
                <w:lang w:eastAsia="zh-CN"/>
              </w:rPr>
              <w:t>310.35</w:t>
            </w:r>
          </w:p>
        </w:tc>
        <w:tc>
          <w:tcPr>
            <w:tcW w:w="59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pacing w:val="3"/>
                <w:sz w:val="21"/>
                <w:szCs w:val="21"/>
                <w:highlight w:val="none"/>
                <w:lang w:val="en-US" w:eastAsia="zh-CN"/>
              </w:rPr>
              <w:t>285.96</w:t>
            </w:r>
          </w:p>
        </w:tc>
        <w:tc>
          <w:tcPr>
            <w:tcW w:w="65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pacing w:val="-1"/>
                <w:sz w:val="21"/>
                <w:szCs w:val="21"/>
                <w:highlight w:val="none"/>
                <w:lang w:val="en-US" w:eastAsia="zh-CN"/>
              </w:rPr>
              <w:t>19.94</w:t>
            </w:r>
          </w:p>
        </w:tc>
        <w:tc>
          <w:tcPr>
            <w:tcW w:w="53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pacing w:val="6"/>
                <w:sz w:val="21"/>
                <w:szCs w:val="21"/>
                <w:highlight w:val="none"/>
                <w:lang w:val="en-US" w:eastAsia="zh-CN"/>
              </w:rPr>
              <w:t>3.67</w:t>
            </w:r>
          </w:p>
        </w:tc>
        <w:tc>
          <w:tcPr>
            <w:tcW w:w="77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pacing w:val="-2"/>
                <w:sz w:val="21"/>
                <w:szCs w:val="21"/>
                <w:highlight w:val="none"/>
                <w:lang w:val="en-US" w:eastAsia="zh-CN"/>
              </w:rPr>
              <w:t>0.76</w:t>
            </w:r>
          </w:p>
        </w:tc>
        <w:tc>
          <w:tcPr>
            <w:tcW w:w="5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pacing w:val="-2"/>
                <w:sz w:val="21"/>
                <w:szCs w:val="21"/>
                <w:highlight w:val="none"/>
                <w:lang w:val="en-US" w:eastAsia="zh-CN"/>
              </w:rPr>
              <w:t>0.0</w:t>
            </w:r>
            <w:r>
              <w:rPr>
                <w:rFonts w:hint="eastAsia" w:cs="Times New Roman"/>
                <w:spacing w:val="-2"/>
                <w:sz w:val="21"/>
                <w:szCs w:val="21"/>
                <w:highlight w:val="none"/>
                <w:lang w:val="en-US" w:eastAsia="zh-CN"/>
              </w:rPr>
              <w:t>2</w:t>
            </w:r>
          </w:p>
        </w:tc>
      </w:tr>
    </w:tbl>
    <w:p>
      <w:pPr>
        <w:pStyle w:val="5"/>
        <w:bidi w:val="0"/>
        <w:rPr>
          <w:rFonts w:hint="default" w:ascii="Times New Roman" w:hAnsi="Times New Roman" w:cs="Times New Roman"/>
        </w:rPr>
      </w:pPr>
      <w:bookmarkStart w:id="249" w:name="_Toc31909"/>
      <w:bookmarkStart w:id="250" w:name="_Toc16891"/>
      <w:bookmarkStart w:id="251" w:name="_Toc25615"/>
      <w:r>
        <w:rPr>
          <w:rFonts w:hint="default" w:ascii="Times New Roman" w:hAnsi="Times New Roman" w:cs="Times New Roman"/>
        </w:rPr>
        <w:t>4.2水土流失影响因素分析</w:t>
      </w:r>
      <w:bookmarkEnd w:id="249"/>
      <w:bookmarkEnd w:id="250"/>
      <w:bookmarkEnd w:id="251"/>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4.2.1工程建设对水土流失的影响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lang w:val="en-US" w:eastAsia="zh-CN"/>
        </w:rPr>
        <w:t>1</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自然条件的影响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自然因素和人为因素是造成该区水土流失的主要原因。自然因素有地形地貌、地面组成物质、植被及降雨等；地表物质的组成也是水土流失的潜在因素，一遇降雨，易于发生雨滴溅蚀，进一步发展为面蚀和沟蚀；区域林草植被少，也是造成水土流失的重要因素。人为因素主要是由于在工程建设过程中，直接改变了原地形地貌，不可避免地破坏植被、扰动地表，使原有地表的抗蚀力降低，是造成水土流失的外在因素。</w:t>
      </w:r>
    </w:p>
    <w:p>
      <w:pPr>
        <w:pageBreakBefore w:val="0"/>
        <w:kinsoku/>
        <w:wordWrap/>
        <w:bidi w:val="0"/>
        <w:adjustRightInd w:val="0"/>
        <w:spacing w:line="360" w:lineRule="auto"/>
        <w:ind w:firstLine="482"/>
        <w:jc w:val="left"/>
        <w:textAlignment w:val="baseline"/>
        <w:rPr>
          <w:rFonts w:hint="default" w:ascii="Times New Roman" w:hAnsi="Times New Roman" w:eastAsia="仿宋_GB2312" w:cs="Times New Roman"/>
          <w:snapToGrid w:val="0"/>
          <w:color w:val="auto"/>
          <w:kern w:val="0"/>
          <w:sz w:val="24"/>
        </w:rPr>
      </w:pPr>
      <w:r>
        <w:rPr>
          <w:rFonts w:hint="default" w:ascii="Times New Roman" w:hAnsi="Times New Roman" w:eastAsia="仿宋_GB2312" w:cs="Times New Roman"/>
          <w:snapToGrid w:val="0"/>
          <w:color w:val="auto"/>
          <w:kern w:val="0"/>
          <w:sz w:val="24"/>
        </w:rPr>
        <w:t>（2）场地平整的影响</w:t>
      </w:r>
    </w:p>
    <w:p>
      <w:pPr>
        <w:pageBreakBefore w:val="0"/>
        <w:kinsoku/>
        <w:wordWrap/>
        <w:bidi w:val="0"/>
        <w:adjustRightInd w:val="0"/>
        <w:spacing w:line="360" w:lineRule="auto"/>
        <w:ind w:firstLine="482"/>
        <w:jc w:val="left"/>
        <w:textAlignment w:val="baseline"/>
        <w:rPr>
          <w:rFonts w:hint="default" w:ascii="Times New Roman" w:hAnsi="Times New Roman" w:eastAsia="仿宋_GB2312" w:cs="Times New Roman"/>
          <w:snapToGrid w:val="0"/>
          <w:color w:val="auto"/>
          <w:kern w:val="0"/>
          <w:sz w:val="24"/>
        </w:rPr>
      </w:pPr>
      <w:r>
        <w:rPr>
          <w:rFonts w:hint="default" w:ascii="Times New Roman" w:hAnsi="Times New Roman" w:eastAsia="仿宋_GB2312" w:cs="Times New Roman"/>
          <w:snapToGrid w:val="0"/>
          <w:color w:val="auto"/>
          <w:kern w:val="0"/>
          <w:sz w:val="24"/>
        </w:rPr>
        <w:t>施工活动对原地面进行严重的扰动和破坏，由于原有地表保护层遭到破坏，土壤变得更加疏松，再加上原有水文系统被完全改变，排水不畅且在强烈冲刷作用下形成更有利于水土流失产生的径流路径，因而该阶段在项目整个施工过程中是最易引发水土流失和水土流失强度最大的阶段。</w:t>
      </w:r>
    </w:p>
    <w:p>
      <w:pPr>
        <w:pageBreakBefore w:val="0"/>
        <w:kinsoku/>
        <w:wordWrap/>
        <w:bidi w:val="0"/>
        <w:adjustRightInd w:val="0"/>
        <w:spacing w:line="360" w:lineRule="auto"/>
        <w:ind w:firstLine="482"/>
        <w:jc w:val="left"/>
        <w:textAlignment w:val="baseline"/>
        <w:rPr>
          <w:rFonts w:hint="default" w:ascii="Times New Roman" w:hAnsi="Times New Roman" w:eastAsia="仿宋_GB2312" w:cs="Times New Roman"/>
          <w:snapToGrid w:val="0"/>
          <w:color w:val="auto"/>
          <w:kern w:val="0"/>
          <w:sz w:val="24"/>
        </w:rPr>
      </w:pPr>
      <w:r>
        <w:rPr>
          <w:rFonts w:hint="default" w:ascii="Times New Roman" w:hAnsi="Times New Roman" w:eastAsia="仿宋_GB2312" w:cs="Times New Roman"/>
          <w:snapToGrid w:val="0"/>
          <w:color w:val="auto"/>
          <w:kern w:val="0"/>
          <w:sz w:val="24"/>
        </w:rPr>
        <w:t>（3）基础工程施工的影响</w:t>
      </w:r>
    </w:p>
    <w:p>
      <w:pPr>
        <w:pageBreakBefore w:val="0"/>
        <w:kinsoku/>
        <w:wordWrap/>
        <w:bidi w:val="0"/>
        <w:adjustRightInd w:val="0"/>
        <w:spacing w:line="360" w:lineRule="auto"/>
        <w:ind w:firstLine="482"/>
        <w:jc w:val="left"/>
        <w:textAlignment w:val="baseline"/>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napToGrid w:val="0"/>
          <w:color w:val="auto"/>
          <w:kern w:val="0"/>
          <w:sz w:val="24"/>
        </w:rPr>
        <w:t>主要包括基础开挖处理、基础砌筑。基础开挖是最易引起水土流失的施工活动，随着开挖深度和开挖土方量的增加及开挖剖面增加，产生水土流失的可能性增加，水土流失强度也随之加强，而且基础开挖所产生的大量临时堆土更容易受到降雨径流的冲刷而形成水土流失。</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4.2.2扰动地表、损毁植被面积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eastAsia" w:eastAsia="仿宋_GB2312" w:cs="Times New Roman"/>
          <w:snapToGrid w:val="0"/>
          <w:color w:val="auto"/>
          <w:kern w:val="0"/>
          <w:sz w:val="24"/>
          <w:lang w:val="en-US" w:eastAsia="zh-CN"/>
        </w:rPr>
        <w:t>根据项目水土保持现状监测情况，并</w:t>
      </w:r>
      <w:r>
        <w:rPr>
          <w:rFonts w:hint="default" w:ascii="Times New Roman" w:hAnsi="Times New Roman" w:eastAsia="仿宋_GB2312" w:cs="Times New Roman"/>
          <w:snapToGrid w:val="0"/>
          <w:color w:val="auto"/>
          <w:kern w:val="0"/>
          <w:sz w:val="24"/>
        </w:rPr>
        <w:t>结合</w:t>
      </w:r>
      <w:r>
        <w:rPr>
          <w:rFonts w:hint="eastAsia" w:ascii="Times New Roman" w:hAnsi="Times New Roman" w:eastAsia="仿宋_GB2312" w:cs="Times New Roman"/>
          <w:snapToGrid w:val="0"/>
          <w:color w:val="auto"/>
          <w:kern w:val="0"/>
          <w:sz w:val="24"/>
          <w:lang w:val="en-US" w:eastAsia="zh-CN"/>
        </w:rPr>
        <w:t>查询</w:t>
      </w:r>
      <w:r>
        <w:rPr>
          <w:rFonts w:hint="default" w:ascii="Times New Roman" w:hAnsi="Times New Roman" w:eastAsia="仿宋_GB2312" w:cs="Times New Roman"/>
          <w:snapToGrid w:val="0"/>
          <w:color w:val="auto"/>
          <w:kern w:val="0"/>
          <w:sz w:val="24"/>
        </w:rPr>
        <w:t>项目区历史遥感</w:t>
      </w:r>
      <w:r>
        <w:rPr>
          <w:rFonts w:hint="eastAsia" w:eastAsia="仿宋_GB2312" w:cs="Times New Roman"/>
          <w:snapToGrid w:val="0"/>
          <w:color w:val="auto"/>
          <w:kern w:val="0"/>
          <w:sz w:val="24"/>
          <w:lang w:val="en-US" w:eastAsia="zh-CN"/>
        </w:rPr>
        <w:t>影像</w:t>
      </w:r>
      <w:r>
        <w:rPr>
          <w:rFonts w:hint="default" w:ascii="Times New Roman" w:hAnsi="Times New Roman" w:eastAsia="仿宋_GB2312" w:cs="Times New Roman"/>
          <w:snapToGrid w:val="0"/>
          <w:color w:val="auto"/>
          <w:kern w:val="0"/>
          <w:sz w:val="24"/>
        </w:rPr>
        <w:t>以及查阅施工记录、占地等相关</w:t>
      </w:r>
      <w:r>
        <w:rPr>
          <w:rFonts w:hint="eastAsia" w:ascii="Times New Roman" w:hAnsi="Times New Roman" w:eastAsia="仿宋_GB2312" w:cs="Times New Roman"/>
          <w:snapToGrid w:val="0"/>
          <w:color w:val="auto"/>
          <w:kern w:val="0"/>
          <w:sz w:val="24"/>
          <w:lang w:val="en-US" w:eastAsia="zh-CN"/>
        </w:rPr>
        <w:t>资料</w:t>
      </w:r>
      <w:r>
        <w:rPr>
          <w:rFonts w:hint="default" w:ascii="Times New Roman" w:hAnsi="Times New Roman" w:eastAsia="仿宋_GB2312" w:cs="Times New Roman"/>
          <w:snapToGrid w:val="0"/>
          <w:color w:val="auto"/>
          <w:kern w:val="0"/>
          <w:sz w:val="24"/>
        </w:rPr>
        <w:t>，</w:t>
      </w:r>
      <w:r>
        <w:rPr>
          <w:rFonts w:hint="default" w:ascii="Times New Roman" w:hAnsi="Times New Roman" w:eastAsia="仿宋_GB2312" w:cs="Times New Roman"/>
          <w:snapToGrid w:val="0"/>
          <w:color w:val="auto"/>
          <w:kern w:val="0"/>
          <w:sz w:val="24"/>
          <w:lang w:val="en-US" w:eastAsia="zh-CN"/>
        </w:rPr>
        <w:t>本期项目</w:t>
      </w:r>
      <w:r>
        <w:rPr>
          <w:rFonts w:hint="eastAsia" w:eastAsia="仿宋_GB2312" w:cs="Times New Roman"/>
          <w:snapToGrid w:val="0"/>
          <w:color w:val="auto"/>
          <w:kern w:val="0"/>
          <w:sz w:val="24"/>
          <w:lang w:val="en-US" w:eastAsia="zh-CN"/>
        </w:rPr>
        <w:t>实际</w:t>
      </w:r>
      <w:r>
        <w:rPr>
          <w:rFonts w:hint="default" w:ascii="Times New Roman" w:hAnsi="Times New Roman" w:eastAsia="仿宋_GB2312" w:cs="Times New Roman"/>
          <w:sz w:val="24"/>
          <w:szCs w:val="24"/>
        </w:rPr>
        <w:t>扰动地表面积</w:t>
      </w:r>
      <w:r>
        <w:rPr>
          <w:rFonts w:hint="eastAsia" w:eastAsia="仿宋_GB2312" w:cs="Times New Roman"/>
          <w:sz w:val="24"/>
          <w:szCs w:val="24"/>
          <w:lang w:eastAsia="zh-CN"/>
        </w:rPr>
        <w:t>19.98</w:t>
      </w:r>
      <w:r>
        <w:rPr>
          <w:rFonts w:hint="default" w:ascii="Times New Roman" w:hAnsi="Times New Roman" w:eastAsia="仿宋_GB2312" w:cs="Times New Roman"/>
          <w:sz w:val="24"/>
          <w:szCs w:val="24"/>
          <w:lang w:eastAsia="zh-CN"/>
        </w:rPr>
        <w:t>hm²</w:t>
      </w:r>
      <w:r>
        <w:rPr>
          <w:rFonts w:hint="default" w:ascii="Times New Roman" w:hAnsi="Times New Roman" w:eastAsia="仿宋_GB2312" w:cs="Times New Roman"/>
          <w:sz w:val="24"/>
          <w:szCs w:val="24"/>
        </w:rPr>
        <w:t>，项目区内现状地面为净地。无损毁植被面积。</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4.2.3废余土量分析</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eastAsia="zh-CN"/>
        </w:rPr>
        <w:t>本期项目</w:t>
      </w:r>
      <w:r>
        <w:rPr>
          <w:rFonts w:hint="default" w:ascii="Times New Roman" w:hAnsi="Times New Roman" w:eastAsia="仿宋_GB2312" w:cs="Times New Roman"/>
          <w:sz w:val="24"/>
          <w:highlight w:val="none"/>
        </w:rPr>
        <w:t>土石方总量</w:t>
      </w:r>
      <w:r>
        <w:rPr>
          <w:rFonts w:hint="eastAsia" w:eastAsia="仿宋_GB2312" w:cs="Times New Roman"/>
          <w:sz w:val="24"/>
          <w:highlight w:val="none"/>
          <w:lang w:val="en-US" w:eastAsia="zh-CN"/>
        </w:rPr>
        <w:t>44.58</w:t>
      </w:r>
      <w:r>
        <w:rPr>
          <w:rFonts w:hint="default" w:ascii="Times New Roman" w:hAnsi="Times New Roman" w:eastAsia="仿宋_GB2312" w:cs="Times New Roman"/>
          <w:sz w:val="24"/>
          <w:highlight w:val="none"/>
        </w:rPr>
        <w:t>万m³，其中开挖土石方量</w:t>
      </w:r>
      <w:r>
        <w:rPr>
          <w:rFonts w:hint="eastAsia" w:eastAsia="仿宋_GB2312" w:cs="Times New Roman"/>
          <w:sz w:val="24"/>
          <w:highlight w:val="none"/>
          <w:lang w:val="en-US" w:eastAsia="zh-CN"/>
        </w:rPr>
        <w:t>21.69</w:t>
      </w:r>
      <w:r>
        <w:rPr>
          <w:rFonts w:hint="default" w:ascii="Times New Roman" w:hAnsi="Times New Roman" w:eastAsia="仿宋_GB2312" w:cs="Times New Roman"/>
          <w:sz w:val="24"/>
          <w:highlight w:val="none"/>
        </w:rPr>
        <w:t>万m³，回填土石方量</w:t>
      </w:r>
      <w:r>
        <w:rPr>
          <w:rFonts w:hint="eastAsia" w:eastAsia="仿宋_GB2312" w:cs="Times New Roman"/>
          <w:sz w:val="24"/>
          <w:highlight w:val="none"/>
          <w:lang w:val="en-US" w:eastAsia="zh-CN"/>
        </w:rPr>
        <w:t>22.89</w:t>
      </w:r>
      <w:r>
        <w:rPr>
          <w:rFonts w:hint="default" w:ascii="Times New Roman" w:hAnsi="Times New Roman" w:eastAsia="仿宋_GB2312" w:cs="Times New Roman"/>
          <w:sz w:val="24"/>
          <w:highlight w:val="none"/>
        </w:rPr>
        <w:t>万m³</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rPr>
        <w:t>绿化用土回覆</w:t>
      </w:r>
      <w:r>
        <w:rPr>
          <w:rFonts w:hint="eastAsia" w:eastAsia="仿宋_GB2312" w:cs="Times New Roman"/>
          <w:sz w:val="24"/>
          <w:highlight w:val="none"/>
          <w:lang w:eastAsia="zh-CN"/>
        </w:rPr>
        <w:t>1.20</w:t>
      </w:r>
      <w:r>
        <w:rPr>
          <w:rFonts w:hint="default" w:ascii="Times New Roman" w:hAnsi="Times New Roman" w:eastAsia="仿宋_GB2312" w:cs="Times New Roman"/>
          <w:sz w:val="24"/>
          <w:highlight w:val="none"/>
        </w:rPr>
        <w:t>万m³</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rPr>
        <w:t>，需外借绿化用土</w:t>
      </w:r>
      <w:r>
        <w:rPr>
          <w:rFonts w:hint="eastAsia" w:eastAsia="仿宋_GB2312" w:cs="Times New Roman"/>
          <w:sz w:val="24"/>
          <w:highlight w:val="none"/>
          <w:lang w:eastAsia="zh-CN"/>
        </w:rPr>
        <w:t>1.20</w:t>
      </w:r>
      <w:r>
        <w:rPr>
          <w:rFonts w:hint="default" w:ascii="Times New Roman" w:hAnsi="Times New Roman" w:eastAsia="仿宋_GB2312" w:cs="Times New Roman"/>
          <w:sz w:val="24"/>
          <w:highlight w:val="none"/>
        </w:rPr>
        <w:t>万m³，</w:t>
      </w:r>
      <w:r>
        <w:rPr>
          <w:rFonts w:hint="eastAsia" w:eastAsia="仿宋_GB2312" w:cs="Times New Roman"/>
          <w:sz w:val="24"/>
          <w:szCs w:val="24"/>
          <w:lang w:val="en-US" w:eastAsia="zh-CN"/>
        </w:rPr>
        <w:t>所需</w:t>
      </w:r>
      <w:r>
        <w:rPr>
          <w:rFonts w:hint="default" w:ascii="Times New Roman" w:hAnsi="Times New Roman" w:eastAsia="仿宋_GB2312" w:cs="Times New Roman"/>
          <w:sz w:val="24"/>
          <w:szCs w:val="24"/>
        </w:rPr>
        <w:t>绿化用土</w:t>
      </w:r>
      <w:r>
        <w:rPr>
          <w:rFonts w:hint="eastAsia" w:eastAsia="仿宋_GB2312" w:cs="Times New Roman"/>
          <w:sz w:val="24"/>
          <w:szCs w:val="24"/>
          <w:lang w:val="en-US" w:eastAsia="zh-CN"/>
        </w:rPr>
        <w:t>均</w:t>
      </w:r>
      <w:r>
        <w:rPr>
          <w:rFonts w:hint="default" w:ascii="Times New Roman" w:hAnsi="Times New Roman" w:eastAsia="仿宋_GB2312" w:cs="Times New Roman"/>
          <w:sz w:val="24"/>
          <w:szCs w:val="24"/>
        </w:rPr>
        <w:t>由</w:t>
      </w:r>
      <w:r>
        <w:rPr>
          <w:rFonts w:hint="eastAsia" w:eastAsia="仿宋_GB2312" w:cs="Times New Roman"/>
          <w:sz w:val="24"/>
          <w:szCs w:val="24"/>
          <w:lang w:val="en-US" w:eastAsia="zh-CN"/>
        </w:rPr>
        <w:t>绿化公司负责</w:t>
      </w:r>
      <w:r>
        <w:rPr>
          <w:rFonts w:hint="default" w:ascii="Times New Roman" w:hAnsi="Times New Roman" w:eastAsia="仿宋_GB2312" w:cs="Times New Roman"/>
          <w:sz w:val="24"/>
          <w:highlight w:val="none"/>
        </w:rPr>
        <w:t>。无永久性弃土弃渣。</w:t>
      </w:r>
    </w:p>
    <w:p>
      <w:pPr>
        <w:pStyle w:val="5"/>
        <w:bidi w:val="0"/>
        <w:rPr>
          <w:rFonts w:hint="default" w:ascii="Times New Roman" w:hAnsi="Times New Roman" w:cs="Times New Roman"/>
        </w:rPr>
      </w:pPr>
      <w:bookmarkStart w:id="252" w:name="_Toc24545"/>
      <w:bookmarkStart w:id="253" w:name="_Toc28376"/>
      <w:bookmarkStart w:id="254" w:name="_Toc1010"/>
      <w:r>
        <w:rPr>
          <w:rFonts w:hint="default" w:ascii="Times New Roman" w:hAnsi="Times New Roman" w:cs="Times New Roman"/>
        </w:rPr>
        <w:t>4.3土壤流失量预测</w:t>
      </w:r>
      <w:bookmarkEnd w:id="252"/>
      <w:bookmarkEnd w:id="253"/>
      <w:bookmarkEnd w:id="254"/>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4.3.1预测单元</w:t>
      </w:r>
    </w:p>
    <w:p>
      <w:pPr>
        <w:pageBreakBefore w:val="0"/>
        <w:kinsoku/>
        <w:wordWrap/>
        <w:bidi w:val="0"/>
        <w:spacing w:line="360" w:lineRule="auto"/>
        <w:ind w:firstLine="480" w:firstLineChars="200"/>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rPr>
        <w:t>根据项目区地形地貌、扰动方式、扰动后地表的物质组成、气象特征等相近的原则结合工程平面布置图，将</w:t>
      </w:r>
      <w:r>
        <w:rPr>
          <w:rFonts w:hint="default" w:ascii="Times New Roman" w:hAnsi="Times New Roman" w:eastAsia="仿宋_GB2312" w:cs="Times New Roman"/>
          <w:sz w:val="24"/>
          <w:szCs w:val="24"/>
          <w:highlight w:val="none"/>
          <w:lang w:eastAsia="zh-CN"/>
        </w:rPr>
        <w:t>本期项目</w:t>
      </w:r>
      <w:r>
        <w:rPr>
          <w:rFonts w:hint="default" w:ascii="Times New Roman" w:hAnsi="Times New Roman" w:eastAsia="仿宋_GB2312" w:cs="Times New Roman"/>
          <w:sz w:val="24"/>
          <w:szCs w:val="24"/>
          <w:highlight w:val="none"/>
        </w:rPr>
        <w:t>水土流失的预测范围划分为工程建设区</w:t>
      </w:r>
      <w:r>
        <w:rPr>
          <w:rFonts w:hint="default" w:ascii="Times New Roman" w:hAnsi="Times New Roman" w:eastAsia="仿宋_GB2312" w:cs="Times New Roman"/>
          <w:sz w:val="24"/>
          <w:szCs w:val="24"/>
          <w:highlight w:val="none"/>
          <w:lang w:val="en-US" w:eastAsia="zh-CN"/>
        </w:rPr>
        <w:t>1</w:t>
      </w:r>
      <w:r>
        <w:rPr>
          <w:rFonts w:hint="default" w:ascii="Times New Roman" w:hAnsi="Times New Roman" w:eastAsia="仿宋_GB2312" w:cs="Times New Roman"/>
          <w:sz w:val="24"/>
          <w:szCs w:val="24"/>
          <w:highlight w:val="none"/>
        </w:rPr>
        <w:t>个</w:t>
      </w:r>
      <w:r>
        <w:rPr>
          <w:rFonts w:hint="default" w:ascii="Times New Roman" w:hAnsi="Times New Roman" w:eastAsia="仿宋_GB2312" w:cs="Times New Roman"/>
          <w:sz w:val="24"/>
          <w:szCs w:val="24"/>
          <w:highlight w:val="none"/>
          <w:lang w:val="en-US" w:eastAsia="zh-CN"/>
        </w:rPr>
        <w:t>预测单元。</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4.3.2预测时段</w:t>
      </w:r>
    </w:p>
    <w:p>
      <w:pPr>
        <w:pageBreakBefore w:val="0"/>
        <w:kinsoku/>
        <w:wordWrap/>
        <w:bidi w:val="0"/>
        <w:spacing w:line="360" w:lineRule="auto"/>
        <w:ind w:firstLine="480" w:firstLineChars="200"/>
        <w:rPr>
          <w:rFonts w:hint="default" w:ascii="Times New Roman" w:hAnsi="Times New Roman" w:eastAsia="仿宋_GB2312" w:cs="Times New Roman"/>
          <w:snapToGrid w:val="0"/>
          <w:kern w:val="0"/>
          <w:sz w:val="24"/>
          <w:highlight w:val="none"/>
        </w:rPr>
      </w:pPr>
      <w:r>
        <w:rPr>
          <w:rFonts w:hint="default" w:ascii="Times New Roman" w:hAnsi="Times New Roman" w:eastAsia="仿宋_GB2312" w:cs="Times New Roman"/>
          <w:snapToGrid w:val="0"/>
          <w:kern w:val="0"/>
          <w:sz w:val="24"/>
          <w:highlight w:val="none"/>
        </w:rPr>
        <w:t>根据《生产建设项目水土保持技术标准》（GB50433-2018）和《生产建设项目水土流失防治标准》（GB/T50434-2018）</w:t>
      </w:r>
      <w:r>
        <w:rPr>
          <w:rFonts w:hint="eastAsia" w:eastAsia="仿宋_GB2312" w:cs="Times New Roman"/>
          <w:snapToGrid w:val="0"/>
          <w:kern w:val="0"/>
          <w:sz w:val="24"/>
          <w:highlight w:val="none"/>
          <w:lang w:val="en-US" w:eastAsia="zh-CN"/>
        </w:rPr>
        <w:t>等有关</w:t>
      </w:r>
      <w:r>
        <w:rPr>
          <w:rFonts w:hint="default" w:ascii="Times New Roman" w:hAnsi="Times New Roman" w:eastAsia="仿宋_GB2312" w:cs="Times New Roman"/>
          <w:snapToGrid w:val="0"/>
          <w:kern w:val="0"/>
          <w:sz w:val="24"/>
          <w:highlight w:val="none"/>
        </w:rPr>
        <w:t>规定。预测时段分为施工期（含施工准备期）及自然恢复期。</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施工期预测时间应按连续12个月为一年计；不足12个月，但达到一个雨（风）季长度的，按一年计；不足一个雨（风）季长度的，按占雨（风）季长度的比例计算。</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（1）施工期（含施工准备期）</w:t>
      </w:r>
    </w:p>
    <w:p>
      <w:pPr>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施工期指各预测单元进行工程建设的时期，对于本方案而言，该项目</w:t>
      </w:r>
      <w:r>
        <w:rPr>
          <w:rFonts w:hint="eastAsia" w:eastAsia="仿宋_GB2312" w:cs="Times New Roman"/>
          <w:sz w:val="24"/>
          <w:highlight w:val="none"/>
          <w:lang w:val="en-US" w:eastAsia="zh-CN"/>
        </w:rPr>
        <w:t>计划</w:t>
      </w:r>
      <w:r>
        <w:rPr>
          <w:rFonts w:hint="default" w:ascii="Times New Roman" w:hAnsi="Times New Roman" w:eastAsia="仿宋_GB2312" w:cs="Times New Roman"/>
          <w:sz w:val="24"/>
          <w:highlight w:val="none"/>
        </w:rPr>
        <w:t>于</w:t>
      </w:r>
      <w:r>
        <w:rPr>
          <w:rFonts w:hint="eastAsia" w:eastAsia="仿宋_GB2312" w:cs="Times New Roman"/>
          <w:sz w:val="24"/>
          <w:highlight w:val="none"/>
          <w:lang w:eastAsia="zh-CN"/>
        </w:rPr>
        <w:t>2023年7月</w:t>
      </w:r>
      <w:r>
        <w:rPr>
          <w:rFonts w:hint="default" w:ascii="Times New Roman" w:hAnsi="Times New Roman" w:eastAsia="仿宋_GB2312" w:cs="Times New Roman"/>
          <w:sz w:val="24"/>
          <w:highlight w:val="none"/>
        </w:rPr>
        <w:t>开工，</w:t>
      </w:r>
      <w:r>
        <w:rPr>
          <w:rFonts w:hint="eastAsia" w:eastAsia="仿宋_GB2312" w:cs="Times New Roman"/>
          <w:sz w:val="24"/>
          <w:highlight w:val="none"/>
          <w:lang w:eastAsia="zh-CN"/>
        </w:rPr>
        <w:t>2024年12月</w:t>
      </w:r>
      <w:r>
        <w:rPr>
          <w:rFonts w:hint="default" w:ascii="Times New Roman" w:hAnsi="Times New Roman" w:eastAsia="仿宋_GB2312" w:cs="Times New Roman"/>
          <w:sz w:val="24"/>
          <w:highlight w:val="none"/>
        </w:rPr>
        <w:t>完工，总工期</w:t>
      </w:r>
      <w:r>
        <w:rPr>
          <w:rFonts w:hint="eastAsia" w:eastAsia="仿宋_GB2312" w:cs="Times New Roman"/>
          <w:sz w:val="24"/>
          <w:highlight w:val="none"/>
          <w:lang w:val="en-US" w:eastAsia="zh-CN"/>
        </w:rPr>
        <w:t>18个</w:t>
      </w:r>
      <w:r>
        <w:rPr>
          <w:rFonts w:hint="default" w:ascii="Times New Roman" w:hAnsi="Times New Roman" w:eastAsia="仿宋_GB2312" w:cs="Times New Roman"/>
          <w:sz w:val="24"/>
          <w:highlight w:val="none"/>
        </w:rPr>
        <w:t>月。根据施工准备期预测时段与施工期预测时段，按照最大不利因素原则确定。</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（2）自然恢复期</w:t>
      </w:r>
    </w:p>
    <w:p>
      <w:pPr>
        <w:pageBreakBefore w:val="0"/>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自然恢复期为施工扰动结束后，不采取水土保持措施的情况下，土壤侵蚀强度自然恢复到扰动前土壤侵蚀强度所需要的时间，应根据当地自然条件确定，一般情况湿润区取2年，半湿润区取3年，干旱半干旱区取5年。</w:t>
      </w:r>
      <w:r>
        <w:rPr>
          <w:rFonts w:hint="default" w:ascii="Times New Roman" w:hAnsi="Times New Roman" w:eastAsia="仿宋_GB2312" w:cs="Times New Roman"/>
          <w:sz w:val="24"/>
          <w:highlight w:val="none"/>
          <w:lang w:eastAsia="zh-CN"/>
        </w:rPr>
        <w:t>本期项目</w:t>
      </w:r>
      <w:r>
        <w:rPr>
          <w:rFonts w:hint="default" w:ascii="Times New Roman" w:hAnsi="Times New Roman" w:eastAsia="仿宋_GB2312" w:cs="Times New Roman"/>
          <w:sz w:val="24"/>
          <w:highlight w:val="none"/>
        </w:rPr>
        <w:t>属半湿润区，自然恢复期为3年。</w:t>
      </w:r>
    </w:p>
    <w:p>
      <w:pPr>
        <w:pStyle w:val="16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val="en-US" w:eastAsia="zh-CN"/>
        </w:rPr>
      </w:pPr>
      <w:r>
        <w:rPr>
          <w:rFonts w:hint="default" w:ascii="Times New Roman" w:hAnsi="Times New Roman" w:eastAsia="微软雅黑" w:cs="Times New Roman"/>
          <w:b w:val="0"/>
          <w:bCs w:val="0"/>
          <w:sz w:val="21"/>
          <w:szCs w:val="21"/>
          <w:highlight w:val="none"/>
          <w:lang w:val="en-US" w:eastAsia="zh-CN"/>
        </w:rPr>
        <w:t>表4-2  预测单元及预测时段划分表</w:t>
      </w:r>
    </w:p>
    <w:tbl>
      <w:tblPr>
        <w:tblStyle w:val="556"/>
        <w:tblW w:w="4998" w:type="pct"/>
        <w:jc w:val="center"/>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autofit"/>
        <w:tblCellMar>
          <w:top w:w="0" w:type="dxa"/>
          <w:left w:w="0" w:type="dxa"/>
          <w:bottom w:w="0" w:type="dxa"/>
          <w:right w:w="0" w:type="dxa"/>
        </w:tblCellMar>
      </w:tblPr>
      <w:tblGrid>
        <w:gridCol w:w="1189"/>
        <w:gridCol w:w="1142"/>
        <w:gridCol w:w="1485"/>
        <w:gridCol w:w="2527"/>
        <w:gridCol w:w="890"/>
        <w:gridCol w:w="1172"/>
      </w:tblGrid>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7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7"/>
                <w:sz w:val="21"/>
                <w:szCs w:val="21"/>
              </w:rPr>
              <w:t>预</w:t>
            </w:r>
            <w:r>
              <w:rPr>
                <w:rFonts w:hint="default" w:ascii="Times New Roman" w:hAnsi="Times New Roman" w:eastAsia="仿宋_GB2312" w:cs="Times New Roman"/>
                <w:spacing w:val="5"/>
                <w:sz w:val="21"/>
                <w:szCs w:val="21"/>
              </w:rPr>
              <w:t>测时期</w:t>
            </w:r>
          </w:p>
        </w:tc>
        <w:tc>
          <w:tcPr>
            <w:tcW w:w="1562"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7"/>
                <w:sz w:val="21"/>
                <w:szCs w:val="21"/>
              </w:rPr>
              <w:t>预</w:t>
            </w:r>
            <w:r>
              <w:rPr>
                <w:rFonts w:hint="default" w:ascii="Times New Roman" w:hAnsi="Times New Roman" w:eastAsia="仿宋_GB2312" w:cs="Times New Roman"/>
                <w:spacing w:val="5"/>
                <w:sz w:val="21"/>
                <w:szCs w:val="21"/>
              </w:rPr>
              <w:t>测单元</w:t>
            </w:r>
          </w:p>
        </w:tc>
        <w:tc>
          <w:tcPr>
            <w:tcW w:w="150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施工进度</w:t>
            </w:r>
          </w:p>
        </w:tc>
        <w:tc>
          <w:tcPr>
            <w:tcW w:w="52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预</w:t>
            </w:r>
            <w:r>
              <w:rPr>
                <w:rFonts w:hint="default" w:ascii="Times New Roman" w:hAnsi="Times New Roman" w:eastAsia="仿宋_GB2312" w:cs="Times New Roman"/>
                <w:spacing w:val="4"/>
                <w:sz w:val="21"/>
                <w:szCs w:val="21"/>
              </w:rPr>
              <w:t>测时</w:t>
            </w:r>
            <w:r>
              <w:rPr>
                <w:rFonts w:hint="default" w:ascii="Times New Roman" w:hAnsi="Times New Roman" w:eastAsia="仿宋_GB2312" w:cs="Times New Roman"/>
                <w:spacing w:val="-7"/>
                <w:w w:val="87"/>
                <w:sz w:val="21"/>
                <w:szCs w:val="21"/>
              </w:rPr>
              <w:t>段</w:t>
            </w:r>
            <w:r>
              <w:rPr>
                <w:rFonts w:hint="default" w:ascii="Times New Roman" w:hAnsi="Times New Roman" w:eastAsia="仿宋_GB2312" w:cs="Times New Roman"/>
                <w:spacing w:val="-7"/>
                <w:w w:val="87"/>
                <w:sz w:val="21"/>
                <w:szCs w:val="21"/>
                <w:lang w:eastAsia="zh-CN"/>
              </w:rPr>
              <w:t>（</w:t>
            </w:r>
            <w:r>
              <w:rPr>
                <w:rFonts w:hint="default" w:ascii="Times New Roman" w:hAnsi="Times New Roman" w:eastAsia="仿宋_GB2312" w:cs="Times New Roman"/>
                <w:spacing w:val="-7"/>
                <w:w w:val="87"/>
                <w:sz w:val="21"/>
                <w:szCs w:val="21"/>
              </w:rPr>
              <w:t>a</w:t>
            </w:r>
            <w:r>
              <w:rPr>
                <w:rFonts w:hint="default" w:ascii="Times New Roman" w:hAnsi="Times New Roman" w:eastAsia="仿宋_GB2312" w:cs="Times New Roman"/>
                <w:spacing w:val="-7"/>
                <w:w w:val="87"/>
                <w:sz w:val="21"/>
                <w:szCs w:val="21"/>
                <w:lang w:eastAsia="zh-CN"/>
              </w:rPr>
              <w:t>）</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7"/>
                <w:sz w:val="21"/>
                <w:szCs w:val="21"/>
              </w:rPr>
              <w:t>预</w:t>
            </w:r>
            <w:r>
              <w:rPr>
                <w:rFonts w:hint="default" w:ascii="Times New Roman" w:hAnsi="Times New Roman" w:eastAsia="仿宋_GB2312" w:cs="Times New Roman"/>
                <w:spacing w:val="5"/>
                <w:sz w:val="21"/>
                <w:szCs w:val="21"/>
              </w:rPr>
              <w:t>测面积</w:t>
            </w:r>
            <w:r>
              <w:rPr>
                <w:rFonts w:hint="default" w:ascii="Times New Roman" w:hAnsi="Times New Roman" w:eastAsia="仿宋_GB2312" w:cs="Times New Roman"/>
                <w:spacing w:val="34"/>
                <w:sz w:val="21"/>
                <w:szCs w:val="21"/>
              </w:rPr>
              <w:t>(</w:t>
            </w:r>
            <w:r>
              <w:rPr>
                <w:rFonts w:hint="default" w:ascii="Times New Roman" w:hAnsi="Times New Roman" w:eastAsia="仿宋_GB2312" w:cs="Times New Roman"/>
                <w:sz w:val="21"/>
                <w:szCs w:val="21"/>
              </w:rPr>
              <w:t>m</w:t>
            </w:r>
            <w:r>
              <w:rPr>
                <w:rFonts w:hint="default" w:ascii="Times New Roman" w:hAnsi="Times New Roman" w:eastAsia="仿宋_GB2312" w:cs="Times New Roman"/>
                <w:spacing w:val="33"/>
                <w:sz w:val="21"/>
                <w:szCs w:val="21"/>
              </w:rPr>
              <w:t>²)</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707"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施工期</w:t>
            </w:r>
          </w:p>
        </w:tc>
        <w:tc>
          <w:tcPr>
            <w:tcW w:w="679"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1"/>
                <w:sz w:val="21"/>
                <w:szCs w:val="21"/>
              </w:rPr>
            </w:pPr>
            <w:r>
              <w:rPr>
                <w:rFonts w:hint="default" w:ascii="Times New Roman" w:hAnsi="Times New Roman" w:eastAsia="仿宋_GB2312" w:cs="Times New Roman"/>
                <w:spacing w:val="-1"/>
                <w:sz w:val="21"/>
                <w:szCs w:val="21"/>
              </w:rPr>
              <w:t>工程</w:t>
            </w:r>
            <w:r>
              <w:rPr>
                <w:rFonts w:hint="default" w:ascii="Times New Roman" w:hAnsi="Times New Roman" w:eastAsia="仿宋_GB2312" w:cs="Times New Roman"/>
                <w:spacing w:val="5"/>
                <w:sz w:val="21"/>
                <w:szCs w:val="21"/>
              </w:rPr>
              <w:t>建设区</w:t>
            </w: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建构筑物区</w:t>
            </w:r>
          </w:p>
        </w:tc>
        <w:tc>
          <w:tcPr>
            <w:tcW w:w="1503"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rPr>
            </w:pPr>
            <w:r>
              <w:rPr>
                <w:rFonts w:hint="eastAsia" w:eastAsia="仿宋_GB2312" w:cs="Times New Roman"/>
                <w:sz w:val="21"/>
                <w:szCs w:val="21"/>
                <w:lang w:val="en-US" w:eastAsia="zh-CN"/>
              </w:rPr>
              <w:t>2023年7月</w:t>
            </w:r>
            <w:r>
              <w:rPr>
                <w:rFonts w:hint="default" w:ascii="Times New Roman" w:hAnsi="Times New Roman" w:eastAsia="仿宋_GB2312" w:cs="Times New Roman"/>
                <w:sz w:val="21"/>
                <w:szCs w:val="21"/>
                <w:lang w:val="en-US" w:eastAsia="zh-CN"/>
              </w:rPr>
              <w:t>~202</w:t>
            </w:r>
            <w:r>
              <w:rPr>
                <w:rFonts w:hint="eastAsia" w:eastAsia="仿宋_GB2312" w:cs="Times New Roman"/>
                <w:sz w:val="21"/>
                <w:szCs w:val="21"/>
                <w:lang w:val="en-US" w:eastAsia="zh-CN"/>
              </w:rPr>
              <w:t>4</w:t>
            </w:r>
            <w:r>
              <w:rPr>
                <w:rFonts w:hint="default" w:ascii="Times New Roman" w:hAnsi="Times New Roman" w:eastAsia="仿宋_GB2312" w:cs="Times New Roman"/>
                <w:sz w:val="21"/>
                <w:szCs w:val="21"/>
                <w:lang w:val="en-US" w:eastAsia="zh-CN"/>
              </w:rPr>
              <w:t>年</w:t>
            </w:r>
            <w:r>
              <w:rPr>
                <w:rFonts w:hint="eastAsia" w:eastAsia="仿宋_GB2312" w:cs="Times New Roman"/>
                <w:sz w:val="21"/>
                <w:szCs w:val="21"/>
                <w:lang w:val="en-US" w:eastAsia="zh-CN"/>
              </w:rPr>
              <w:t>6</w:t>
            </w:r>
            <w:r>
              <w:rPr>
                <w:rFonts w:hint="default" w:ascii="Times New Roman" w:hAnsi="Times New Roman" w:eastAsia="仿宋_GB2312" w:cs="Times New Roman"/>
                <w:sz w:val="21"/>
                <w:szCs w:val="21"/>
                <w:lang w:val="en-US" w:eastAsia="zh-CN"/>
              </w:rPr>
              <w:t>月</w:t>
            </w:r>
          </w:p>
        </w:tc>
        <w:tc>
          <w:tcPr>
            <w:tcW w:w="52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eastAsia" w:eastAsia="仿宋_GB2312" w:cs="Times New Roman"/>
                <w:sz w:val="21"/>
                <w:szCs w:val="21"/>
                <w:lang w:val="en-US" w:eastAsia="zh-CN"/>
              </w:rPr>
              <w:t>1.50</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eastAsia" w:eastAsia="仿宋_GB2312" w:cs="Times New Roman"/>
                <w:sz w:val="21"/>
                <w:szCs w:val="21"/>
                <w:lang w:val="en-US" w:eastAsia="zh-CN"/>
              </w:rPr>
              <w:t>80041.76</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70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7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道路及硬化区</w:t>
            </w:r>
          </w:p>
        </w:tc>
        <w:tc>
          <w:tcPr>
            <w:tcW w:w="150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202</w:t>
            </w:r>
            <w:r>
              <w:rPr>
                <w:rFonts w:hint="eastAsia" w:eastAsia="仿宋_GB2312" w:cs="Times New Roman"/>
                <w:sz w:val="21"/>
                <w:szCs w:val="21"/>
                <w:lang w:val="en-US" w:eastAsia="zh-CN"/>
              </w:rPr>
              <w:t>4</w:t>
            </w:r>
            <w:r>
              <w:rPr>
                <w:rFonts w:hint="default" w:ascii="Times New Roman" w:hAnsi="Times New Roman" w:eastAsia="仿宋_GB2312" w:cs="Times New Roman"/>
                <w:sz w:val="21"/>
                <w:szCs w:val="21"/>
                <w:lang w:val="en-US" w:eastAsia="zh-CN"/>
              </w:rPr>
              <w:t>年</w:t>
            </w:r>
            <w:r>
              <w:rPr>
                <w:rFonts w:hint="eastAsia" w:eastAsia="仿宋_GB2312" w:cs="Times New Roman"/>
                <w:sz w:val="21"/>
                <w:szCs w:val="21"/>
                <w:lang w:val="en-US" w:eastAsia="zh-CN"/>
              </w:rPr>
              <w:t>6</w:t>
            </w:r>
            <w:r>
              <w:rPr>
                <w:rFonts w:hint="default" w:ascii="Times New Roman" w:hAnsi="Times New Roman" w:eastAsia="仿宋_GB2312" w:cs="Times New Roman"/>
                <w:sz w:val="21"/>
                <w:szCs w:val="21"/>
                <w:lang w:val="en-US" w:eastAsia="zh-CN"/>
              </w:rPr>
              <w:t>月~</w:t>
            </w:r>
            <w:r>
              <w:rPr>
                <w:rFonts w:hint="eastAsia" w:eastAsia="仿宋_GB2312" w:cs="Times New Roman"/>
                <w:sz w:val="21"/>
                <w:szCs w:val="21"/>
                <w:lang w:val="en-US" w:eastAsia="zh-CN"/>
              </w:rPr>
              <w:t>2024年12月</w:t>
            </w:r>
          </w:p>
        </w:tc>
        <w:tc>
          <w:tcPr>
            <w:tcW w:w="52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eastAsia" w:eastAsia="仿宋_GB2312" w:cs="Times New Roman"/>
                <w:sz w:val="21"/>
                <w:szCs w:val="21"/>
                <w:lang w:val="en-US" w:eastAsia="zh-CN"/>
              </w:rPr>
              <w:t>2.0</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eastAsia" w:eastAsia="仿宋_GB2312" w:cs="Times New Roman"/>
                <w:sz w:val="21"/>
                <w:szCs w:val="21"/>
                <w:lang w:val="en-US" w:eastAsia="zh-CN"/>
              </w:rPr>
              <w:t>79857.96</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70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7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绿化区</w:t>
            </w:r>
          </w:p>
        </w:tc>
        <w:tc>
          <w:tcPr>
            <w:tcW w:w="150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eastAsia" w:eastAsia="仿宋_GB2312" w:cs="Times New Roman"/>
                <w:sz w:val="21"/>
                <w:szCs w:val="21"/>
                <w:lang w:val="en-US" w:eastAsia="zh-CN"/>
              </w:rPr>
              <w:t>2024年8月</w:t>
            </w:r>
            <w:r>
              <w:rPr>
                <w:rFonts w:hint="default" w:ascii="Times New Roman" w:hAnsi="Times New Roman" w:eastAsia="仿宋_GB2312" w:cs="Times New Roman"/>
                <w:sz w:val="21"/>
                <w:szCs w:val="21"/>
                <w:lang w:val="en-US" w:eastAsia="zh-CN"/>
              </w:rPr>
              <w:t>~</w:t>
            </w:r>
            <w:r>
              <w:rPr>
                <w:rFonts w:hint="eastAsia" w:eastAsia="仿宋_GB2312" w:cs="Times New Roman"/>
                <w:sz w:val="21"/>
                <w:szCs w:val="21"/>
                <w:lang w:val="en-US" w:eastAsia="zh-CN"/>
              </w:rPr>
              <w:t>2024年10月</w:t>
            </w:r>
          </w:p>
        </w:tc>
        <w:tc>
          <w:tcPr>
            <w:tcW w:w="52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eastAsia" w:eastAsia="仿宋_GB2312" w:cs="Times New Roman"/>
                <w:sz w:val="21"/>
                <w:szCs w:val="21"/>
                <w:lang w:val="en-US" w:eastAsia="zh-CN"/>
              </w:rPr>
              <w:t>0.25</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eastAsia" w:eastAsia="仿宋_GB2312" w:cs="Times New Roman"/>
                <w:sz w:val="21"/>
                <w:szCs w:val="21"/>
                <w:lang w:val="en-US" w:eastAsia="zh-CN"/>
              </w:rPr>
              <w:t>39933.28</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PrEx>
        <w:trPr>
          <w:trHeight w:val="340" w:hRule="atLeast"/>
          <w:jc w:val="center"/>
        </w:trPr>
        <w:tc>
          <w:tcPr>
            <w:tcW w:w="70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7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小计</w:t>
            </w:r>
          </w:p>
        </w:tc>
        <w:tc>
          <w:tcPr>
            <w:tcW w:w="150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p>
        </w:tc>
        <w:tc>
          <w:tcPr>
            <w:tcW w:w="52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eastAsia" w:eastAsia="仿宋_GB2312" w:cs="Times New Roman"/>
                <w:sz w:val="21"/>
                <w:szCs w:val="21"/>
                <w:lang w:val="en-US" w:eastAsia="zh-CN"/>
              </w:rPr>
              <w:t>199833</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7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1"/>
                <w:szCs w:val="21"/>
              </w:rPr>
            </w:pPr>
            <w:r>
              <w:rPr>
                <w:rFonts w:hint="default" w:ascii="Times New Roman" w:hAnsi="Times New Roman" w:eastAsia="仿宋_GB2312" w:cs="Times New Roman"/>
                <w:spacing w:val="5"/>
                <w:sz w:val="21"/>
                <w:szCs w:val="21"/>
              </w:rPr>
              <w:t>自然恢复期</w:t>
            </w:r>
          </w:p>
        </w:tc>
        <w:tc>
          <w:tcPr>
            <w:tcW w:w="67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1"/>
                <w:szCs w:val="21"/>
              </w:rPr>
            </w:pPr>
            <w:r>
              <w:rPr>
                <w:rFonts w:hint="default" w:ascii="Times New Roman" w:hAnsi="Times New Roman" w:eastAsia="仿宋_GB2312" w:cs="Times New Roman"/>
                <w:spacing w:val="5"/>
                <w:sz w:val="21"/>
                <w:szCs w:val="21"/>
              </w:rPr>
              <w:t>工程建设区</w:t>
            </w: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绿化区</w:t>
            </w:r>
          </w:p>
        </w:tc>
        <w:tc>
          <w:tcPr>
            <w:tcW w:w="150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52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eastAsia" w:eastAsia="仿宋_GB2312" w:cs="Times New Roman"/>
                <w:sz w:val="21"/>
                <w:szCs w:val="21"/>
                <w:lang w:val="en-US" w:eastAsia="zh-CN"/>
              </w:rPr>
              <w:t>3.0</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eastAsia" w:eastAsia="仿宋_GB2312" w:cs="Times New Roman"/>
                <w:sz w:val="21"/>
                <w:szCs w:val="21"/>
                <w:lang w:val="en-US" w:eastAsia="zh-CN"/>
              </w:rPr>
              <w:t>39933.28</w:t>
            </w:r>
          </w:p>
        </w:tc>
      </w:tr>
    </w:tbl>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4.3.3土壤侵蚀模数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t>本方案依据《土壤侵蚀分类分级标准》（SL190-2007），结合现场勘查，综合评定该项工程建设扰动前后及自然恢复期的土壤侵蚀模数。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t>土壤侵蚀模数确定分析如下：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8"/>
          <w:highlight w:val="none"/>
        </w:rPr>
      </w:pPr>
      <w:r>
        <w:rPr>
          <w:rFonts w:hint="default" w:ascii="Times New Roman" w:hAnsi="Times New Roman" w:cs="Times New Roman"/>
          <w:sz w:val="24"/>
          <w:szCs w:val="28"/>
          <w:highlight w:val="none"/>
        </w:rPr>
        <w:t>①</w:t>
      </w:r>
      <w:r>
        <w:rPr>
          <w:rFonts w:hint="default" w:ascii="Times New Roman" w:hAnsi="Times New Roman" w:eastAsia="仿宋_GB2312" w:cs="Times New Roman"/>
          <w:sz w:val="24"/>
          <w:szCs w:val="28"/>
          <w:highlight w:val="none"/>
        </w:rPr>
        <w:t>扰动前土壤侵蚀模数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t>土壤侵蚀强度以轻度为主。结合工程区土地利用类型、地面坡度等因子，参考《土壤侵蚀分类分级标准》，确定</w:t>
      </w:r>
      <w:r>
        <w:rPr>
          <w:rFonts w:hint="default" w:ascii="Times New Roman" w:hAnsi="Times New Roman" w:eastAsia="仿宋_GB2312" w:cs="Times New Roman"/>
          <w:sz w:val="24"/>
          <w:szCs w:val="28"/>
          <w:highlight w:val="none"/>
          <w:lang w:eastAsia="zh-CN"/>
        </w:rPr>
        <w:t>本期项目</w:t>
      </w:r>
      <w:r>
        <w:rPr>
          <w:rFonts w:hint="default" w:ascii="Times New Roman" w:hAnsi="Times New Roman" w:eastAsia="仿宋_GB2312" w:cs="Times New Roman"/>
          <w:sz w:val="24"/>
          <w:szCs w:val="28"/>
          <w:highlight w:val="none"/>
        </w:rPr>
        <w:t>土壤侵蚀模数背景值为400t/</w:t>
      </w:r>
      <w:r>
        <w:rPr>
          <w:rFonts w:hint="default" w:ascii="Times New Roman" w:hAnsi="Times New Roman" w:eastAsia="仿宋_GB2312" w:cs="Times New Roman"/>
          <w:sz w:val="24"/>
          <w:szCs w:val="28"/>
          <w:highlight w:val="none"/>
          <w:lang w:eastAsia="zh-CN"/>
        </w:rPr>
        <w:t>km²</w:t>
      </w:r>
      <w:r>
        <w:rPr>
          <w:rFonts w:hint="default" w:ascii="Times New Roman" w:hAnsi="Times New Roman" w:eastAsia="仿宋_GB2312" w:cs="Times New Roman"/>
          <w:sz w:val="24"/>
          <w:szCs w:val="28"/>
          <w:highlight w:val="none"/>
        </w:rPr>
        <w:t>.a。</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8"/>
          <w:highlight w:val="none"/>
        </w:rPr>
      </w:pPr>
      <w:r>
        <w:rPr>
          <w:rFonts w:hint="default" w:ascii="Times New Roman" w:hAnsi="Times New Roman" w:cs="Times New Roman"/>
          <w:sz w:val="24"/>
          <w:szCs w:val="28"/>
          <w:highlight w:val="none"/>
        </w:rPr>
        <w:t>②</w:t>
      </w:r>
      <w:r>
        <w:rPr>
          <w:rFonts w:hint="default" w:ascii="Times New Roman" w:hAnsi="Times New Roman" w:eastAsia="仿宋_GB2312" w:cs="Times New Roman"/>
          <w:sz w:val="24"/>
          <w:szCs w:val="28"/>
          <w:highlight w:val="none"/>
        </w:rPr>
        <w:t>扰动后土壤侵蚀模数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highlight w:val="none"/>
        </w:rPr>
      </w:pPr>
      <w:r>
        <w:rPr>
          <w:rFonts w:hint="default" w:ascii="Times New Roman" w:hAnsi="Times New Roman" w:eastAsia="仿宋_GB2312" w:cs="Times New Roman"/>
          <w:sz w:val="24"/>
          <w:szCs w:val="28"/>
          <w:highlight w:val="none"/>
        </w:rPr>
        <w:t>根据对工程建设中产生的水土流失成因、类型、分布分析，通过现场调查确定扰动后的土壤侵蚀模数。自然恢复期，由于施工活动结束，施工区扰动程度大大减小，项目区相应的水土流失强度减弱。预测基础数据见表4-5。</w:t>
      </w:r>
    </w:p>
    <w:p>
      <w:pPr>
        <w:pStyle w:val="16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val="en-US" w:eastAsia="zh-CN"/>
        </w:rPr>
      </w:pPr>
      <w:r>
        <w:rPr>
          <w:rFonts w:hint="default" w:ascii="Times New Roman" w:hAnsi="Times New Roman" w:eastAsia="微软雅黑" w:cs="Times New Roman"/>
          <w:b w:val="0"/>
          <w:bCs w:val="0"/>
          <w:sz w:val="21"/>
          <w:szCs w:val="21"/>
          <w:highlight w:val="none"/>
          <w:lang w:val="en-US" w:eastAsia="zh-CN"/>
        </w:rPr>
        <w:t>表4-3  各分区扰动地貌土壤侵蚀模数表</w:t>
      </w:r>
    </w:p>
    <w:tbl>
      <w:tblPr>
        <w:tblStyle w:val="556"/>
        <w:tblW w:w="4998"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364"/>
        <w:gridCol w:w="1818"/>
        <w:gridCol w:w="1813"/>
        <w:gridCol w:w="1288"/>
        <w:gridCol w:w="1061"/>
        <w:gridCol w:w="1061"/>
      </w:tblGrid>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11"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7"/>
                <w:sz w:val="21"/>
                <w:szCs w:val="21"/>
              </w:rPr>
              <w:t>预</w:t>
            </w:r>
            <w:r>
              <w:rPr>
                <w:rFonts w:hint="default" w:ascii="Times New Roman" w:hAnsi="Times New Roman" w:eastAsia="仿宋_GB2312" w:cs="Times New Roman"/>
                <w:spacing w:val="5"/>
                <w:sz w:val="21"/>
                <w:szCs w:val="21"/>
              </w:rPr>
              <w:t>测单元</w:t>
            </w:r>
          </w:p>
        </w:tc>
        <w:tc>
          <w:tcPr>
            <w:tcW w:w="1081"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6"/>
                <w:sz w:val="21"/>
                <w:szCs w:val="21"/>
              </w:rPr>
              <w:t>土</w:t>
            </w:r>
            <w:r>
              <w:rPr>
                <w:rFonts w:hint="default" w:ascii="Times New Roman" w:hAnsi="Times New Roman" w:eastAsia="仿宋_GB2312" w:cs="Times New Roman"/>
                <w:spacing w:val="5"/>
                <w:sz w:val="21"/>
                <w:szCs w:val="21"/>
              </w:rPr>
              <w:t>壤侵蚀</w:t>
            </w:r>
            <w:r>
              <w:rPr>
                <w:rFonts w:hint="default" w:ascii="Times New Roman" w:hAnsi="Times New Roman" w:eastAsia="仿宋_GB2312" w:cs="Times New Roman"/>
                <w:spacing w:val="2"/>
                <w:sz w:val="21"/>
                <w:szCs w:val="21"/>
              </w:rPr>
              <w:t>背景值</w:t>
            </w:r>
            <w:r>
              <w:rPr>
                <w:rFonts w:hint="default" w:ascii="Times New Roman" w:hAnsi="Times New Roman" w:eastAsia="仿宋_GB2312" w:cs="Times New Roman"/>
                <w:spacing w:val="2"/>
                <w:sz w:val="21"/>
                <w:szCs w:val="21"/>
                <w:lang w:eastAsia="zh-CN"/>
              </w:rPr>
              <w:t>（</w:t>
            </w:r>
            <w:r>
              <w:rPr>
                <w:rFonts w:hint="default" w:ascii="Times New Roman" w:hAnsi="Times New Roman" w:eastAsia="仿宋_GB2312" w:cs="Times New Roman"/>
                <w:sz w:val="21"/>
                <w:szCs w:val="21"/>
                <w:lang w:val="en-US" w:eastAsia="zh-CN"/>
              </w:rPr>
              <w:t>t/km</w:t>
            </w:r>
            <w:r>
              <w:rPr>
                <w:rFonts w:hint="default" w:ascii="Times New Roman" w:hAnsi="Times New Roman" w:eastAsia="仿宋_GB2312" w:cs="Times New Roman"/>
                <w:sz w:val="21"/>
                <w:szCs w:val="21"/>
                <w:vertAlign w:val="superscript"/>
                <w:lang w:val="en-US" w:eastAsia="zh-CN"/>
              </w:rPr>
              <w:t>2</w:t>
            </w:r>
            <w:r>
              <w:rPr>
                <w:rFonts w:hint="default" w:ascii="Times New Roman" w:hAnsi="Times New Roman" w:eastAsia="仿宋_GB2312" w:cs="Times New Roman"/>
                <w:sz w:val="21"/>
                <w:szCs w:val="21"/>
                <w:lang w:val="en-US" w:eastAsia="zh-CN"/>
              </w:rPr>
              <w:t>·a</w:t>
            </w:r>
            <w:r>
              <w:rPr>
                <w:rFonts w:hint="default" w:ascii="Times New Roman" w:hAnsi="Times New Roman" w:eastAsia="仿宋_GB2312" w:cs="Times New Roman"/>
                <w:spacing w:val="2"/>
                <w:sz w:val="21"/>
                <w:szCs w:val="21"/>
                <w:lang w:eastAsia="zh-CN"/>
              </w:rPr>
              <w:t>）</w:t>
            </w:r>
          </w:p>
        </w:tc>
        <w:tc>
          <w:tcPr>
            <w:tcW w:w="1078"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pacing w:val="6"/>
                <w:sz w:val="21"/>
                <w:szCs w:val="21"/>
              </w:rPr>
              <w:t>施工期土壤侵蚀模</w:t>
            </w:r>
            <w:r>
              <w:rPr>
                <w:rFonts w:hint="default" w:ascii="Times New Roman" w:hAnsi="Times New Roman" w:eastAsia="仿宋_GB2312" w:cs="Times New Roman"/>
                <w:spacing w:val="6"/>
                <w:sz w:val="21"/>
                <w:szCs w:val="21"/>
                <w:lang w:eastAsia="zh-CN"/>
              </w:rPr>
              <w:t>（</w:t>
            </w:r>
            <w:r>
              <w:rPr>
                <w:rFonts w:hint="default" w:ascii="Times New Roman" w:hAnsi="Times New Roman" w:eastAsia="仿宋_GB2312" w:cs="Times New Roman"/>
                <w:sz w:val="21"/>
                <w:szCs w:val="21"/>
                <w:lang w:val="en-US" w:eastAsia="zh-CN"/>
              </w:rPr>
              <w:t>t/km</w:t>
            </w:r>
            <w:r>
              <w:rPr>
                <w:rFonts w:hint="default" w:ascii="Times New Roman" w:hAnsi="Times New Roman" w:eastAsia="仿宋_GB2312" w:cs="Times New Roman"/>
                <w:sz w:val="21"/>
                <w:szCs w:val="21"/>
                <w:vertAlign w:val="superscript"/>
                <w:lang w:val="en-US" w:eastAsia="zh-CN"/>
              </w:rPr>
              <w:t>2</w:t>
            </w:r>
            <w:r>
              <w:rPr>
                <w:rFonts w:hint="default" w:ascii="Times New Roman" w:hAnsi="Times New Roman" w:eastAsia="仿宋_GB2312" w:cs="Times New Roman"/>
                <w:sz w:val="21"/>
                <w:szCs w:val="21"/>
                <w:lang w:val="en-US" w:eastAsia="zh-CN"/>
              </w:rPr>
              <w:t>·a</w:t>
            </w:r>
            <w:r>
              <w:rPr>
                <w:rFonts w:hint="default" w:ascii="Times New Roman" w:hAnsi="Times New Roman" w:eastAsia="仿宋_GB2312" w:cs="Times New Roman"/>
                <w:spacing w:val="6"/>
                <w:sz w:val="21"/>
                <w:szCs w:val="21"/>
                <w:lang w:eastAsia="zh-CN"/>
              </w:rPr>
              <w:t>）</w:t>
            </w:r>
          </w:p>
        </w:tc>
        <w:tc>
          <w:tcPr>
            <w:tcW w:w="2028"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pacing w:val="5"/>
                <w:sz w:val="21"/>
                <w:szCs w:val="21"/>
              </w:rPr>
              <w:t>自然恢复期土壤侵蚀模数</w:t>
            </w:r>
            <w:r>
              <w:rPr>
                <w:rFonts w:hint="default" w:ascii="Times New Roman" w:hAnsi="Times New Roman" w:eastAsia="仿宋_GB2312" w:cs="Times New Roman"/>
                <w:spacing w:val="5"/>
                <w:sz w:val="21"/>
                <w:szCs w:val="21"/>
                <w:lang w:eastAsia="zh-CN"/>
              </w:rPr>
              <w:t>（</w:t>
            </w:r>
            <w:r>
              <w:rPr>
                <w:rFonts w:hint="default" w:ascii="Times New Roman" w:hAnsi="Times New Roman" w:eastAsia="仿宋_GB2312" w:cs="Times New Roman"/>
                <w:sz w:val="21"/>
                <w:szCs w:val="21"/>
                <w:lang w:val="en-US" w:eastAsia="zh-CN"/>
              </w:rPr>
              <w:t>t/km</w:t>
            </w:r>
            <w:r>
              <w:rPr>
                <w:rFonts w:hint="default" w:ascii="Times New Roman" w:hAnsi="Times New Roman" w:eastAsia="仿宋_GB2312" w:cs="Times New Roman"/>
                <w:sz w:val="21"/>
                <w:szCs w:val="21"/>
                <w:vertAlign w:val="superscript"/>
                <w:lang w:val="en-US" w:eastAsia="zh-CN"/>
              </w:rPr>
              <w:t>2</w:t>
            </w:r>
            <w:r>
              <w:rPr>
                <w:rFonts w:hint="default" w:ascii="Times New Roman" w:hAnsi="Times New Roman" w:eastAsia="仿宋_GB2312" w:cs="Times New Roman"/>
                <w:sz w:val="21"/>
                <w:szCs w:val="21"/>
                <w:lang w:val="en-US" w:eastAsia="zh-CN"/>
              </w:rPr>
              <w:t>·a</w:t>
            </w:r>
            <w:r>
              <w:rPr>
                <w:rFonts w:hint="default" w:ascii="Times New Roman" w:hAnsi="Times New Roman" w:eastAsia="仿宋_GB2312" w:cs="Times New Roman"/>
                <w:spacing w:val="5"/>
                <w:sz w:val="21"/>
                <w:szCs w:val="21"/>
                <w:lang w:eastAsia="zh-CN"/>
              </w:rPr>
              <w:t>）</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108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107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76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7"/>
                <w:sz w:val="21"/>
                <w:szCs w:val="21"/>
              </w:rPr>
              <w:t>第1年</w:t>
            </w:r>
          </w:p>
        </w:tc>
        <w:tc>
          <w:tcPr>
            <w:tcW w:w="63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7"/>
                <w:sz w:val="21"/>
                <w:szCs w:val="21"/>
              </w:rPr>
              <w:t>第2年</w:t>
            </w:r>
          </w:p>
        </w:tc>
        <w:tc>
          <w:tcPr>
            <w:tcW w:w="63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7"/>
                <w:sz w:val="21"/>
                <w:szCs w:val="21"/>
              </w:rPr>
              <w:t>第3年</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1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工程建设区</w:t>
            </w:r>
          </w:p>
        </w:tc>
        <w:tc>
          <w:tcPr>
            <w:tcW w:w="108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rPr>
            </w:pPr>
            <w:r>
              <w:rPr>
                <w:rFonts w:hint="eastAsia" w:eastAsia="仿宋_GB2312" w:cs="Times New Roman"/>
                <w:spacing w:val="2"/>
                <w:sz w:val="21"/>
                <w:szCs w:val="21"/>
                <w:lang w:val="en-US" w:eastAsia="zh-CN"/>
              </w:rPr>
              <w:t>4</w:t>
            </w:r>
            <w:r>
              <w:rPr>
                <w:rFonts w:hint="default" w:ascii="Times New Roman" w:hAnsi="Times New Roman" w:eastAsia="仿宋_GB2312" w:cs="Times New Roman"/>
                <w:spacing w:val="2"/>
                <w:sz w:val="21"/>
                <w:szCs w:val="21"/>
                <w:lang w:val="en-US" w:eastAsia="zh-CN"/>
              </w:rPr>
              <w:t>00</w:t>
            </w:r>
          </w:p>
        </w:tc>
        <w:tc>
          <w:tcPr>
            <w:tcW w:w="107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4"/>
                <w:sz w:val="21"/>
                <w:szCs w:val="21"/>
                <w:lang w:val="en-US" w:eastAsia="zh-CN"/>
              </w:rPr>
              <w:t>4000</w:t>
            </w:r>
          </w:p>
        </w:tc>
        <w:tc>
          <w:tcPr>
            <w:tcW w:w="76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2"/>
                <w:position w:val="2"/>
                <w:sz w:val="21"/>
                <w:szCs w:val="21"/>
                <w:lang w:val="en-US" w:eastAsia="zh-CN"/>
              </w:rPr>
              <w:t>4000</w:t>
            </w:r>
          </w:p>
        </w:tc>
        <w:tc>
          <w:tcPr>
            <w:tcW w:w="63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2"/>
                <w:position w:val="2"/>
                <w:sz w:val="21"/>
                <w:szCs w:val="21"/>
                <w:lang w:val="en-US" w:eastAsia="zh-CN"/>
              </w:rPr>
              <w:t>2300</w:t>
            </w:r>
          </w:p>
        </w:tc>
        <w:tc>
          <w:tcPr>
            <w:tcW w:w="63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2"/>
                <w:position w:val="2"/>
                <w:sz w:val="21"/>
                <w:szCs w:val="21"/>
                <w:lang w:val="en-US" w:eastAsia="zh-CN"/>
              </w:rPr>
              <w:t>600</w:t>
            </w:r>
          </w:p>
        </w:tc>
      </w:tr>
    </w:tbl>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4.3.4可能造成的土壤流失量预测</w:t>
      </w:r>
    </w:p>
    <w:p>
      <w:pPr>
        <w:pStyle w:val="164"/>
        <w:pageBreakBefore w:val="0"/>
        <w:kinsoku/>
        <w:wordWrap/>
        <w:bidi w:val="0"/>
        <w:spacing w:line="360" w:lineRule="auto"/>
        <w:ind w:firstLine="480"/>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8"/>
          <w:highlight w:val="none"/>
        </w:rPr>
        <w:t>本方案采用现场调查结合专家预测法进行预测。利用下面的公式分时段（施工期和自然恢复期）、分区域进行预测。</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水土流失量的预测采用以下公式：</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W=</w:t>
      </w:r>
      <w:r>
        <w:rPr>
          <w:rFonts w:hint="default" w:ascii="Times New Roman" w:hAnsi="Times New Roman" w:eastAsia="仿宋_GB2312" w:cs="Times New Roman"/>
          <w:sz w:val="24"/>
          <w:highlight w:val="none"/>
        </w:rPr>
        <w:drawing>
          <wp:inline distT="0" distB="0" distL="114300" distR="114300">
            <wp:extent cx="248285" cy="368300"/>
            <wp:effectExtent l="0" t="0" r="18415" b="12700"/>
            <wp:docPr id="112" name="图片 75" descr="公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75" descr="公式"/>
                    <pic:cNvPicPr>
                      <a:picLocks noChangeAspect="1"/>
                    </pic:cNvPicPr>
                  </pic:nvPicPr>
                  <pic:blipFill>
                    <a:blip r:embed="rId50"/>
                    <a:stretch>
                      <a:fillRect/>
                    </a:stretch>
                  </pic:blipFill>
                  <pic:spPr>
                    <a:xfrm>
                      <a:off x="0" y="0"/>
                      <a:ext cx="248285" cy="368300"/>
                    </a:xfrm>
                    <a:prstGeom prst="rect">
                      <a:avLst/>
                    </a:prstGeom>
                    <a:noFill/>
                    <a:ln>
                      <a:noFill/>
                    </a:ln>
                  </pic:spPr>
                </pic:pic>
              </a:graphicData>
            </a:graphic>
          </wp:inline>
        </w:drawing>
      </w:r>
      <w:r>
        <w:rPr>
          <w:rFonts w:hint="default" w:ascii="Times New Roman" w:hAnsi="Times New Roman" w:eastAsia="仿宋_GB2312" w:cs="Times New Roman"/>
          <w:sz w:val="24"/>
          <w:highlight w:val="none"/>
          <w:vertAlign w:val="subscript"/>
        </w:rPr>
        <w:drawing>
          <wp:inline distT="0" distB="0" distL="114300" distR="114300">
            <wp:extent cx="226695" cy="317500"/>
            <wp:effectExtent l="0" t="0" r="1905" b="6350"/>
            <wp:docPr id="113" name="图片 79" descr="公式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79" descr="公式 - 副本"/>
                    <pic:cNvPicPr>
                      <a:picLocks noChangeAspect="1"/>
                    </pic:cNvPicPr>
                  </pic:nvPicPr>
                  <pic:blipFill>
                    <a:blip r:embed="rId51"/>
                    <a:stretch>
                      <a:fillRect/>
                    </a:stretch>
                  </pic:blipFill>
                  <pic:spPr>
                    <a:xfrm>
                      <a:off x="0" y="0"/>
                      <a:ext cx="226695" cy="317500"/>
                    </a:xfrm>
                    <a:prstGeom prst="rect">
                      <a:avLst/>
                    </a:prstGeom>
                    <a:noFill/>
                    <a:ln>
                      <a:noFill/>
                    </a:ln>
                  </pic:spPr>
                </pic:pic>
              </a:graphicData>
            </a:graphic>
          </wp:inline>
        </w:drawing>
      </w:r>
      <w:r>
        <w:rPr>
          <w:rFonts w:hint="default" w:ascii="Times New Roman" w:hAnsi="Times New Roman" w:eastAsia="仿宋_GB2312" w:cs="Times New Roman"/>
          <w:i/>
          <w:iCs/>
          <w:sz w:val="24"/>
          <w:highlight w:val="none"/>
        </w:rPr>
        <w:t>F</w:t>
      </w:r>
      <w:r>
        <w:rPr>
          <w:rFonts w:hint="default" w:ascii="Times New Roman" w:hAnsi="Times New Roman" w:eastAsia="仿宋_GB2312" w:cs="Times New Roman"/>
          <w:sz w:val="24"/>
          <w:highlight w:val="none"/>
          <w:vertAlign w:val="subscript"/>
        </w:rPr>
        <w:t>ji</w:t>
      </w:r>
      <w:r>
        <w:rPr>
          <w:rFonts w:hint="default" w:ascii="Times New Roman" w:hAnsi="Times New Roman" w:eastAsia="仿宋_GB2312" w:cs="Times New Roman"/>
          <w:i/>
          <w:iCs/>
          <w:sz w:val="24"/>
          <w:highlight w:val="none"/>
        </w:rPr>
        <w:t>M</w:t>
      </w:r>
      <w:r>
        <w:rPr>
          <w:rFonts w:hint="default" w:ascii="Times New Roman" w:hAnsi="Times New Roman" w:eastAsia="仿宋_GB2312" w:cs="Times New Roman"/>
          <w:sz w:val="24"/>
          <w:highlight w:val="none"/>
          <w:vertAlign w:val="subscript"/>
        </w:rPr>
        <w:t>ji</w:t>
      </w:r>
      <w:r>
        <w:rPr>
          <w:rFonts w:hint="default" w:ascii="Times New Roman" w:hAnsi="Times New Roman" w:eastAsia="仿宋_GB2312" w:cs="Times New Roman"/>
          <w:i/>
          <w:iCs/>
          <w:sz w:val="24"/>
          <w:highlight w:val="none"/>
        </w:rPr>
        <w:t>T</w:t>
      </w:r>
      <w:r>
        <w:rPr>
          <w:rFonts w:hint="default" w:ascii="Times New Roman" w:hAnsi="Times New Roman" w:eastAsia="仿宋_GB2312" w:cs="Times New Roman"/>
          <w:sz w:val="24"/>
          <w:highlight w:val="none"/>
          <w:vertAlign w:val="subscript"/>
        </w:rPr>
        <w:t>ji</w:t>
      </w:r>
    </w:p>
    <w:p>
      <w:pPr>
        <w:pStyle w:val="37"/>
        <w:pageBreakBefore w:val="0"/>
        <w:kinsoku/>
        <w:wordWrap/>
        <w:bidi w:val="0"/>
        <w:spacing w:line="360" w:lineRule="auto"/>
        <w:ind w:firstLine="480"/>
        <w:rPr>
          <w:rFonts w:hint="default" w:ascii="Times New Roman" w:hAnsi="Times New Roman" w:eastAsia="仿宋_GB2312" w:cs="Times New Roman"/>
          <w:snapToGrid w:val="0"/>
          <w:kern w:val="0"/>
          <w:sz w:val="24"/>
          <w:highlight w:val="none"/>
        </w:rPr>
      </w:pPr>
      <w:r>
        <w:rPr>
          <w:rFonts w:hint="default" w:ascii="Times New Roman" w:hAnsi="Times New Roman" w:eastAsia="仿宋_GB2312" w:cs="Times New Roman"/>
          <w:snapToGrid w:val="0"/>
          <w:kern w:val="0"/>
          <w:sz w:val="24"/>
          <w:highlight w:val="none"/>
        </w:rPr>
        <w:t>W—土壤流失量（t）；</w:t>
      </w:r>
    </w:p>
    <w:p>
      <w:pPr>
        <w:pStyle w:val="37"/>
        <w:pageBreakBefore w:val="0"/>
        <w:kinsoku/>
        <w:wordWrap/>
        <w:bidi w:val="0"/>
        <w:spacing w:line="360" w:lineRule="auto"/>
        <w:ind w:firstLineChars="0"/>
        <w:rPr>
          <w:rFonts w:hint="default" w:ascii="Times New Roman" w:hAnsi="Times New Roman" w:eastAsia="仿宋_GB2312" w:cs="Times New Roman"/>
          <w:snapToGrid w:val="0"/>
          <w:kern w:val="0"/>
          <w:sz w:val="24"/>
          <w:highlight w:val="none"/>
        </w:rPr>
      </w:pPr>
      <w:r>
        <w:rPr>
          <w:rFonts w:hint="default" w:ascii="Times New Roman" w:hAnsi="Times New Roman" w:eastAsia="仿宋_GB2312" w:cs="Times New Roman"/>
          <w:snapToGrid w:val="0"/>
          <w:kern w:val="0"/>
          <w:sz w:val="24"/>
          <w:highlight w:val="none"/>
        </w:rPr>
        <w:t>j—预测时段，j=1，2，即指施工期（含施工准备期）和自然恢复期两个时段；</w:t>
      </w:r>
    </w:p>
    <w:p>
      <w:pPr>
        <w:pStyle w:val="37"/>
        <w:pageBreakBefore w:val="0"/>
        <w:kinsoku/>
        <w:wordWrap/>
        <w:bidi w:val="0"/>
        <w:spacing w:line="360" w:lineRule="auto"/>
        <w:ind w:firstLineChars="0"/>
        <w:rPr>
          <w:rFonts w:hint="default" w:ascii="Times New Roman" w:hAnsi="Times New Roman" w:eastAsia="仿宋_GB2312" w:cs="Times New Roman"/>
          <w:snapToGrid w:val="0"/>
          <w:kern w:val="0"/>
          <w:sz w:val="24"/>
          <w:highlight w:val="none"/>
        </w:rPr>
      </w:pPr>
      <w:r>
        <w:rPr>
          <w:rFonts w:hint="default" w:ascii="Times New Roman" w:hAnsi="Times New Roman" w:eastAsia="仿宋_GB2312" w:cs="Times New Roman"/>
          <w:snapToGrid w:val="0"/>
          <w:kern w:val="0"/>
          <w:sz w:val="24"/>
          <w:highlight w:val="none"/>
        </w:rPr>
        <w:t>i—预测单元，i=1</w:t>
      </w:r>
      <w:r>
        <w:rPr>
          <w:rFonts w:hint="default" w:ascii="Times New Roman" w:hAnsi="Times New Roman" w:eastAsia="仿宋_GB2312" w:cs="Times New Roman"/>
          <w:snapToGrid w:val="0"/>
          <w:kern w:val="0"/>
          <w:sz w:val="24"/>
          <w:highlight w:val="none"/>
          <w:lang w:eastAsia="zh-CN"/>
        </w:rPr>
        <w:t>，</w:t>
      </w:r>
      <w:r>
        <w:rPr>
          <w:rFonts w:hint="default" w:ascii="Times New Roman" w:hAnsi="Times New Roman" w:eastAsia="仿宋_GB2312" w:cs="Times New Roman"/>
          <w:snapToGrid w:val="0"/>
          <w:kern w:val="0"/>
          <w:sz w:val="24"/>
          <w:highlight w:val="none"/>
          <w:lang w:val="en-US" w:eastAsia="zh-CN"/>
        </w:rPr>
        <w:t>2，3</w:t>
      </w:r>
      <w:r>
        <w:rPr>
          <w:rFonts w:hint="default" w:ascii="Times New Roman" w:hAnsi="Times New Roman" w:eastAsia="仿宋_GB2312" w:cs="Times New Roman"/>
          <w:snapToGrid w:val="0"/>
          <w:kern w:val="0"/>
          <w:sz w:val="24"/>
          <w:highlight w:val="none"/>
        </w:rPr>
        <w:t>；</w:t>
      </w:r>
    </w:p>
    <w:p>
      <w:pPr>
        <w:pStyle w:val="37"/>
        <w:pageBreakBefore w:val="0"/>
        <w:kinsoku/>
        <w:wordWrap/>
        <w:bidi w:val="0"/>
        <w:spacing w:line="360" w:lineRule="auto"/>
        <w:ind w:firstLineChars="0"/>
        <w:rPr>
          <w:rFonts w:hint="default" w:ascii="Times New Roman" w:hAnsi="Times New Roman" w:eastAsia="仿宋_GB2312" w:cs="Times New Roman"/>
          <w:snapToGrid w:val="0"/>
          <w:kern w:val="0"/>
          <w:sz w:val="24"/>
          <w:highlight w:val="none"/>
        </w:rPr>
      </w:pPr>
      <w:r>
        <w:rPr>
          <w:rFonts w:hint="default" w:ascii="Times New Roman" w:hAnsi="Times New Roman" w:eastAsia="仿宋_GB2312" w:cs="Times New Roman"/>
          <w:snapToGrid w:val="0"/>
          <w:kern w:val="0"/>
          <w:sz w:val="24"/>
          <w:highlight w:val="none"/>
        </w:rPr>
        <w:t>k—预测时段，1，2，指施工期和自然恢复期；</w:t>
      </w:r>
    </w:p>
    <w:p>
      <w:pPr>
        <w:pStyle w:val="37"/>
        <w:pageBreakBefore w:val="0"/>
        <w:kinsoku/>
        <w:wordWrap/>
        <w:bidi w:val="0"/>
        <w:spacing w:line="360" w:lineRule="auto"/>
        <w:ind w:firstLineChars="0"/>
        <w:rPr>
          <w:rFonts w:hint="default" w:ascii="Times New Roman" w:hAnsi="Times New Roman" w:eastAsia="仿宋_GB2312" w:cs="Times New Roman"/>
          <w:snapToGrid w:val="0"/>
          <w:kern w:val="0"/>
          <w:sz w:val="24"/>
          <w:highlight w:val="none"/>
        </w:rPr>
      </w:pPr>
      <w:r>
        <w:rPr>
          <w:rFonts w:hint="default" w:ascii="Times New Roman" w:hAnsi="Times New Roman" w:eastAsia="仿宋_GB2312" w:cs="Times New Roman"/>
          <w:i/>
          <w:iCs/>
          <w:sz w:val="24"/>
          <w:highlight w:val="none"/>
        </w:rPr>
        <w:t>F</w:t>
      </w:r>
      <w:r>
        <w:rPr>
          <w:rFonts w:hint="default" w:ascii="Times New Roman" w:hAnsi="Times New Roman" w:eastAsia="仿宋_GB2312" w:cs="Times New Roman"/>
          <w:sz w:val="24"/>
          <w:highlight w:val="none"/>
          <w:vertAlign w:val="subscript"/>
        </w:rPr>
        <w:t>ji</w:t>
      </w:r>
      <w:r>
        <w:rPr>
          <w:rFonts w:hint="default" w:ascii="Times New Roman" w:hAnsi="Times New Roman" w:eastAsia="仿宋_GB2312" w:cs="Times New Roman"/>
          <w:snapToGrid w:val="0"/>
          <w:kern w:val="0"/>
          <w:sz w:val="24"/>
          <w:highlight w:val="none"/>
        </w:rPr>
        <w:t>—第j预测时段、第i预测单元的面积（</w:t>
      </w:r>
      <w:r>
        <w:rPr>
          <w:rFonts w:hint="default" w:ascii="Times New Roman" w:hAnsi="Times New Roman" w:eastAsia="仿宋_GB2312" w:cs="Times New Roman"/>
          <w:snapToGrid w:val="0"/>
          <w:kern w:val="0"/>
          <w:sz w:val="24"/>
          <w:highlight w:val="none"/>
          <w:lang w:eastAsia="zh-CN"/>
        </w:rPr>
        <w:t>km²</w:t>
      </w:r>
      <w:r>
        <w:rPr>
          <w:rFonts w:hint="default" w:ascii="Times New Roman" w:hAnsi="Times New Roman" w:eastAsia="仿宋_GB2312" w:cs="Times New Roman"/>
          <w:snapToGrid w:val="0"/>
          <w:kern w:val="0"/>
          <w:sz w:val="24"/>
          <w:highlight w:val="none"/>
        </w:rPr>
        <w:t>）；</w:t>
      </w:r>
    </w:p>
    <w:p>
      <w:pPr>
        <w:pStyle w:val="37"/>
        <w:pageBreakBefore w:val="0"/>
        <w:kinsoku/>
        <w:wordWrap/>
        <w:bidi w:val="0"/>
        <w:spacing w:line="360" w:lineRule="auto"/>
        <w:ind w:firstLineChars="0"/>
        <w:rPr>
          <w:rFonts w:hint="default" w:ascii="Times New Roman" w:hAnsi="Times New Roman" w:eastAsia="仿宋_GB2312" w:cs="Times New Roman"/>
          <w:snapToGrid w:val="0"/>
          <w:kern w:val="0"/>
          <w:sz w:val="24"/>
          <w:highlight w:val="none"/>
        </w:rPr>
      </w:pPr>
      <w:r>
        <w:rPr>
          <w:rFonts w:hint="default" w:ascii="Times New Roman" w:hAnsi="Times New Roman" w:eastAsia="仿宋_GB2312" w:cs="Times New Roman"/>
          <w:snapToGrid w:val="0"/>
          <w:kern w:val="0"/>
          <w:sz w:val="24"/>
          <w:highlight w:val="none"/>
        </w:rPr>
        <w:t>M</w:t>
      </w:r>
      <w:r>
        <w:rPr>
          <w:rFonts w:hint="default" w:ascii="Times New Roman" w:hAnsi="Times New Roman" w:eastAsia="仿宋_GB2312" w:cs="Times New Roman"/>
          <w:sz w:val="24"/>
          <w:highlight w:val="none"/>
          <w:vertAlign w:val="subscript"/>
        </w:rPr>
        <w:t>ji</w:t>
      </w:r>
      <w:r>
        <w:rPr>
          <w:rFonts w:hint="default" w:ascii="Times New Roman" w:hAnsi="Times New Roman" w:eastAsia="仿宋_GB2312" w:cs="Times New Roman"/>
          <w:snapToGrid w:val="0"/>
          <w:kern w:val="0"/>
          <w:sz w:val="24"/>
          <w:highlight w:val="none"/>
        </w:rPr>
        <w:t>—第j预测时段、第i预测单元的土壤侵蚀模数[t/（</w:t>
      </w:r>
      <w:r>
        <w:rPr>
          <w:rFonts w:hint="default" w:ascii="Times New Roman" w:hAnsi="Times New Roman" w:eastAsia="仿宋_GB2312" w:cs="Times New Roman"/>
          <w:snapToGrid w:val="0"/>
          <w:kern w:val="0"/>
          <w:sz w:val="24"/>
          <w:highlight w:val="none"/>
          <w:lang w:eastAsia="zh-CN"/>
        </w:rPr>
        <w:t>km²</w:t>
      </w:r>
      <w:r>
        <w:rPr>
          <w:rFonts w:hint="default" w:ascii="Times New Roman" w:hAnsi="Times New Roman" w:eastAsia="仿宋_GB2312" w:cs="Times New Roman"/>
          <w:snapToGrid w:val="0"/>
          <w:kern w:val="0"/>
          <w:sz w:val="24"/>
          <w:highlight w:val="none"/>
        </w:rPr>
        <w:t>.a）]；</w:t>
      </w:r>
    </w:p>
    <w:p>
      <w:pPr>
        <w:pStyle w:val="37"/>
        <w:pageBreakBefore w:val="0"/>
        <w:kinsoku/>
        <w:wordWrap/>
        <w:bidi w:val="0"/>
        <w:spacing w:line="360" w:lineRule="auto"/>
        <w:ind w:firstLineChars="0"/>
        <w:rPr>
          <w:rFonts w:hint="default" w:ascii="Times New Roman" w:hAnsi="Times New Roman" w:eastAsia="仿宋_GB2312" w:cs="Times New Roman"/>
          <w:sz w:val="24"/>
          <w:highlight w:val="none"/>
        </w:rPr>
      </w:pPr>
      <w:r>
        <w:rPr>
          <w:rFonts w:hint="default" w:ascii="Times New Roman" w:hAnsi="Times New Roman" w:eastAsia="仿宋_GB2312" w:cs="Times New Roman"/>
          <w:snapToGrid w:val="0"/>
          <w:kern w:val="0"/>
          <w:sz w:val="24"/>
          <w:highlight w:val="none"/>
        </w:rPr>
        <w:t>T</w:t>
      </w:r>
      <w:r>
        <w:rPr>
          <w:rFonts w:hint="default" w:ascii="Times New Roman" w:hAnsi="Times New Roman" w:eastAsia="仿宋_GB2312" w:cs="Times New Roman"/>
          <w:sz w:val="24"/>
          <w:highlight w:val="none"/>
          <w:vertAlign w:val="subscript"/>
        </w:rPr>
        <w:t>ji</w:t>
      </w:r>
      <w:r>
        <w:rPr>
          <w:rFonts w:hint="default" w:ascii="Times New Roman" w:hAnsi="Times New Roman" w:eastAsia="仿宋_GB2312" w:cs="Times New Roman"/>
          <w:snapToGrid w:val="0"/>
          <w:kern w:val="0"/>
          <w:sz w:val="24"/>
          <w:highlight w:val="none"/>
        </w:rPr>
        <w:t>—第j预测时段、第i预测单元的预测时段长（a）。</w:t>
      </w:r>
    </w:p>
    <w:p>
      <w:pPr>
        <w:pStyle w:val="8"/>
        <w:keepNext/>
        <w:keepLines/>
        <w:pageBreakBefore w:val="0"/>
        <w:widowControl w:val="0"/>
        <w:numPr>
          <w:ilvl w:val="0"/>
          <w:numId w:val="0"/>
        </w:numPr>
        <w:tabs>
          <w:tab w:val="clear" w:pos="864"/>
        </w:tabs>
        <w:kinsoku/>
        <w:wordWrap/>
        <w:overflowPunct/>
        <w:topLinePunct w:val="0"/>
        <w:autoSpaceDE/>
        <w:autoSpaceDN/>
        <w:bidi w:val="0"/>
        <w:adjustRightInd w:val="0"/>
        <w:snapToGrid/>
        <w:spacing w:line="360" w:lineRule="auto"/>
        <w:ind w:leftChars="0" w:firstLine="482" w:firstLineChars="200"/>
        <w:textAlignment w:val="baseline"/>
        <w:rPr>
          <w:rFonts w:hint="default" w:ascii="Times New Roman" w:hAnsi="Times New Roman" w:eastAsia="仿宋_GB2312" w:cs="Times New Roman"/>
          <w:b/>
          <w:bCs/>
          <w:i w:val="0"/>
          <w:iCs w:val="0"/>
          <w:sz w:val="24"/>
          <w:szCs w:val="24"/>
          <w:lang w:val="en-US" w:eastAsia="zh-CN"/>
        </w:rPr>
      </w:pPr>
      <w:r>
        <w:rPr>
          <w:rFonts w:hint="default" w:ascii="Times New Roman" w:hAnsi="Times New Roman" w:eastAsia="仿宋_GB2312" w:cs="Times New Roman"/>
          <w:b/>
          <w:bCs/>
          <w:i w:val="0"/>
          <w:iCs w:val="0"/>
          <w:sz w:val="24"/>
          <w:szCs w:val="24"/>
          <w:lang w:val="en-US" w:eastAsia="zh-CN"/>
        </w:rPr>
        <w:t>4.3.4.1施工期土壤流失量预测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施工期，各预测单元地表开挖与回填，其土壤松散系数不一，密实结构发生变化，土体的凝聚力、粘度、内摩擦角度等都会发生很大变化，抗蚀能力明显下降，侵蚀强度一般较原来增大较多，侵蚀模数也相应增大。结合实地调查分析，扰动侵蚀模数根据施工工艺和施工时段的不同，在不同的时段有不同的变化，水土流失预测直接采用扰动前后土壤侵蚀模数变化、侵蚀面积和侵蚀时间来确定。经预测，</w:t>
      </w:r>
      <w:r>
        <w:rPr>
          <w:rFonts w:hint="default" w:ascii="Times New Roman" w:hAnsi="Times New Roman" w:eastAsia="仿宋_GB2312" w:cs="Times New Roman"/>
          <w:color w:val="auto"/>
          <w:sz w:val="24"/>
          <w:lang w:eastAsia="zh-CN"/>
        </w:rPr>
        <w:t>本期项目</w:t>
      </w:r>
      <w:r>
        <w:rPr>
          <w:rFonts w:hint="default" w:ascii="Times New Roman" w:hAnsi="Times New Roman" w:eastAsia="仿宋_GB2312" w:cs="Times New Roman"/>
          <w:color w:val="auto"/>
          <w:sz w:val="24"/>
        </w:rPr>
        <w:t>施工期内产生</w:t>
      </w:r>
      <w:r>
        <w:rPr>
          <w:rFonts w:hint="default" w:ascii="Times New Roman" w:hAnsi="Times New Roman" w:eastAsia="仿宋_GB2312" w:cs="Times New Roman"/>
          <w:bCs/>
          <w:color w:val="auto"/>
          <w:sz w:val="24"/>
        </w:rPr>
        <w:t>土壤</w:t>
      </w:r>
      <w:r>
        <w:rPr>
          <w:rFonts w:hint="default" w:ascii="Times New Roman" w:hAnsi="Times New Roman" w:eastAsia="仿宋_GB2312" w:cs="Times New Roman"/>
          <w:color w:val="auto"/>
          <w:sz w:val="24"/>
        </w:rPr>
        <w:t>流失总量为</w:t>
      </w:r>
      <w:r>
        <w:rPr>
          <w:rFonts w:hint="eastAsia" w:eastAsia="仿宋_GB2312" w:cs="Times New Roman"/>
          <w:color w:val="auto"/>
          <w:sz w:val="24"/>
          <w:lang w:val="en-US" w:eastAsia="zh-CN"/>
        </w:rPr>
        <w:t>1159.05</w:t>
      </w:r>
      <w:r>
        <w:rPr>
          <w:rFonts w:hint="default" w:ascii="Times New Roman" w:hAnsi="Times New Roman" w:eastAsia="仿宋_GB2312" w:cs="Times New Roman"/>
          <w:color w:val="auto"/>
          <w:sz w:val="24"/>
        </w:rPr>
        <w:t>t，新增</w:t>
      </w:r>
      <w:r>
        <w:rPr>
          <w:rFonts w:hint="default" w:ascii="Times New Roman" w:hAnsi="Times New Roman" w:eastAsia="仿宋_GB2312" w:cs="Times New Roman"/>
          <w:bCs/>
          <w:color w:val="auto"/>
          <w:sz w:val="24"/>
        </w:rPr>
        <w:t>土壤</w:t>
      </w:r>
      <w:r>
        <w:rPr>
          <w:rFonts w:hint="default" w:ascii="Times New Roman" w:hAnsi="Times New Roman" w:eastAsia="仿宋_GB2312" w:cs="Times New Roman"/>
          <w:color w:val="auto"/>
          <w:sz w:val="24"/>
        </w:rPr>
        <w:t>流失总量为</w:t>
      </w:r>
      <w:r>
        <w:rPr>
          <w:rFonts w:hint="eastAsia" w:eastAsia="仿宋_GB2312" w:cs="Times New Roman"/>
          <w:color w:val="auto"/>
          <w:sz w:val="24"/>
          <w:lang w:val="en-US" w:eastAsia="zh-CN"/>
        </w:rPr>
        <w:t>1043.14</w:t>
      </w:r>
      <w:r>
        <w:rPr>
          <w:rFonts w:hint="default" w:ascii="Times New Roman" w:hAnsi="Times New Roman" w:eastAsia="仿宋_GB2312" w:cs="Times New Roman"/>
          <w:color w:val="auto"/>
          <w:sz w:val="24"/>
        </w:rPr>
        <w:t>t。</w:t>
      </w:r>
    </w:p>
    <w:p>
      <w:pPr>
        <w:pStyle w:val="16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val="en-US" w:eastAsia="zh-CN"/>
        </w:rPr>
      </w:pPr>
      <w:r>
        <w:rPr>
          <w:rFonts w:hint="default" w:ascii="Times New Roman" w:hAnsi="Times New Roman" w:eastAsia="微软雅黑" w:cs="Times New Roman"/>
          <w:b w:val="0"/>
          <w:bCs w:val="0"/>
          <w:sz w:val="21"/>
          <w:szCs w:val="21"/>
          <w:highlight w:val="none"/>
          <w:lang w:val="en-US" w:eastAsia="zh-CN"/>
        </w:rPr>
        <w:t>表4-4  施工期土壤流失量统计表</w:t>
      </w:r>
    </w:p>
    <w:tbl>
      <w:tblPr>
        <w:tblStyle w:val="88"/>
        <w:tblW w:w="4998"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432"/>
        <w:gridCol w:w="1023"/>
        <w:gridCol w:w="1036"/>
        <w:gridCol w:w="777"/>
        <w:gridCol w:w="900"/>
        <w:gridCol w:w="982"/>
        <w:gridCol w:w="873"/>
        <w:gridCol w:w="934"/>
      </w:tblGrid>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15" w:type="pct"/>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预测单元</w:t>
            </w:r>
          </w:p>
        </w:tc>
        <w:tc>
          <w:tcPr>
            <w:tcW w:w="59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水土流失面积(m</w:t>
            </w:r>
            <w:r>
              <w:rPr>
                <w:rFonts w:hint="default" w:ascii="Times New Roman" w:hAnsi="Times New Roman" w:eastAsia="仿宋_GB2312" w:cs="Times New Roman"/>
                <w:i w:val="0"/>
                <w:iCs w:val="0"/>
                <w:color w:val="000000"/>
                <w:kern w:val="0"/>
                <w:sz w:val="20"/>
                <w:szCs w:val="20"/>
                <w:u w:val="none"/>
                <w:vertAlign w:val="superscript"/>
                <w:lang w:val="en-US" w:eastAsia="zh-CN" w:bidi="ar"/>
              </w:rPr>
              <w:t>2</w:t>
            </w:r>
            <w:r>
              <w:rPr>
                <w:rFonts w:hint="default" w:ascii="Times New Roman" w:hAnsi="Times New Roman" w:eastAsia="仿宋_GB2312" w:cs="Times New Roman"/>
                <w:i w:val="0"/>
                <w:iCs w:val="0"/>
                <w:color w:val="000000"/>
                <w:kern w:val="0"/>
                <w:sz w:val="20"/>
                <w:szCs w:val="20"/>
                <w:u w:val="none"/>
                <w:lang w:val="en-US" w:eastAsia="zh-CN" w:bidi="ar"/>
              </w:rPr>
              <w:t>)</w:t>
            </w:r>
          </w:p>
        </w:tc>
        <w:tc>
          <w:tcPr>
            <w:tcW w:w="60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侵蚀模数(t/km</w:t>
            </w:r>
            <w:r>
              <w:rPr>
                <w:rFonts w:hint="default" w:ascii="Times New Roman" w:hAnsi="Times New Roman" w:eastAsia="仿宋_GB2312" w:cs="Times New Roman"/>
                <w:i w:val="0"/>
                <w:iCs w:val="0"/>
                <w:color w:val="000000"/>
                <w:kern w:val="0"/>
                <w:sz w:val="20"/>
                <w:szCs w:val="20"/>
                <w:u w:val="none"/>
                <w:vertAlign w:val="superscript"/>
                <w:lang w:val="en-US" w:eastAsia="zh-CN" w:bidi="ar"/>
              </w:rPr>
              <w:t>2</w:t>
            </w:r>
            <w:r>
              <w:rPr>
                <w:rFonts w:hint="default" w:ascii="Times New Roman" w:hAnsi="Times New Roman" w:eastAsia="仿宋_GB2312" w:cs="Times New Roman"/>
                <w:i w:val="0"/>
                <w:iCs w:val="0"/>
                <w:color w:val="000000"/>
                <w:kern w:val="0"/>
                <w:sz w:val="20"/>
                <w:szCs w:val="20"/>
                <w:u w:val="none"/>
                <w:lang w:val="en-US" w:eastAsia="zh-CN" w:bidi="ar"/>
              </w:rPr>
              <w:t>.a)</w:t>
            </w:r>
          </w:p>
        </w:tc>
        <w:tc>
          <w:tcPr>
            <w:tcW w:w="45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预测时段(a)</w:t>
            </w:r>
          </w:p>
        </w:tc>
        <w:tc>
          <w:tcPr>
            <w:tcW w:w="521"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土壤流失量(t)</w:t>
            </w:r>
          </w:p>
        </w:tc>
        <w:tc>
          <w:tcPr>
            <w:tcW w:w="5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背景值(t/km</w:t>
            </w:r>
            <w:r>
              <w:rPr>
                <w:rFonts w:hint="default" w:ascii="Times New Roman" w:hAnsi="Times New Roman" w:eastAsia="仿宋_GB2312" w:cs="Times New Roman"/>
                <w:i w:val="0"/>
                <w:iCs w:val="0"/>
                <w:color w:val="000000"/>
                <w:kern w:val="0"/>
                <w:sz w:val="20"/>
                <w:szCs w:val="20"/>
                <w:u w:val="none"/>
                <w:vertAlign w:val="superscript"/>
                <w:lang w:val="en-US" w:eastAsia="zh-CN" w:bidi="ar"/>
              </w:rPr>
              <w:t>2</w:t>
            </w:r>
            <w:r>
              <w:rPr>
                <w:rFonts w:hint="default" w:ascii="Times New Roman" w:hAnsi="Times New Roman" w:eastAsia="仿宋_GB2312" w:cs="Times New Roman"/>
                <w:i w:val="0"/>
                <w:iCs w:val="0"/>
                <w:color w:val="000000"/>
                <w:kern w:val="0"/>
                <w:sz w:val="20"/>
                <w:szCs w:val="20"/>
                <w:u w:val="none"/>
                <w:lang w:val="en-US" w:eastAsia="zh-CN" w:bidi="ar"/>
              </w:rPr>
              <w:t>.a)</w:t>
            </w:r>
          </w:p>
        </w:tc>
        <w:tc>
          <w:tcPr>
            <w:tcW w:w="5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原地貌土壤流失量（t）</w:t>
            </w:r>
          </w:p>
        </w:tc>
        <w:tc>
          <w:tcPr>
            <w:tcW w:w="541"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新增土壤流失量（t)</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5" w:type="pct"/>
            <w:vMerge w:val="restart"/>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工程建设区</w:t>
            </w:r>
          </w:p>
        </w:tc>
        <w:tc>
          <w:tcPr>
            <w:tcW w:w="83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sz w:val="20"/>
                <w:szCs w:val="20"/>
                <w:lang w:val="en-US" w:eastAsia="zh-CN"/>
              </w:rPr>
              <w:t>建构筑物区</w:t>
            </w:r>
          </w:p>
        </w:tc>
        <w:tc>
          <w:tcPr>
            <w:tcW w:w="59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000000"/>
                <w:sz w:val="20"/>
                <w:szCs w:val="20"/>
                <w:u w:val="none"/>
              </w:rPr>
            </w:pPr>
            <w:r>
              <w:rPr>
                <w:rFonts w:hint="eastAsia" w:eastAsia="仿宋_GB2312" w:cs="Times New Roman"/>
                <w:sz w:val="20"/>
                <w:szCs w:val="20"/>
                <w:lang w:val="en-US" w:eastAsia="zh-CN"/>
              </w:rPr>
              <w:t>80041.76</w:t>
            </w:r>
          </w:p>
        </w:tc>
        <w:tc>
          <w:tcPr>
            <w:tcW w:w="60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sz w:val="20"/>
                <w:szCs w:val="20"/>
                <w:u w:val="none"/>
                <w:lang w:val="en-US"/>
              </w:rPr>
            </w:pPr>
            <w:r>
              <w:rPr>
                <w:rFonts w:hint="eastAsia" w:eastAsia="仿宋_GB2312" w:cs="Times New Roman"/>
                <w:i w:val="0"/>
                <w:iCs w:val="0"/>
                <w:color w:val="000000"/>
                <w:kern w:val="0"/>
                <w:sz w:val="20"/>
                <w:szCs w:val="20"/>
                <w:u w:val="none"/>
                <w:lang w:val="en-US" w:eastAsia="zh-CN" w:bidi="ar"/>
              </w:rPr>
              <w:t>4000</w:t>
            </w:r>
          </w:p>
        </w:tc>
        <w:tc>
          <w:tcPr>
            <w:tcW w:w="7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000000"/>
                <w:sz w:val="20"/>
                <w:szCs w:val="20"/>
                <w:highlight w:val="yellow"/>
                <w:u w:val="none"/>
                <w:lang w:val="en-US" w:eastAsia="zh-CN"/>
              </w:rPr>
            </w:pPr>
            <w:r>
              <w:rPr>
                <w:rFonts w:hint="eastAsia" w:eastAsia="仿宋_GB2312" w:cs="Times New Roman"/>
                <w:sz w:val="21"/>
                <w:szCs w:val="21"/>
                <w:lang w:val="en-US" w:eastAsia="zh-CN"/>
              </w:rPr>
              <w:t>1.50</w:t>
            </w:r>
          </w:p>
        </w:tc>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仿宋_GB2312" w:cs="Times New Roman"/>
                <w:sz w:val="20"/>
                <w:szCs w:val="20"/>
                <w:lang w:val="en-US" w:eastAsia="zh-CN"/>
              </w:rPr>
            </w:pPr>
            <w:r>
              <w:rPr>
                <w:rFonts w:hint="default" w:eastAsia="仿宋_GB2312" w:cs="Times New Roman"/>
                <w:sz w:val="20"/>
                <w:szCs w:val="20"/>
                <w:lang w:val="en-US" w:eastAsia="zh-CN"/>
              </w:rPr>
              <w:t xml:space="preserve">480.25 </w:t>
            </w:r>
          </w:p>
        </w:tc>
        <w:tc>
          <w:tcPr>
            <w:tcW w:w="5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仿宋_GB2312" w:cs="Times New Roman"/>
                <w:sz w:val="20"/>
                <w:szCs w:val="20"/>
                <w:lang w:val="en-US" w:eastAsia="zh-CN"/>
              </w:rPr>
            </w:pPr>
            <w:r>
              <w:rPr>
                <w:rFonts w:hint="default" w:eastAsia="仿宋_GB2312" w:cs="Times New Roman"/>
                <w:sz w:val="20"/>
                <w:szCs w:val="20"/>
                <w:lang w:val="en-US" w:eastAsia="zh-CN"/>
              </w:rPr>
              <w:t>400</w:t>
            </w:r>
          </w:p>
        </w:tc>
        <w:tc>
          <w:tcPr>
            <w:tcW w:w="87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仿宋_GB2312" w:cs="Times New Roman"/>
                <w:sz w:val="20"/>
                <w:szCs w:val="20"/>
                <w:lang w:val="en-US" w:eastAsia="zh-CN"/>
              </w:rPr>
            </w:pPr>
            <w:r>
              <w:rPr>
                <w:rFonts w:hint="default" w:eastAsia="仿宋_GB2312" w:cs="Times New Roman"/>
                <w:sz w:val="20"/>
                <w:szCs w:val="20"/>
                <w:lang w:val="en-US" w:eastAsia="zh-CN"/>
              </w:rPr>
              <w:t xml:space="preserve">48.03 </w:t>
            </w:r>
          </w:p>
        </w:tc>
        <w:tc>
          <w:tcPr>
            <w:tcW w:w="93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仿宋_GB2312" w:cs="Times New Roman"/>
                <w:sz w:val="20"/>
                <w:szCs w:val="20"/>
                <w:lang w:val="en-US" w:eastAsia="zh-CN"/>
              </w:rPr>
            </w:pPr>
            <w:r>
              <w:rPr>
                <w:rFonts w:hint="default" w:eastAsia="仿宋_GB2312" w:cs="Times New Roman"/>
                <w:sz w:val="20"/>
                <w:szCs w:val="20"/>
                <w:lang w:val="en-US" w:eastAsia="zh-CN"/>
              </w:rPr>
              <w:t xml:space="preserve">432.23 </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5" w:type="pct"/>
            <w:vMerge w:val="continue"/>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p>
        </w:tc>
        <w:tc>
          <w:tcPr>
            <w:tcW w:w="83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sz w:val="20"/>
                <w:szCs w:val="20"/>
                <w:lang w:val="en-US" w:eastAsia="zh-CN"/>
              </w:rPr>
              <w:t>道路及硬化区</w:t>
            </w:r>
          </w:p>
        </w:tc>
        <w:tc>
          <w:tcPr>
            <w:tcW w:w="59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000000"/>
                <w:kern w:val="0"/>
                <w:sz w:val="20"/>
                <w:szCs w:val="20"/>
                <w:u w:val="none"/>
                <w:lang w:val="en-US" w:eastAsia="zh-CN" w:bidi="ar"/>
              </w:rPr>
            </w:pPr>
            <w:r>
              <w:rPr>
                <w:rFonts w:hint="eastAsia" w:eastAsia="仿宋_GB2312" w:cs="Times New Roman"/>
                <w:sz w:val="20"/>
                <w:szCs w:val="20"/>
                <w:lang w:val="en-US" w:eastAsia="zh-CN"/>
              </w:rPr>
              <w:t>79857.96</w:t>
            </w:r>
          </w:p>
        </w:tc>
        <w:tc>
          <w:tcPr>
            <w:tcW w:w="60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eastAsia" w:eastAsia="仿宋_GB2312" w:cs="Times New Roman"/>
                <w:i w:val="0"/>
                <w:iCs w:val="0"/>
                <w:color w:val="000000"/>
                <w:kern w:val="0"/>
                <w:sz w:val="20"/>
                <w:szCs w:val="20"/>
                <w:u w:val="none"/>
                <w:lang w:val="en-US" w:eastAsia="zh-CN" w:bidi="ar"/>
              </w:rPr>
              <w:t>4000</w:t>
            </w:r>
          </w:p>
        </w:tc>
        <w:tc>
          <w:tcPr>
            <w:tcW w:w="7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000000"/>
                <w:kern w:val="0"/>
                <w:sz w:val="20"/>
                <w:szCs w:val="20"/>
                <w:highlight w:val="yellow"/>
                <w:u w:val="none"/>
                <w:lang w:val="en-US" w:eastAsia="zh-CN" w:bidi="ar"/>
              </w:rPr>
            </w:pPr>
            <w:r>
              <w:rPr>
                <w:rFonts w:hint="eastAsia" w:eastAsia="仿宋_GB2312" w:cs="Times New Roman"/>
                <w:sz w:val="21"/>
                <w:szCs w:val="21"/>
                <w:lang w:val="en-US" w:eastAsia="zh-CN"/>
              </w:rPr>
              <w:t>2.0</w:t>
            </w:r>
          </w:p>
        </w:tc>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仿宋_GB2312" w:cs="Times New Roman"/>
                <w:sz w:val="20"/>
                <w:szCs w:val="20"/>
                <w:lang w:val="en-US" w:eastAsia="zh-CN"/>
              </w:rPr>
            </w:pPr>
            <w:r>
              <w:rPr>
                <w:rFonts w:hint="default" w:eastAsia="仿宋_GB2312" w:cs="Times New Roman"/>
                <w:sz w:val="20"/>
                <w:szCs w:val="20"/>
                <w:lang w:val="en-US" w:eastAsia="zh-CN"/>
              </w:rPr>
              <w:t xml:space="preserve">638.86 </w:t>
            </w:r>
          </w:p>
        </w:tc>
        <w:tc>
          <w:tcPr>
            <w:tcW w:w="5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仿宋_GB2312" w:cs="Times New Roman"/>
                <w:sz w:val="20"/>
                <w:szCs w:val="20"/>
                <w:lang w:val="en-US" w:eastAsia="zh-CN"/>
              </w:rPr>
            </w:pPr>
            <w:r>
              <w:rPr>
                <w:rFonts w:hint="default" w:eastAsia="仿宋_GB2312" w:cs="Times New Roman"/>
                <w:sz w:val="20"/>
                <w:szCs w:val="20"/>
                <w:lang w:val="en-US" w:eastAsia="zh-CN"/>
              </w:rPr>
              <w:t>400</w:t>
            </w:r>
          </w:p>
        </w:tc>
        <w:tc>
          <w:tcPr>
            <w:tcW w:w="87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仿宋_GB2312" w:cs="Times New Roman"/>
                <w:sz w:val="20"/>
                <w:szCs w:val="20"/>
                <w:lang w:val="en-US" w:eastAsia="zh-CN"/>
              </w:rPr>
            </w:pPr>
            <w:r>
              <w:rPr>
                <w:rFonts w:hint="default" w:eastAsia="仿宋_GB2312" w:cs="Times New Roman"/>
                <w:sz w:val="20"/>
                <w:szCs w:val="20"/>
                <w:lang w:val="en-US" w:eastAsia="zh-CN"/>
              </w:rPr>
              <w:t xml:space="preserve">63.89 </w:t>
            </w:r>
          </w:p>
        </w:tc>
        <w:tc>
          <w:tcPr>
            <w:tcW w:w="93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仿宋_GB2312" w:cs="Times New Roman"/>
                <w:sz w:val="20"/>
                <w:szCs w:val="20"/>
                <w:lang w:val="en-US" w:eastAsia="zh-CN"/>
              </w:rPr>
            </w:pPr>
            <w:r>
              <w:rPr>
                <w:rFonts w:hint="default" w:eastAsia="仿宋_GB2312" w:cs="Times New Roman"/>
                <w:sz w:val="20"/>
                <w:szCs w:val="20"/>
                <w:lang w:val="en-US" w:eastAsia="zh-CN"/>
              </w:rPr>
              <w:t xml:space="preserve">574.98 </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5" w:type="pct"/>
            <w:vMerge w:val="continue"/>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p>
        </w:tc>
        <w:tc>
          <w:tcPr>
            <w:tcW w:w="83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sz w:val="20"/>
                <w:szCs w:val="20"/>
                <w:lang w:val="en-US" w:eastAsia="zh-CN"/>
              </w:rPr>
              <w:t>绿化区</w:t>
            </w:r>
          </w:p>
        </w:tc>
        <w:tc>
          <w:tcPr>
            <w:tcW w:w="59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000000"/>
                <w:kern w:val="0"/>
                <w:sz w:val="20"/>
                <w:szCs w:val="20"/>
                <w:u w:val="none"/>
                <w:lang w:val="en-US" w:eastAsia="zh-CN" w:bidi="ar"/>
              </w:rPr>
            </w:pPr>
            <w:r>
              <w:rPr>
                <w:rFonts w:hint="eastAsia" w:eastAsia="仿宋_GB2312" w:cs="Times New Roman"/>
                <w:sz w:val="20"/>
                <w:szCs w:val="20"/>
                <w:lang w:val="en-US" w:eastAsia="zh-CN"/>
              </w:rPr>
              <w:t>39933.28</w:t>
            </w:r>
          </w:p>
        </w:tc>
        <w:tc>
          <w:tcPr>
            <w:tcW w:w="60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4000</w:t>
            </w:r>
          </w:p>
        </w:tc>
        <w:tc>
          <w:tcPr>
            <w:tcW w:w="7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000000"/>
                <w:kern w:val="0"/>
                <w:sz w:val="20"/>
                <w:szCs w:val="20"/>
                <w:highlight w:val="yellow"/>
                <w:u w:val="none"/>
                <w:lang w:val="en-US" w:eastAsia="zh-CN" w:bidi="ar"/>
              </w:rPr>
            </w:pPr>
            <w:r>
              <w:rPr>
                <w:rFonts w:hint="eastAsia" w:eastAsia="仿宋_GB2312" w:cs="Times New Roman"/>
                <w:sz w:val="21"/>
                <w:szCs w:val="21"/>
                <w:lang w:val="en-US" w:eastAsia="zh-CN"/>
              </w:rPr>
              <w:t>0.25</w:t>
            </w:r>
          </w:p>
        </w:tc>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仿宋_GB2312" w:cs="Times New Roman"/>
                <w:sz w:val="20"/>
                <w:szCs w:val="20"/>
                <w:lang w:val="en-US" w:eastAsia="zh-CN"/>
              </w:rPr>
            </w:pPr>
            <w:r>
              <w:rPr>
                <w:rFonts w:hint="default" w:eastAsia="仿宋_GB2312" w:cs="Times New Roman"/>
                <w:sz w:val="20"/>
                <w:szCs w:val="20"/>
                <w:lang w:val="en-US" w:eastAsia="zh-CN"/>
              </w:rPr>
              <w:t xml:space="preserve">39.93 </w:t>
            </w:r>
          </w:p>
        </w:tc>
        <w:tc>
          <w:tcPr>
            <w:tcW w:w="5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仿宋_GB2312" w:cs="Times New Roman"/>
                <w:sz w:val="20"/>
                <w:szCs w:val="20"/>
                <w:lang w:val="en-US" w:eastAsia="zh-CN"/>
              </w:rPr>
            </w:pPr>
            <w:r>
              <w:rPr>
                <w:rFonts w:hint="default" w:eastAsia="仿宋_GB2312" w:cs="Times New Roman"/>
                <w:sz w:val="20"/>
                <w:szCs w:val="20"/>
                <w:lang w:val="en-US" w:eastAsia="zh-CN"/>
              </w:rPr>
              <w:t>400</w:t>
            </w:r>
          </w:p>
        </w:tc>
        <w:tc>
          <w:tcPr>
            <w:tcW w:w="87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仿宋_GB2312" w:cs="Times New Roman"/>
                <w:sz w:val="20"/>
                <w:szCs w:val="20"/>
                <w:lang w:val="en-US" w:eastAsia="zh-CN"/>
              </w:rPr>
            </w:pPr>
            <w:r>
              <w:rPr>
                <w:rFonts w:hint="default" w:eastAsia="仿宋_GB2312" w:cs="Times New Roman"/>
                <w:sz w:val="20"/>
                <w:szCs w:val="20"/>
                <w:lang w:val="en-US" w:eastAsia="zh-CN"/>
              </w:rPr>
              <w:t xml:space="preserve">3.99 </w:t>
            </w:r>
          </w:p>
        </w:tc>
        <w:tc>
          <w:tcPr>
            <w:tcW w:w="93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仿宋_GB2312" w:cs="Times New Roman"/>
                <w:sz w:val="20"/>
                <w:szCs w:val="20"/>
                <w:lang w:val="en-US" w:eastAsia="zh-CN"/>
              </w:rPr>
            </w:pPr>
            <w:r>
              <w:rPr>
                <w:rFonts w:hint="default" w:eastAsia="仿宋_GB2312" w:cs="Times New Roman"/>
                <w:sz w:val="20"/>
                <w:szCs w:val="20"/>
                <w:lang w:val="en-US" w:eastAsia="zh-CN"/>
              </w:rPr>
              <w:t xml:space="preserve">35.94 </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15" w:type="pct"/>
            <w:gridSpan w:val="2"/>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合计</w:t>
            </w:r>
          </w:p>
        </w:tc>
        <w:tc>
          <w:tcPr>
            <w:tcW w:w="59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lang w:val="en-US" w:eastAsia="zh-CN"/>
              </w:rPr>
            </w:pPr>
            <w:r>
              <w:rPr>
                <w:rFonts w:hint="eastAsia" w:eastAsia="仿宋_GB2312" w:cs="Times New Roman"/>
                <w:sz w:val="20"/>
                <w:szCs w:val="20"/>
                <w:lang w:val="en-US" w:eastAsia="zh-CN"/>
              </w:rPr>
              <w:t>199833</w:t>
            </w:r>
          </w:p>
        </w:tc>
        <w:tc>
          <w:tcPr>
            <w:tcW w:w="60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p>
        </w:tc>
        <w:tc>
          <w:tcPr>
            <w:tcW w:w="45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p>
        </w:tc>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仿宋_GB2312" w:cs="Times New Roman"/>
                <w:sz w:val="20"/>
                <w:szCs w:val="20"/>
                <w:lang w:val="en-US" w:eastAsia="zh-CN"/>
              </w:rPr>
            </w:pPr>
            <w:r>
              <w:rPr>
                <w:rFonts w:hint="default" w:eastAsia="仿宋_GB2312" w:cs="Times New Roman"/>
                <w:sz w:val="20"/>
                <w:szCs w:val="20"/>
                <w:lang w:val="en-US" w:eastAsia="zh-CN"/>
              </w:rPr>
              <w:t xml:space="preserve">1159.05 </w:t>
            </w:r>
          </w:p>
        </w:tc>
        <w:tc>
          <w:tcPr>
            <w:tcW w:w="5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仿宋_GB2312" w:cs="Times New Roman"/>
                <w:sz w:val="20"/>
                <w:szCs w:val="20"/>
                <w:lang w:val="en-US" w:eastAsia="zh-CN"/>
              </w:rPr>
            </w:pPr>
          </w:p>
        </w:tc>
        <w:tc>
          <w:tcPr>
            <w:tcW w:w="87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仿宋_GB2312" w:cs="Times New Roman"/>
                <w:sz w:val="20"/>
                <w:szCs w:val="20"/>
                <w:lang w:val="en-US" w:eastAsia="zh-CN"/>
              </w:rPr>
            </w:pPr>
            <w:r>
              <w:rPr>
                <w:rFonts w:hint="default" w:eastAsia="仿宋_GB2312" w:cs="Times New Roman"/>
                <w:sz w:val="20"/>
                <w:szCs w:val="20"/>
                <w:lang w:val="en-US" w:eastAsia="zh-CN"/>
              </w:rPr>
              <w:t xml:space="preserve">115.90 </w:t>
            </w:r>
          </w:p>
        </w:tc>
        <w:tc>
          <w:tcPr>
            <w:tcW w:w="93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仿宋_GB2312" w:cs="Times New Roman"/>
                <w:sz w:val="20"/>
                <w:szCs w:val="20"/>
                <w:lang w:val="en-US" w:eastAsia="zh-CN"/>
              </w:rPr>
            </w:pPr>
            <w:r>
              <w:rPr>
                <w:rFonts w:hint="default" w:eastAsia="仿宋_GB2312" w:cs="Times New Roman"/>
                <w:sz w:val="20"/>
                <w:szCs w:val="20"/>
                <w:lang w:val="en-US" w:eastAsia="zh-CN"/>
              </w:rPr>
              <w:t xml:space="preserve">1043.14 </w:t>
            </w:r>
          </w:p>
        </w:tc>
      </w:tr>
    </w:tbl>
    <w:p>
      <w:pPr>
        <w:pStyle w:val="8"/>
        <w:keepNext/>
        <w:keepLines/>
        <w:pageBreakBefore w:val="0"/>
        <w:widowControl w:val="0"/>
        <w:numPr>
          <w:ilvl w:val="0"/>
          <w:numId w:val="0"/>
        </w:numPr>
        <w:tabs>
          <w:tab w:val="clear" w:pos="864"/>
        </w:tabs>
        <w:kinsoku/>
        <w:wordWrap/>
        <w:overflowPunct/>
        <w:topLinePunct w:val="0"/>
        <w:autoSpaceDE/>
        <w:autoSpaceDN/>
        <w:bidi w:val="0"/>
        <w:adjustRightInd/>
        <w:snapToGrid/>
        <w:spacing w:line="360" w:lineRule="auto"/>
        <w:ind w:leftChars="0" w:firstLine="482" w:firstLineChars="200"/>
        <w:jc w:val="both"/>
        <w:textAlignment w:val="baseline"/>
        <w:rPr>
          <w:rFonts w:hint="default" w:ascii="Times New Roman" w:hAnsi="Times New Roman" w:eastAsia="仿宋_GB2312" w:cs="Times New Roman"/>
          <w:b/>
          <w:bCs/>
          <w:i w:val="0"/>
          <w:iCs w:val="0"/>
          <w:sz w:val="24"/>
          <w:szCs w:val="24"/>
          <w:lang w:val="en-US" w:eastAsia="zh-CN"/>
        </w:rPr>
      </w:pPr>
      <w:r>
        <w:rPr>
          <w:rFonts w:hint="default" w:ascii="Times New Roman" w:hAnsi="Times New Roman" w:eastAsia="仿宋_GB2312" w:cs="Times New Roman"/>
          <w:b/>
          <w:bCs/>
          <w:i w:val="0"/>
          <w:iCs w:val="0"/>
          <w:sz w:val="24"/>
          <w:szCs w:val="24"/>
          <w:lang w:val="en-US" w:eastAsia="zh-CN"/>
        </w:rPr>
        <w:t>4.3.4.2自然恢复期土壤流失量预测</w:t>
      </w:r>
    </w:p>
    <w:p>
      <w:pPr>
        <w:pStyle w:val="164"/>
        <w:pageBreakBefore w:val="0"/>
        <w:widowControl w:val="0"/>
        <w:kinsoku/>
        <w:wordWrap/>
        <w:overflowPunct/>
        <w:topLinePunct w:val="0"/>
        <w:autoSpaceDE/>
        <w:autoSpaceDN/>
        <w:bidi w:val="0"/>
        <w:adjustRightInd/>
        <w:snapToGrid/>
        <w:spacing w:line="360" w:lineRule="auto"/>
        <w:ind w:firstLine="480"/>
        <w:jc w:val="both"/>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color w:val="auto"/>
          <w:sz w:val="24"/>
          <w:szCs w:val="24"/>
        </w:rPr>
        <w:t>自然恢复期水土流失预测，是指在自然恢复期内产生的水土流失量预测。施工后期，各种扰动地表的活动基本停止，但裸露的地表在植被没有完全发挥作用之前，水土流失仍较严重。自然恢复期各区产生的</w:t>
      </w:r>
      <w:r>
        <w:rPr>
          <w:rFonts w:hint="default" w:ascii="Times New Roman" w:hAnsi="Times New Roman" w:eastAsia="仿宋_GB2312" w:cs="Times New Roman"/>
          <w:bCs/>
          <w:color w:val="auto"/>
          <w:sz w:val="24"/>
          <w:szCs w:val="24"/>
        </w:rPr>
        <w:t>土壤</w:t>
      </w:r>
      <w:r>
        <w:rPr>
          <w:rFonts w:hint="default" w:ascii="Times New Roman" w:hAnsi="Times New Roman" w:eastAsia="仿宋_GB2312" w:cs="Times New Roman"/>
          <w:color w:val="auto"/>
          <w:sz w:val="24"/>
          <w:szCs w:val="24"/>
        </w:rPr>
        <w:t>流失总量为</w:t>
      </w:r>
      <w:r>
        <w:rPr>
          <w:rFonts w:hint="eastAsia" w:ascii="Times New Roman" w:hAnsi="Times New Roman" w:eastAsia="仿宋_GB2312" w:cs="Times New Roman"/>
          <w:color w:val="auto"/>
          <w:sz w:val="24"/>
          <w:szCs w:val="24"/>
          <w:lang w:val="en-US" w:eastAsia="zh-CN"/>
        </w:rPr>
        <w:t>275.54</w:t>
      </w:r>
      <w:r>
        <w:rPr>
          <w:rFonts w:hint="default" w:ascii="Times New Roman" w:hAnsi="Times New Roman" w:eastAsia="仿宋_GB2312" w:cs="Times New Roman"/>
          <w:color w:val="auto"/>
          <w:sz w:val="24"/>
          <w:szCs w:val="24"/>
        </w:rPr>
        <w:t>t，新增</w:t>
      </w:r>
      <w:r>
        <w:rPr>
          <w:rFonts w:hint="default" w:ascii="Times New Roman" w:hAnsi="Times New Roman" w:eastAsia="仿宋_GB2312" w:cs="Times New Roman"/>
          <w:bCs/>
          <w:color w:val="auto"/>
          <w:sz w:val="24"/>
          <w:szCs w:val="24"/>
        </w:rPr>
        <w:t>土壤</w:t>
      </w:r>
      <w:r>
        <w:rPr>
          <w:rFonts w:hint="default" w:ascii="Times New Roman" w:hAnsi="Times New Roman" w:eastAsia="仿宋_GB2312" w:cs="Times New Roman"/>
          <w:color w:val="auto"/>
          <w:sz w:val="24"/>
          <w:szCs w:val="24"/>
        </w:rPr>
        <w:t>流失总量为</w:t>
      </w:r>
      <w:r>
        <w:rPr>
          <w:rFonts w:hint="eastAsia" w:ascii="Times New Roman" w:hAnsi="Times New Roman" w:eastAsia="仿宋_GB2312" w:cs="Times New Roman"/>
          <w:color w:val="auto"/>
          <w:sz w:val="24"/>
          <w:szCs w:val="24"/>
          <w:lang w:val="en-US" w:eastAsia="zh-CN"/>
        </w:rPr>
        <w:t>227.62t</w:t>
      </w:r>
      <w:r>
        <w:rPr>
          <w:rFonts w:hint="default" w:ascii="Times New Roman" w:hAnsi="Times New Roman" w:eastAsia="仿宋_GB2312" w:cs="Times New Roman"/>
          <w:color w:val="auto"/>
          <w:sz w:val="24"/>
          <w:szCs w:val="24"/>
        </w:rPr>
        <w:t>。</w:t>
      </w:r>
    </w:p>
    <w:p>
      <w:pPr>
        <w:pStyle w:val="16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val="zh-CN" w:eastAsia="zh-CN"/>
        </w:rPr>
      </w:pPr>
    </w:p>
    <w:p>
      <w:pPr>
        <w:pStyle w:val="16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val="zh-CN" w:eastAsia="zh-CN"/>
        </w:rPr>
      </w:pPr>
    </w:p>
    <w:p>
      <w:pPr>
        <w:pStyle w:val="16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val="zh-CN" w:eastAsia="zh-CN"/>
        </w:rPr>
      </w:pPr>
    </w:p>
    <w:p>
      <w:pPr>
        <w:pStyle w:val="16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val="zh-CN" w:eastAsia="zh-CN"/>
        </w:rPr>
      </w:pPr>
      <w:r>
        <w:rPr>
          <w:rFonts w:hint="default" w:ascii="Times New Roman" w:hAnsi="Times New Roman" w:eastAsia="微软雅黑" w:cs="Times New Roman"/>
          <w:b w:val="0"/>
          <w:bCs w:val="0"/>
          <w:sz w:val="21"/>
          <w:szCs w:val="21"/>
          <w:highlight w:val="none"/>
          <w:lang w:val="zh-CN" w:eastAsia="zh-CN"/>
        </w:rPr>
        <w:t>表4-</w:t>
      </w:r>
      <w:r>
        <w:rPr>
          <w:rFonts w:hint="default" w:ascii="Times New Roman" w:hAnsi="Times New Roman" w:eastAsia="微软雅黑" w:cs="Times New Roman"/>
          <w:b w:val="0"/>
          <w:bCs w:val="0"/>
          <w:sz w:val="21"/>
          <w:szCs w:val="21"/>
          <w:highlight w:val="none"/>
          <w:lang w:val="en-US" w:eastAsia="zh-CN"/>
        </w:rPr>
        <w:t>5</w:t>
      </w:r>
      <w:r>
        <w:rPr>
          <w:rFonts w:hint="default" w:ascii="Times New Roman" w:hAnsi="Times New Roman" w:eastAsia="微软雅黑" w:cs="Times New Roman"/>
          <w:b w:val="0"/>
          <w:bCs w:val="0"/>
          <w:sz w:val="21"/>
          <w:szCs w:val="21"/>
          <w:highlight w:val="none"/>
          <w:lang w:val="zh-CN" w:eastAsia="zh-CN"/>
        </w:rPr>
        <w:t xml:space="preserve"> </w:t>
      </w:r>
      <w:r>
        <w:rPr>
          <w:rFonts w:hint="default" w:ascii="Times New Roman" w:hAnsi="Times New Roman" w:eastAsia="微软雅黑" w:cs="Times New Roman"/>
          <w:b w:val="0"/>
          <w:bCs w:val="0"/>
          <w:sz w:val="21"/>
          <w:szCs w:val="21"/>
          <w:highlight w:val="none"/>
          <w:lang w:val="en-US" w:eastAsia="zh-CN"/>
        </w:rPr>
        <w:t xml:space="preserve"> </w:t>
      </w:r>
      <w:r>
        <w:rPr>
          <w:rFonts w:hint="default" w:ascii="Times New Roman" w:hAnsi="Times New Roman" w:eastAsia="微软雅黑" w:cs="Times New Roman"/>
          <w:b w:val="0"/>
          <w:bCs w:val="0"/>
          <w:sz w:val="21"/>
          <w:szCs w:val="21"/>
          <w:highlight w:val="none"/>
          <w:lang w:val="zh-CN" w:eastAsia="zh-CN"/>
        </w:rPr>
        <w:t>自然恢复期土壤流失量预测表</w:t>
      </w:r>
    </w:p>
    <w:tbl>
      <w:tblPr>
        <w:tblStyle w:val="88"/>
        <w:tblW w:w="4998" w:type="pct"/>
        <w:jc w:val="center"/>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691"/>
        <w:gridCol w:w="818"/>
        <w:gridCol w:w="1119"/>
        <w:gridCol w:w="831"/>
        <w:gridCol w:w="737"/>
        <w:gridCol w:w="941"/>
        <w:gridCol w:w="1091"/>
        <w:gridCol w:w="1268"/>
        <w:gridCol w:w="1125"/>
      </w:tblGrid>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75" w:type="pct"/>
            <w:gridSpan w:val="2"/>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预测单元</w:t>
            </w:r>
          </w:p>
        </w:tc>
        <w:tc>
          <w:tcPr>
            <w:tcW w:w="648"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预测面积</w:t>
            </w:r>
            <w:r>
              <w:rPr>
                <w:rFonts w:hint="default" w:ascii="Times New Roman" w:hAnsi="Times New Roman" w:eastAsia="仿宋_GB2312" w:cs="Times New Roman"/>
                <w:i w:val="0"/>
                <w:iCs w:val="0"/>
                <w:color w:val="000000"/>
                <w:kern w:val="0"/>
                <w:sz w:val="20"/>
                <w:szCs w:val="20"/>
                <w:u w:val="none"/>
                <w:lang w:val="en-US" w:eastAsia="zh-CN" w:bidi="ar"/>
              </w:rPr>
              <w:t>(m</w:t>
            </w:r>
            <w:r>
              <w:rPr>
                <w:rFonts w:hint="default" w:ascii="Times New Roman" w:hAnsi="Times New Roman" w:eastAsia="仿宋_GB2312" w:cs="Times New Roman"/>
                <w:i w:val="0"/>
                <w:iCs w:val="0"/>
                <w:color w:val="000000"/>
                <w:kern w:val="0"/>
                <w:sz w:val="20"/>
                <w:szCs w:val="20"/>
                <w:u w:val="none"/>
                <w:vertAlign w:val="superscript"/>
                <w:lang w:val="en-US" w:eastAsia="zh-CN" w:bidi="ar"/>
              </w:rPr>
              <w:t>2</w:t>
            </w:r>
            <w:r>
              <w:rPr>
                <w:rFonts w:hint="default" w:ascii="Times New Roman" w:hAnsi="Times New Roman" w:eastAsia="仿宋_GB2312" w:cs="Times New Roman"/>
                <w:i w:val="0"/>
                <w:iCs w:val="0"/>
                <w:color w:val="000000"/>
                <w:kern w:val="0"/>
                <w:sz w:val="20"/>
                <w:szCs w:val="20"/>
                <w:u w:val="none"/>
                <w:lang w:val="en-US" w:eastAsia="zh-CN" w:bidi="ar"/>
              </w:rPr>
              <w:t>)</w:t>
            </w:r>
          </w:p>
        </w:tc>
        <w:tc>
          <w:tcPr>
            <w:tcW w:w="909" w:type="pct"/>
            <w:gridSpan w:val="2"/>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侵蚀模数（t/km</w:t>
            </w:r>
            <w:r>
              <w:rPr>
                <w:rFonts w:hint="default" w:ascii="Times New Roman" w:hAnsi="Times New Roman" w:eastAsia="仿宋_GB2312" w:cs="Times New Roman"/>
                <w:kern w:val="0"/>
                <w:sz w:val="20"/>
                <w:szCs w:val="20"/>
                <w:highlight w:val="none"/>
                <w:vertAlign w:val="superscript"/>
                <w:lang w:bidi="ar"/>
              </w:rPr>
              <w:t>2</w:t>
            </w:r>
            <w:r>
              <w:rPr>
                <w:rFonts w:hint="default" w:ascii="Times New Roman" w:hAnsi="Times New Roman" w:eastAsia="仿宋_GB2312" w:cs="Times New Roman"/>
                <w:kern w:val="0"/>
                <w:sz w:val="20"/>
                <w:szCs w:val="20"/>
                <w:highlight w:val="none"/>
                <w:lang w:bidi="ar"/>
              </w:rPr>
              <w:t>.a)</w:t>
            </w:r>
          </w:p>
        </w:tc>
        <w:tc>
          <w:tcPr>
            <w:tcW w:w="545"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土壤流失量(t)</w:t>
            </w:r>
          </w:p>
        </w:tc>
        <w:tc>
          <w:tcPr>
            <w:tcW w:w="632"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背景值（t/km</w:t>
            </w:r>
            <w:r>
              <w:rPr>
                <w:rFonts w:hint="default" w:ascii="Times New Roman" w:hAnsi="Times New Roman" w:eastAsia="仿宋_GB2312" w:cs="Times New Roman"/>
                <w:kern w:val="0"/>
                <w:sz w:val="20"/>
                <w:szCs w:val="20"/>
                <w:highlight w:val="none"/>
                <w:vertAlign w:val="superscript"/>
                <w:lang w:bidi="ar"/>
              </w:rPr>
              <w:t>2</w:t>
            </w:r>
            <w:r>
              <w:rPr>
                <w:rFonts w:hint="default" w:ascii="Times New Roman" w:hAnsi="Times New Roman" w:eastAsia="仿宋_GB2312" w:cs="Times New Roman"/>
                <w:kern w:val="0"/>
                <w:sz w:val="20"/>
                <w:szCs w:val="20"/>
                <w:highlight w:val="none"/>
                <w:lang w:bidi="ar"/>
              </w:rPr>
              <w:t>.a)</w:t>
            </w:r>
          </w:p>
        </w:tc>
        <w:tc>
          <w:tcPr>
            <w:tcW w:w="735"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原地貌土壤流失量（t）</w:t>
            </w:r>
          </w:p>
        </w:tc>
        <w:tc>
          <w:tcPr>
            <w:tcW w:w="652"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新增土壤流失量（t）</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400" w:type="pct"/>
            <w:vMerge w:val="restar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i w:val="0"/>
                <w:iCs w:val="0"/>
                <w:color w:val="000000"/>
                <w:kern w:val="0"/>
                <w:sz w:val="20"/>
                <w:szCs w:val="20"/>
                <w:u w:val="none"/>
                <w:lang w:val="en-US" w:eastAsia="zh-CN" w:bidi="ar"/>
              </w:rPr>
              <w:t>工程建设区</w:t>
            </w:r>
          </w:p>
        </w:tc>
        <w:tc>
          <w:tcPr>
            <w:tcW w:w="474" w:type="pct"/>
            <w:vMerge w:val="restar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lang w:val="en-US" w:eastAsia="zh-CN"/>
              </w:rPr>
              <w:t>绿化区</w:t>
            </w:r>
          </w:p>
        </w:tc>
        <w:tc>
          <w:tcPr>
            <w:tcW w:w="648"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rPr>
            </w:pPr>
            <w:r>
              <w:rPr>
                <w:rFonts w:hint="eastAsia" w:eastAsia="仿宋_GB2312" w:cs="Times New Roman"/>
                <w:sz w:val="20"/>
                <w:szCs w:val="20"/>
                <w:lang w:val="en-US" w:eastAsia="zh-CN"/>
              </w:rPr>
              <w:t>39933.28</w:t>
            </w:r>
          </w:p>
        </w:tc>
        <w:tc>
          <w:tcPr>
            <w:tcW w:w="481"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kern w:val="0"/>
                <w:sz w:val="20"/>
                <w:szCs w:val="20"/>
                <w:highlight w:val="none"/>
                <w:lang w:bidi="ar"/>
              </w:rPr>
              <w:t>第1年</w:t>
            </w:r>
          </w:p>
        </w:tc>
        <w:tc>
          <w:tcPr>
            <w:tcW w:w="427"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eastAsia" w:eastAsia="仿宋_GB2312" w:cs="Times New Roman"/>
                <w:kern w:val="0"/>
                <w:sz w:val="20"/>
                <w:szCs w:val="20"/>
                <w:highlight w:val="none"/>
                <w:lang w:val="en-US" w:eastAsia="zh-CN" w:bidi="ar"/>
              </w:rPr>
              <w:t>4000</w:t>
            </w:r>
          </w:p>
        </w:tc>
        <w:tc>
          <w:tcPr>
            <w:tcW w:w="545"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20"/>
                <w:szCs w:val="20"/>
                <w:highlight w:val="none"/>
                <w:lang w:val="en-US" w:eastAsia="zh-CN" w:bidi="ar"/>
              </w:rPr>
            </w:pPr>
            <w:r>
              <w:rPr>
                <w:rFonts w:hint="default" w:eastAsia="仿宋_GB2312" w:cs="Times New Roman"/>
                <w:kern w:val="0"/>
                <w:sz w:val="20"/>
                <w:szCs w:val="20"/>
                <w:highlight w:val="none"/>
                <w:lang w:val="en-US" w:eastAsia="zh-CN" w:bidi="ar"/>
              </w:rPr>
              <w:t xml:space="preserve">159.73 </w:t>
            </w:r>
          </w:p>
        </w:tc>
        <w:tc>
          <w:tcPr>
            <w:tcW w:w="632"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400</w:t>
            </w:r>
          </w:p>
        </w:tc>
        <w:tc>
          <w:tcPr>
            <w:tcW w:w="735" w:type="pct"/>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 xml:space="preserve">15.97 </w:t>
            </w:r>
          </w:p>
        </w:tc>
        <w:tc>
          <w:tcPr>
            <w:tcW w:w="652" w:type="pct"/>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 xml:space="preserve">143.76 </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400" w:type="pct"/>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p>
        </w:tc>
        <w:tc>
          <w:tcPr>
            <w:tcW w:w="474" w:type="pct"/>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lang w:val="en-US" w:eastAsia="zh-CN"/>
              </w:rPr>
            </w:pPr>
          </w:p>
        </w:tc>
        <w:tc>
          <w:tcPr>
            <w:tcW w:w="648"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eastAsia="仿宋_GB2312" w:cs="Times New Roman"/>
                <w:sz w:val="20"/>
                <w:szCs w:val="20"/>
                <w:lang w:val="en-US" w:eastAsia="zh-CN"/>
              </w:rPr>
            </w:pPr>
            <w:r>
              <w:rPr>
                <w:rFonts w:hint="eastAsia" w:eastAsia="仿宋_GB2312" w:cs="Times New Roman"/>
                <w:sz w:val="20"/>
                <w:szCs w:val="20"/>
                <w:lang w:val="en-US" w:eastAsia="zh-CN"/>
              </w:rPr>
              <w:t>39933.28</w:t>
            </w:r>
          </w:p>
        </w:tc>
        <w:tc>
          <w:tcPr>
            <w:tcW w:w="481"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default" w:ascii="Times New Roman" w:hAnsi="Times New Roman" w:eastAsia="仿宋_GB2312" w:cs="Times New Roman"/>
                <w:kern w:val="0"/>
                <w:sz w:val="20"/>
                <w:szCs w:val="20"/>
                <w:highlight w:val="none"/>
                <w:lang w:bidi="ar"/>
              </w:rPr>
              <w:t>第2年</w:t>
            </w:r>
          </w:p>
        </w:tc>
        <w:tc>
          <w:tcPr>
            <w:tcW w:w="427"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eastAsia" w:eastAsia="仿宋_GB2312" w:cs="Times New Roman"/>
                <w:kern w:val="0"/>
                <w:sz w:val="20"/>
                <w:szCs w:val="20"/>
                <w:highlight w:val="none"/>
                <w:lang w:val="en-US" w:eastAsia="zh-CN" w:bidi="ar"/>
              </w:rPr>
              <w:t>2300</w:t>
            </w:r>
          </w:p>
        </w:tc>
        <w:tc>
          <w:tcPr>
            <w:tcW w:w="545"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20"/>
                <w:szCs w:val="20"/>
                <w:highlight w:val="none"/>
                <w:lang w:val="en-US" w:eastAsia="zh-CN" w:bidi="ar"/>
              </w:rPr>
            </w:pPr>
            <w:r>
              <w:rPr>
                <w:rFonts w:hint="default" w:eastAsia="仿宋_GB2312" w:cs="Times New Roman"/>
                <w:kern w:val="0"/>
                <w:sz w:val="20"/>
                <w:szCs w:val="20"/>
                <w:highlight w:val="none"/>
                <w:lang w:val="en-US" w:eastAsia="zh-CN" w:bidi="ar"/>
              </w:rPr>
              <w:t xml:space="preserve">91.85 </w:t>
            </w:r>
          </w:p>
        </w:tc>
        <w:tc>
          <w:tcPr>
            <w:tcW w:w="632" w:type="pct"/>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400</w:t>
            </w:r>
          </w:p>
        </w:tc>
        <w:tc>
          <w:tcPr>
            <w:tcW w:w="735" w:type="pct"/>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 xml:space="preserve">15.97 </w:t>
            </w:r>
          </w:p>
        </w:tc>
        <w:tc>
          <w:tcPr>
            <w:tcW w:w="652" w:type="pct"/>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 xml:space="preserve">75.87 </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00" w:type="pct"/>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p>
        </w:tc>
        <w:tc>
          <w:tcPr>
            <w:tcW w:w="474" w:type="pct"/>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lang w:val="en-US" w:eastAsia="zh-CN"/>
              </w:rPr>
            </w:pPr>
          </w:p>
        </w:tc>
        <w:tc>
          <w:tcPr>
            <w:tcW w:w="648"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eastAsia="仿宋_GB2312" w:cs="Times New Roman"/>
                <w:sz w:val="20"/>
                <w:szCs w:val="20"/>
                <w:lang w:val="en-US" w:eastAsia="zh-CN"/>
              </w:rPr>
            </w:pPr>
            <w:r>
              <w:rPr>
                <w:rFonts w:hint="eastAsia" w:eastAsia="仿宋_GB2312" w:cs="Times New Roman"/>
                <w:sz w:val="20"/>
                <w:szCs w:val="20"/>
                <w:lang w:val="en-US" w:eastAsia="zh-CN"/>
              </w:rPr>
              <w:t>39933.28</w:t>
            </w:r>
          </w:p>
        </w:tc>
        <w:tc>
          <w:tcPr>
            <w:tcW w:w="481"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default" w:ascii="Times New Roman" w:hAnsi="Times New Roman" w:eastAsia="仿宋_GB2312" w:cs="Times New Roman"/>
                <w:kern w:val="0"/>
                <w:sz w:val="20"/>
                <w:szCs w:val="20"/>
                <w:highlight w:val="none"/>
                <w:lang w:bidi="ar"/>
              </w:rPr>
              <w:t>第3年</w:t>
            </w:r>
          </w:p>
        </w:tc>
        <w:tc>
          <w:tcPr>
            <w:tcW w:w="427"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bidi="ar"/>
              </w:rPr>
            </w:pPr>
            <w:r>
              <w:rPr>
                <w:rFonts w:hint="eastAsia" w:eastAsia="仿宋_GB2312" w:cs="Times New Roman"/>
                <w:kern w:val="0"/>
                <w:sz w:val="20"/>
                <w:szCs w:val="20"/>
                <w:highlight w:val="none"/>
                <w:lang w:val="en-US" w:eastAsia="zh-CN" w:bidi="ar"/>
              </w:rPr>
              <w:t>600</w:t>
            </w:r>
          </w:p>
        </w:tc>
        <w:tc>
          <w:tcPr>
            <w:tcW w:w="545"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20"/>
                <w:szCs w:val="20"/>
                <w:highlight w:val="none"/>
                <w:lang w:val="en-US" w:eastAsia="zh-CN" w:bidi="ar"/>
              </w:rPr>
            </w:pPr>
            <w:r>
              <w:rPr>
                <w:rFonts w:hint="default" w:eastAsia="仿宋_GB2312" w:cs="Times New Roman"/>
                <w:kern w:val="0"/>
                <w:sz w:val="20"/>
                <w:szCs w:val="20"/>
                <w:highlight w:val="none"/>
                <w:lang w:val="en-US" w:eastAsia="zh-CN" w:bidi="ar"/>
              </w:rPr>
              <w:t xml:space="preserve">23.96 </w:t>
            </w:r>
          </w:p>
        </w:tc>
        <w:tc>
          <w:tcPr>
            <w:tcW w:w="632" w:type="pct"/>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400</w:t>
            </w:r>
          </w:p>
        </w:tc>
        <w:tc>
          <w:tcPr>
            <w:tcW w:w="735" w:type="pct"/>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 xml:space="preserve">15.97 </w:t>
            </w:r>
          </w:p>
        </w:tc>
        <w:tc>
          <w:tcPr>
            <w:tcW w:w="652" w:type="pct"/>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 xml:space="preserve">7.99 </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433" w:type="pct"/>
            <w:gridSpan w:val="5"/>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kern w:val="0"/>
                <w:sz w:val="20"/>
                <w:szCs w:val="20"/>
                <w:highlight w:val="none"/>
                <w:lang w:bidi="ar"/>
              </w:rPr>
              <w:t>合计</w:t>
            </w:r>
          </w:p>
        </w:tc>
        <w:tc>
          <w:tcPr>
            <w:tcW w:w="545"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20"/>
                <w:szCs w:val="20"/>
                <w:highlight w:val="none"/>
                <w:lang w:val="en-US" w:eastAsia="zh-CN" w:bidi="ar"/>
              </w:rPr>
            </w:pPr>
            <w:r>
              <w:rPr>
                <w:rFonts w:hint="eastAsia" w:eastAsia="仿宋_GB2312" w:cs="Times New Roman"/>
                <w:kern w:val="0"/>
                <w:sz w:val="20"/>
                <w:szCs w:val="20"/>
                <w:highlight w:val="none"/>
                <w:lang w:val="en-US" w:eastAsia="zh-CN" w:bidi="ar"/>
              </w:rPr>
              <w:t xml:space="preserve">275.54 </w:t>
            </w:r>
          </w:p>
        </w:tc>
        <w:tc>
          <w:tcPr>
            <w:tcW w:w="632"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lang w:val="en-US" w:eastAsia="zh-CN"/>
              </w:rPr>
            </w:pPr>
          </w:p>
        </w:tc>
        <w:tc>
          <w:tcPr>
            <w:tcW w:w="735" w:type="pct"/>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 xml:space="preserve">47.92 </w:t>
            </w:r>
          </w:p>
        </w:tc>
        <w:tc>
          <w:tcPr>
            <w:tcW w:w="652" w:type="pct"/>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 xml:space="preserve">227.62 </w:t>
            </w:r>
          </w:p>
        </w:tc>
      </w:tr>
    </w:tbl>
    <w:p>
      <w:pPr>
        <w:pStyle w:val="8"/>
        <w:keepNext/>
        <w:keepLines/>
        <w:pageBreakBefore w:val="0"/>
        <w:widowControl w:val="0"/>
        <w:numPr>
          <w:ilvl w:val="0"/>
          <w:numId w:val="0"/>
        </w:numPr>
        <w:tabs>
          <w:tab w:val="clear" w:pos="864"/>
        </w:tabs>
        <w:kinsoku/>
        <w:wordWrap/>
        <w:overflowPunct/>
        <w:topLinePunct w:val="0"/>
        <w:autoSpaceDE/>
        <w:autoSpaceDN/>
        <w:bidi w:val="0"/>
        <w:adjustRightInd/>
        <w:snapToGrid/>
        <w:spacing w:line="360" w:lineRule="auto"/>
        <w:ind w:leftChars="0" w:firstLine="482" w:firstLineChars="200"/>
        <w:jc w:val="both"/>
        <w:textAlignment w:val="baseline"/>
        <w:rPr>
          <w:rFonts w:hint="default" w:ascii="Times New Roman" w:hAnsi="Times New Roman" w:eastAsia="仿宋_GB2312" w:cs="Times New Roman"/>
          <w:b/>
          <w:bCs/>
          <w:i w:val="0"/>
          <w:iCs w:val="0"/>
          <w:sz w:val="24"/>
          <w:szCs w:val="24"/>
          <w:lang w:val="en-US" w:eastAsia="zh-CN"/>
        </w:rPr>
      </w:pPr>
      <w:r>
        <w:rPr>
          <w:rFonts w:hint="default" w:ascii="Times New Roman" w:hAnsi="Times New Roman" w:eastAsia="仿宋_GB2312" w:cs="Times New Roman"/>
          <w:b/>
          <w:bCs/>
          <w:i w:val="0"/>
          <w:iCs w:val="0"/>
          <w:sz w:val="24"/>
          <w:szCs w:val="24"/>
          <w:lang w:val="en-US" w:eastAsia="zh-CN"/>
        </w:rPr>
        <w:t>4.3.4.3综合分析</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通过计算，</w:t>
      </w:r>
      <w:r>
        <w:rPr>
          <w:rFonts w:hint="default" w:ascii="Times New Roman" w:hAnsi="Times New Roman" w:eastAsia="仿宋_GB2312" w:cs="Times New Roman"/>
          <w:sz w:val="24"/>
          <w:highlight w:val="none"/>
          <w:lang w:eastAsia="zh-CN"/>
        </w:rPr>
        <w:t>本期工程</w:t>
      </w:r>
      <w:r>
        <w:rPr>
          <w:rFonts w:hint="default" w:ascii="Times New Roman" w:hAnsi="Times New Roman" w:eastAsia="仿宋_GB2312" w:cs="Times New Roman"/>
          <w:sz w:val="24"/>
          <w:highlight w:val="none"/>
          <w:lang w:val="en-US" w:eastAsia="zh-CN"/>
        </w:rPr>
        <w:t>施工期</w:t>
      </w:r>
      <w:r>
        <w:rPr>
          <w:rFonts w:hint="default" w:ascii="Times New Roman" w:hAnsi="Times New Roman" w:eastAsia="仿宋_GB2312" w:cs="Times New Roman"/>
          <w:sz w:val="24"/>
          <w:highlight w:val="none"/>
        </w:rPr>
        <w:t>和自然恢复期预测共可能产生土壤流失量</w:t>
      </w:r>
      <w:r>
        <w:rPr>
          <w:rFonts w:hint="eastAsia" w:eastAsia="仿宋_GB2312" w:cs="Times New Roman"/>
          <w:sz w:val="24"/>
          <w:highlight w:val="none"/>
          <w:lang w:val="en-US" w:eastAsia="zh-CN"/>
        </w:rPr>
        <w:t>1434.59</w:t>
      </w:r>
      <w:r>
        <w:rPr>
          <w:rFonts w:hint="default" w:ascii="Times New Roman" w:hAnsi="Times New Roman" w:eastAsia="仿宋_GB2312" w:cs="Times New Roman"/>
          <w:sz w:val="24"/>
          <w:highlight w:val="none"/>
        </w:rPr>
        <w:t>t，预测新增土壤流失量</w:t>
      </w:r>
      <w:r>
        <w:rPr>
          <w:rFonts w:hint="eastAsia" w:eastAsia="仿宋_GB2312" w:cs="Times New Roman"/>
          <w:sz w:val="24"/>
          <w:highlight w:val="none"/>
          <w:lang w:val="en-US" w:eastAsia="zh-CN"/>
        </w:rPr>
        <w:t>1270.76</w:t>
      </w:r>
      <w:r>
        <w:rPr>
          <w:rFonts w:hint="default" w:ascii="Times New Roman" w:hAnsi="Times New Roman" w:eastAsia="仿宋_GB2312" w:cs="Times New Roman"/>
          <w:sz w:val="24"/>
          <w:highlight w:val="none"/>
        </w:rPr>
        <w:t>t，详见表4-</w:t>
      </w:r>
      <w:r>
        <w:rPr>
          <w:rFonts w:hint="default" w:ascii="Times New Roman" w:hAnsi="Times New Roman" w:eastAsia="仿宋_GB2312" w:cs="Times New Roman"/>
          <w:sz w:val="24"/>
          <w:highlight w:val="none"/>
          <w:lang w:val="en-US" w:eastAsia="zh-CN"/>
        </w:rPr>
        <w:t>6</w:t>
      </w:r>
      <w:r>
        <w:rPr>
          <w:rFonts w:hint="default" w:ascii="Times New Roman" w:hAnsi="Times New Roman" w:eastAsia="仿宋_GB2312" w:cs="Times New Roman"/>
          <w:sz w:val="24"/>
          <w:highlight w:val="none"/>
        </w:rPr>
        <w:t>。</w:t>
      </w:r>
    </w:p>
    <w:p>
      <w:pPr>
        <w:pStyle w:val="16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val="zh-CN" w:eastAsia="zh-CN"/>
        </w:rPr>
      </w:pPr>
      <w:r>
        <w:rPr>
          <w:rFonts w:hint="default" w:ascii="Times New Roman" w:hAnsi="Times New Roman" w:eastAsia="微软雅黑" w:cs="Times New Roman"/>
          <w:b w:val="0"/>
          <w:bCs w:val="0"/>
          <w:sz w:val="21"/>
          <w:szCs w:val="21"/>
          <w:highlight w:val="none"/>
          <w:lang w:val="zh-CN" w:eastAsia="zh-CN"/>
        </w:rPr>
        <w:t>表4-</w:t>
      </w:r>
      <w:r>
        <w:rPr>
          <w:rFonts w:hint="default" w:ascii="Times New Roman" w:hAnsi="Times New Roman" w:eastAsia="微软雅黑" w:cs="Times New Roman"/>
          <w:b w:val="0"/>
          <w:bCs w:val="0"/>
          <w:sz w:val="21"/>
          <w:szCs w:val="21"/>
          <w:highlight w:val="none"/>
          <w:lang w:val="en-US" w:eastAsia="zh-CN"/>
        </w:rPr>
        <w:t>6</w:t>
      </w:r>
      <w:r>
        <w:rPr>
          <w:rFonts w:hint="default" w:ascii="Times New Roman" w:hAnsi="Times New Roman" w:eastAsia="微软雅黑" w:cs="Times New Roman"/>
          <w:b w:val="0"/>
          <w:bCs w:val="0"/>
          <w:sz w:val="21"/>
          <w:szCs w:val="21"/>
          <w:highlight w:val="none"/>
          <w:lang w:val="zh-CN" w:eastAsia="zh-CN"/>
        </w:rPr>
        <w:t xml:space="preserve">  土壤流失量预测总表</w:t>
      </w:r>
    </w:p>
    <w:tbl>
      <w:tblPr>
        <w:tblStyle w:val="88"/>
        <w:tblW w:w="5000" w:type="pct"/>
        <w:jc w:val="center"/>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376"/>
        <w:gridCol w:w="1176"/>
        <w:gridCol w:w="736"/>
        <w:gridCol w:w="656"/>
        <w:gridCol w:w="757"/>
        <w:gridCol w:w="656"/>
        <w:gridCol w:w="576"/>
        <w:gridCol w:w="658"/>
        <w:gridCol w:w="842"/>
        <w:gridCol w:w="747"/>
        <w:gridCol w:w="747"/>
        <w:gridCol w:w="697"/>
      </w:tblGrid>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99" w:type="pct"/>
            <w:gridSpan w:val="2"/>
            <w:vMerge w:val="restar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kern w:val="0"/>
                <w:sz w:val="16"/>
                <w:szCs w:val="16"/>
                <w:highlight w:val="none"/>
                <w:lang w:bidi="ar"/>
              </w:rPr>
              <w:t>预测单元</w:t>
            </w:r>
          </w:p>
        </w:tc>
        <w:tc>
          <w:tcPr>
            <w:tcW w:w="1245" w:type="pct"/>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kern w:val="0"/>
                <w:sz w:val="16"/>
                <w:szCs w:val="16"/>
                <w:highlight w:val="none"/>
                <w:lang w:bidi="ar"/>
              </w:rPr>
              <w:t>土壤流失总量（ｔ）</w:t>
            </w:r>
          </w:p>
        </w:tc>
        <w:tc>
          <w:tcPr>
            <w:tcW w:w="1095" w:type="pct"/>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kern w:val="0"/>
                <w:sz w:val="16"/>
                <w:szCs w:val="16"/>
                <w:highlight w:val="none"/>
                <w:lang w:bidi="ar"/>
              </w:rPr>
              <w:t>原地貌侵蚀量（t）</w:t>
            </w:r>
          </w:p>
        </w:tc>
        <w:tc>
          <w:tcPr>
            <w:tcW w:w="1354" w:type="pct"/>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kern w:val="0"/>
                <w:sz w:val="16"/>
                <w:szCs w:val="16"/>
                <w:highlight w:val="none"/>
                <w:lang w:bidi="ar"/>
              </w:rPr>
              <w:t>新增土壤流失量（t）</w:t>
            </w:r>
          </w:p>
        </w:tc>
        <w:tc>
          <w:tcPr>
            <w:tcW w:w="404" w:type="pct"/>
            <w:vMerge w:val="restar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kern w:val="0"/>
                <w:sz w:val="16"/>
                <w:szCs w:val="16"/>
                <w:highlight w:val="none"/>
                <w:lang w:bidi="ar"/>
              </w:rPr>
              <w:t>占新增土壤流失总量（％）</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99" w:type="pct"/>
            <w:gridSpan w:val="2"/>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16"/>
                <w:szCs w:val="16"/>
                <w:highlight w:val="none"/>
              </w:rPr>
            </w:pPr>
          </w:p>
        </w:tc>
        <w:tc>
          <w:tcPr>
            <w:tcW w:w="426"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kern w:val="0"/>
                <w:sz w:val="16"/>
                <w:szCs w:val="16"/>
                <w:highlight w:val="none"/>
                <w:lang w:bidi="ar"/>
              </w:rPr>
              <w:t>施工期</w:t>
            </w:r>
          </w:p>
        </w:tc>
        <w:tc>
          <w:tcPr>
            <w:tcW w:w="380"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kern w:val="0"/>
                <w:sz w:val="16"/>
                <w:szCs w:val="16"/>
                <w:highlight w:val="none"/>
                <w:lang w:bidi="ar"/>
              </w:rPr>
              <w:t>自然恢复期</w:t>
            </w:r>
          </w:p>
        </w:tc>
        <w:tc>
          <w:tcPr>
            <w:tcW w:w="438"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kern w:val="0"/>
                <w:sz w:val="16"/>
                <w:szCs w:val="16"/>
                <w:highlight w:val="none"/>
                <w:lang w:bidi="ar"/>
              </w:rPr>
              <w:t>小计</w:t>
            </w:r>
          </w:p>
        </w:tc>
        <w:tc>
          <w:tcPr>
            <w:tcW w:w="380"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kern w:val="0"/>
                <w:sz w:val="16"/>
                <w:szCs w:val="16"/>
                <w:highlight w:val="none"/>
                <w:lang w:bidi="ar"/>
              </w:rPr>
              <w:t>施工期</w:t>
            </w:r>
          </w:p>
        </w:tc>
        <w:tc>
          <w:tcPr>
            <w:tcW w:w="333"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kern w:val="0"/>
                <w:sz w:val="16"/>
                <w:szCs w:val="16"/>
                <w:highlight w:val="none"/>
                <w:lang w:bidi="ar"/>
              </w:rPr>
              <w:t>自然恢复期</w:t>
            </w:r>
          </w:p>
        </w:tc>
        <w:tc>
          <w:tcPr>
            <w:tcW w:w="381"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kern w:val="0"/>
                <w:sz w:val="16"/>
                <w:szCs w:val="16"/>
                <w:highlight w:val="none"/>
                <w:lang w:bidi="ar"/>
              </w:rPr>
              <w:t>小计</w:t>
            </w:r>
          </w:p>
        </w:tc>
        <w:tc>
          <w:tcPr>
            <w:tcW w:w="488"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kern w:val="0"/>
                <w:sz w:val="16"/>
                <w:szCs w:val="16"/>
                <w:highlight w:val="none"/>
                <w:lang w:bidi="ar"/>
              </w:rPr>
              <w:t>施工期</w:t>
            </w:r>
          </w:p>
        </w:tc>
        <w:tc>
          <w:tcPr>
            <w:tcW w:w="433"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kern w:val="0"/>
                <w:sz w:val="16"/>
                <w:szCs w:val="16"/>
                <w:highlight w:val="none"/>
                <w:lang w:bidi="ar"/>
              </w:rPr>
              <w:t>自然恢复期</w:t>
            </w:r>
          </w:p>
        </w:tc>
        <w:tc>
          <w:tcPr>
            <w:tcW w:w="433"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kern w:val="0"/>
                <w:sz w:val="16"/>
                <w:szCs w:val="16"/>
                <w:highlight w:val="none"/>
                <w:lang w:bidi="ar"/>
              </w:rPr>
              <w:t>小计</w:t>
            </w:r>
          </w:p>
        </w:tc>
        <w:tc>
          <w:tcPr>
            <w:tcW w:w="404" w:type="pct"/>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16"/>
                <w:szCs w:val="16"/>
                <w:highlight w:val="none"/>
              </w:rPr>
            </w:pP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17" w:type="pct"/>
            <w:vMerge w:val="restar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i w:val="0"/>
                <w:iCs w:val="0"/>
                <w:color w:val="000000"/>
                <w:kern w:val="0"/>
                <w:sz w:val="16"/>
                <w:szCs w:val="16"/>
                <w:u w:val="none"/>
                <w:lang w:val="en-US" w:eastAsia="zh-CN" w:bidi="ar"/>
              </w:rPr>
              <w:t>工程建设区</w:t>
            </w:r>
          </w:p>
        </w:tc>
        <w:tc>
          <w:tcPr>
            <w:tcW w:w="681"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sz w:val="16"/>
                <w:szCs w:val="16"/>
                <w:lang w:val="en-US" w:eastAsia="zh-CN"/>
              </w:rPr>
              <w:t>建构筑物区</w:t>
            </w:r>
          </w:p>
        </w:tc>
        <w:tc>
          <w:tcPr>
            <w:tcW w:w="426"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480.25 </w:t>
            </w:r>
          </w:p>
        </w:tc>
        <w:tc>
          <w:tcPr>
            <w:tcW w:w="380"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p>
        </w:tc>
        <w:tc>
          <w:tcPr>
            <w:tcW w:w="438"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480.25 </w:t>
            </w:r>
          </w:p>
        </w:tc>
        <w:tc>
          <w:tcPr>
            <w:tcW w:w="380"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48.03 </w:t>
            </w:r>
          </w:p>
        </w:tc>
        <w:tc>
          <w:tcPr>
            <w:tcW w:w="333"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p>
        </w:tc>
        <w:tc>
          <w:tcPr>
            <w:tcW w:w="381"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48.03 </w:t>
            </w:r>
          </w:p>
        </w:tc>
        <w:tc>
          <w:tcPr>
            <w:tcW w:w="488"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432.23 </w:t>
            </w:r>
          </w:p>
        </w:tc>
        <w:tc>
          <w:tcPr>
            <w:tcW w:w="433"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p>
        </w:tc>
        <w:tc>
          <w:tcPr>
            <w:tcW w:w="433"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432.23 </w:t>
            </w:r>
          </w:p>
        </w:tc>
        <w:tc>
          <w:tcPr>
            <w:tcW w:w="404"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34.01 </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17" w:type="pct"/>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p>
        </w:tc>
        <w:tc>
          <w:tcPr>
            <w:tcW w:w="681"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sz w:val="16"/>
                <w:szCs w:val="16"/>
                <w:lang w:val="en-US" w:eastAsia="zh-CN"/>
              </w:rPr>
              <w:t>道路及硬化区</w:t>
            </w:r>
          </w:p>
        </w:tc>
        <w:tc>
          <w:tcPr>
            <w:tcW w:w="426"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638.86 </w:t>
            </w:r>
          </w:p>
        </w:tc>
        <w:tc>
          <w:tcPr>
            <w:tcW w:w="380"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p>
        </w:tc>
        <w:tc>
          <w:tcPr>
            <w:tcW w:w="438"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638.86 </w:t>
            </w:r>
          </w:p>
        </w:tc>
        <w:tc>
          <w:tcPr>
            <w:tcW w:w="380"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63.89 </w:t>
            </w:r>
          </w:p>
        </w:tc>
        <w:tc>
          <w:tcPr>
            <w:tcW w:w="333"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p>
        </w:tc>
        <w:tc>
          <w:tcPr>
            <w:tcW w:w="381"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63.89 </w:t>
            </w:r>
          </w:p>
        </w:tc>
        <w:tc>
          <w:tcPr>
            <w:tcW w:w="488"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574.98 </w:t>
            </w:r>
          </w:p>
        </w:tc>
        <w:tc>
          <w:tcPr>
            <w:tcW w:w="433"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p>
        </w:tc>
        <w:tc>
          <w:tcPr>
            <w:tcW w:w="433"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574.98 </w:t>
            </w:r>
          </w:p>
        </w:tc>
        <w:tc>
          <w:tcPr>
            <w:tcW w:w="404"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45.25 </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17" w:type="pct"/>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p>
        </w:tc>
        <w:tc>
          <w:tcPr>
            <w:tcW w:w="681"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sz w:val="16"/>
                <w:szCs w:val="16"/>
                <w:lang w:val="en-US" w:eastAsia="zh-CN"/>
              </w:rPr>
              <w:t>绿化区</w:t>
            </w:r>
          </w:p>
        </w:tc>
        <w:tc>
          <w:tcPr>
            <w:tcW w:w="426"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39.93 </w:t>
            </w:r>
          </w:p>
        </w:tc>
        <w:tc>
          <w:tcPr>
            <w:tcW w:w="380"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275.54 </w:t>
            </w:r>
          </w:p>
        </w:tc>
        <w:tc>
          <w:tcPr>
            <w:tcW w:w="438"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315.47 </w:t>
            </w:r>
          </w:p>
        </w:tc>
        <w:tc>
          <w:tcPr>
            <w:tcW w:w="380"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3.99 </w:t>
            </w:r>
          </w:p>
        </w:tc>
        <w:tc>
          <w:tcPr>
            <w:tcW w:w="333"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47.92 </w:t>
            </w:r>
          </w:p>
        </w:tc>
        <w:tc>
          <w:tcPr>
            <w:tcW w:w="381"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51.91 </w:t>
            </w:r>
          </w:p>
        </w:tc>
        <w:tc>
          <w:tcPr>
            <w:tcW w:w="488"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35.94 </w:t>
            </w:r>
          </w:p>
        </w:tc>
        <w:tc>
          <w:tcPr>
            <w:tcW w:w="433"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227.62 </w:t>
            </w:r>
          </w:p>
        </w:tc>
        <w:tc>
          <w:tcPr>
            <w:tcW w:w="433"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263.56 </w:t>
            </w:r>
          </w:p>
        </w:tc>
        <w:tc>
          <w:tcPr>
            <w:tcW w:w="404"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20.74 </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99" w:type="pct"/>
            <w:gridSpan w:val="2"/>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kern w:val="0"/>
                <w:sz w:val="16"/>
                <w:szCs w:val="16"/>
                <w:highlight w:val="none"/>
                <w:lang w:bidi="ar"/>
              </w:rPr>
              <w:t>合计</w:t>
            </w:r>
          </w:p>
        </w:tc>
        <w:tc>
          <w:tcPr>
            <w:tcW w:w="426"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1159.05 </w:t>
            </w:r>
          </w:p>
        </w:tc>
        <w:tc>
          <w:tcPr>
            <w:tcW w:w="380"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275.54 </w:t>
            </w:r>
          </w:p>
        </w:tc>
        <w:tc>
          <w:tcPr>
            <w:tcW w:w="438"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1434.59 </w:t>
            </w:r>
          </w:p>
        </w:tc>
        <w:tc>
          <w:tcPr>
            <w:tcW w:w="380"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115.90 </w:t>
            </w:r>
          </w:p>
        </w:tc>
        <w:tc>
          <w:tcPr>
            <w:tcW w:w="333"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47.92 </w:t>
            </w:r>
          </w:p>
        </w:tc>
        <w:tc>
          <w:tcPr>
            <w:tcW w:w="381"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163.82 </w:t>
            </w:r>
          </w:p>
        </w:tc>
        <w:tc>
          <w:tcPr>
            <w:tcW w:w="488"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1043.14 </w:t>
            </w:r>
          </w:p>
        </w:tc>
        <w:tc>
          <w:tcPr>
            <w:tcW w:w="433"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227.62 </w:t>
            </w:r>
          </w:p>
        </w:tc>
        <w:tc>
          <w:tcPr>
            <w:tcW w:w="433"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1270.76 </w:t>
            </w:r>
          </w:p>
        </w:tc>
        <w:tc>
          <w:tcPr>
            <w:tcW w:w="404"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100</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99" w:type="pct"/>
            <w:gridSpan w:val="2"/>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kern w:val="0"/>
                <w:sz w:val="16"/>
                <w:szCs w:val="16"/>
                <w:highlight w:val="none"/>
                <w:lang w:bidi="ar"/>
              </w:rPr>
              <w:t>各时段预测量占总量的（%)</w:t>
            </w:r>
          </w:p>
        </w:tc>
        <w:tc>
          <w:tcPr>
            <w:tcW w:w="426"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80.79 </w:t>
            </w:r>
          </w:p>
        </w:tc>
        <w:tc>
          <w:tcPr>
            <w:tcW w:w="380"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19.21 </w:t>
            </w:r>
          </w:p>
        </w:tc>
        <w:tc>
          <w:tcPr>
            <w:tcW w:w="438"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100 </w:t>
            </w:r>
          </w:p>
        </w:tc>
        <w:tc>
          <w:tcPr>
            <w:tcW w:w="380"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70.75 </w:t>
            </w:r>
          </w:p>
        </w:tc>
        <w:tc>
          <w:tcPr>
            <w:tcW w:w="333"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29.25 </w:t>
            </w:r>
          </w:p>
        </w:tc>
        <w:tc>
          <w:tcPr>
            <w:tcW w:w="381"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100</w:t>
            </w:r>
          </w:p>
        </w:tc>
        <w:tc>
          <w:tcPr>
            <w:tcW w:w="488"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82.09 </w:t>
            </w:r>
          </w:p>
        </w:tc>
        <w:tc>
          <w:tcPr>
            <w:tcW w:w="433"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 xml:space="preserve">17.91 </w:t>
            </w:r>
          </w:p>
        </w:tc>
        <w:tc>
          <w:tcPr>
            <w:tcW w:w="433"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r>
              <w:rPr>
                <w:rFonts w:hint="default" w:eastAsia="仿宋_GB2312" w:cs="Times New Roman"/>
                <w:kern w:val="0"/>
                <w:sz w:val="16"/>
                <w:szCs w:val="16"/>
                <w:highlight w:val="none"/>
                <w:lang w:val="en-US" w:eastAsia="zh-CN" w:bidi="ar"/>
              </w:rPr>
              <w:t>100</w:t>
            </w:r>
          </w:p>
        </w:tc>
        <w:tc>
          <w:tcPr>
            <w:tcW w:w="404"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eastAsia="仿宋_GB2312" w:cs="Times New Roman"/>
                <w:kern w:val="0"/>
                <w:sz w:val="16"/>
                <w:szCs w:val="16"/>
                <w:highlight w:val="none"/>
                <w:lang w:val="en-US" w:eastAsia="zh-CN" w:bidi="ar"/>
              </w:rPr>
            </w:pPr>
          </w:p>
        </w:tc>
      </w:tr>
    </w:tbl>
    <w:p>
      <w:pPr>
        <w:pStyle w:val="5"/>
        <w:bidi w:val="0"/>
        <w:rPr>
          <w:rFonts w:hint="default" w:ascii="Times New Roman" w:hAnsi="Times New Roman" w:cs="Times New Roman"/>
        </w:rPr>
      </w:pPr>
      <w:bookmarkStart w:id="255" w:name="_Toc18908"/>
      <w:bookmarkStart w:id="256" w:name="_Toc28793"/>
      <w:bookmarkStart w:id="257" w:name="_Toc32264"/>
      <w:r>
        <w:rPr>
          <w:rFonts w:hint="default" w:ascii="Times New Roman" w:hAnsi="Times New Roman" w:cs="Times New Roman"/>
        </w:rPr>
        <w:t>4.4水土流失危害分析</w:t>
      </w:r>
      <w:bookmarkEnd w:id="255"/>
      <w:bookmarkEnd w:id="256"/>
      <w:bookmarkEnd w:id="257"/>
    </w:p>
    <w:p>
      <w:pPr>
        <w:pageBreakBefore w:val="0"/>
        <w:kinsoku/>
        <w:wordWrap/>
        <w:bidi w:val="0"/>
        <w:spacing w:line="360" w:lineRule="auto"/>
        <w:ind w:firstLine="480" w:firstLineChars="200"/>
        <w:rPr>
          <w:rFonts w:hint="default"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t>工程建设过程中破坏了原地貌，如不采取有效的水土保持措施，必然引发和加剧区域水土流失，而且对周边生态环境可能造成不良影响。</w:t>
      </w:r>
    </w:p>
    <w:p>
      <w:pPr>
        <w:pageBreakBefore w:val="0"/>
        <w:widowControl/>
        <w:kinsoku/>
        <w:wordWrap/>
        <w:bidi w:val="0"/>
        <w:spacing w:line="360" w:lineRule="auto"/>
        <w:ind w:firstLine="480" w:firstLineChars="200"/>
        <w:jc w:val="left"/>
        <w:rPr>
          <w:rFonts w:hint="default" w:ascii="Times New Roman" w:hAnsi="Times New Roman" w:eastAsia="仿宋_GB2312" w:cs="Times New Roman"/>
          <w:sz w:val="24"/>
          <w:highlight w:val="none"/>
        </w:rPr>
      </w:pPr>
      <w:r>
        <w:rPr>
          <w:rFonts w:hint="default" w:ascii="Times New Roman" w:hAnsi="Times New Roman" w:eastAsia="仿宋_GB2312" w:cs="Times New Roman"/>
          <w:kern w:val="0"/>
          <w:sz w:val="24"/>
          <w:highlight w:val="none"/>
          <w:lang w:bidi="ar"/>
        </w:rPr>
        <w:t>（1）扰动地表、破坏植被，加速土壤侵蚀</w:t>
      </w:r>
    </w:p>
    <w:p>
      <w:pPr>
        <w:pageBreakBefore w:val="0"/>
        <w:widowControl/>
        <w:kinsoku/>
        <w:wordWrap/>
        <w:bidi w:val="0"/>
        <w:spacing w:line="360" w:lineRule="auto"/>
        <w:ind w:firstLine="480" w:firstLineChars="200"/>
        <w:jc w:val="left"/>
        <w:rPr>
          <w:rFonts w:hint="default" w:ascii="Times New Roman" w:hAnsi="Times New Roman" w:eastAsia="仿宋_GB2312" w:cs="Times New Roman"/>
          <w:sz w:val="24"/>
          <w:highlight w:val="none"/>
        </w:rPr>
      </w:pPr>
      <w:r>
        <w:rPr>
          <w:rFonts w:hint="default" w:ascii="Times New Roman" w:hAnsi="Times New Roman" w:eastAsia="仿宋_GB2312" w:cs="Times New Roman"/>
          <w:kern w:val="0"/>
          <w:sz w:val="24"/>
          <w:highlight w:val="none"/>
          <w:lang w:bidi="ar"/>
        </w:rPr>
        <w:t>植被防止土壤侵蚀的作用主要表现在覆盖地表、截持降雨、减小流速、分散流量以及固定土壤和改良土壤等方面。植被的好与坏，直接影响土壤侵蚀的形成和侵蚀量的大小。地表植被一旦被工程施工破坏，其自然恢复过程将十分缓慢。植被防止土壤侵蚀的作用主要表现在覆盖地表、截持降雨、减小地表径流流速，增加入渗以及固定土壤和改良土壤等方面。植被的好与坏，直接影响土壤侵蚀的形成和侵蚀量的大小。</w:t>
      </w:r>
    </w:p>
    <w:p>
      <w:pPr>
        <w:pageBreakBefore w:val="0"/>
        <w:kinsoku/>
        <w:wordWrap/>
        <w:bidi w:val="0"/>
        <w:spacing w:line="360" w:lineRule="auto"/>
        <w:ind w:firstLine="480" w:firstLineChars="200"/>
        <w:rPr>
          <w:rFonts w:hint="default"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t>（2）加大项目区及周边地区的水土流失</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sz w:val="24"/>
          <w:szCs w:val="28"/>
          <w:highlight w:val="none"/>
          <w:lang w:eastAsia="zh-CN"/>
        </w:rPr>
        <w:t>本期项目</w:t>
      </w:r>
      <w:r>
        <w:rPr>
          <w:rFonts w:hint="default" w:ascii="Times New Roman" w:hAnsi="Times New Roman" w:eastAsia="仿宋_GB2312" w:cs="Times New Roman"/>
          <w:sz w:val="24"/>
          <w:szCs w:val="28"/>
          <w:highlight w:val="none"/>
        </w:rPr>
        <w:t>建设期间，土石方堆放过多，如不采取水土保持措施，遇大风天气极易形成扬尘，影响当地空气质量；降雨产流后加剧城市排洪系统的负担，容易阻塞排水管网。</w:t>
      </w:r>
    </w:p>
    <w:p>
      <w:pPr>
        <w:pStyle w:val="5"/>
        <w:bidi w:val="0"/>
        <w:rPr>
          <w:rFonts w:hint="default" w:ascii="Times New Roman" w:hAnsi="Times New Roman" w:cs="Times New Roman"/>
        </w:rPr>
      </w:pPr>
      <w:bookmarkStart w:id="258" w:name="_Toc32156"/>
      <w:bookmarkStart w:id="259" w:name="_Toc3033"/>
      <w:bookmarkStart w:id="260" w:name="_Toc3506"/>
      <w:r>
        <w:rPr>
          <w:rFonts w:hint="default" w:ascii="Times New Roman" w:hAnsi="Times New Roman" w:cs="Times New Roman"/>
        </w:rPr>
        <w:t>4.5指导意见</w:t>
      </w:r>
      <w:bookmarkEnd w:id="258"/>
      <w:bookmarkEnd w:id="259"/>
      <w:bookmarkEnd w:id="260"/>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4.5.1防治重点时段与部位</w:t>
      </w:r>
    </w:p>
    <w:p>
      <w:pPr>
        <w:pageBreakBefore w:val="0"/>
        <w:kinsoku/>
        <w:wordWrap/>
        <w:bidi w:val="0"/>
        <w:spacing w:line="360" w:lineRule="auto"/>
        <w:ind w:firstLine="57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通过以上分析，工程建设</w:t>
      </w:r>
      <w:r>
        <w:rPr>
          <w:rFonts w:hint="default" w:ascii="Times New Roman" w:hAnsi="Times New Roman" w:eastAsia="仿宋_GB2312" w:cs="Times New Roman"/>
          <w:bCs/>
          <w:sz w:val="24"/>
          <w:highlight w:val="none"/>
          <w:lang w:val="en-US" w:eastAsia="zh-CN"/>
        </w:rPr>
        <w:t>区</w:t>
      </w:r>
      <w:r>
        <w:rPr>
          <w:rFonts w:hint="default" w:ascii="Times New Roman" w:hAnsi="Times New Roman" w:eastAsia="仿宋_GB2312" w:cs="Times New Roman"/>
          <w:bCs/>
          <w:sz w:val="24"/>
          <w:highlight w:val="none"/>
        </w:rPr>
        <w:t>新增水土流失比较严重时段为施工期，因此要加强对建设期各项水土保持防治措施的布设。根据预测结果分析</w:t>
      </w:r>
      <w:r>
        <w:rPr>
          <w:rFonts w:hint="default" w:ascii="Times New Roman" w:hAnsi="Times New Roman" w:eastAsia="仿宋_GB2312" w:cs="Times New Roman"/>
          <w:bCs/>
          <w:sz w:val="24"/>
          <w:highlight w:val="none"/>
          <w:lang w:eastAsia="zh-CN"/>
        </w:rPr>
        <w:t>本期项目</w:t>
      </w:r>
      <w:r>
        <w:rPr>
          <w:rFonts w:hint="default" w:ascii="Times New Roman" w:hAnsi="Times New Roman" w:eastAsia="仿宋_GB2312" w:cs="Times New Roman"/>
          <w:bCs/>
          <w:sz w:val="24"/>
          <w:highlight w:val="none"/>
        </w:rPr>
        <w:t>建设中发生水土流失的重点区域为</w:t>
      </w:r>
      <w:r>
        <w:rPr>
          <w:rFonts w:hint="eastAsia" w:eastAsia="仿宋_GB2312" w:cs="Times New Roman"/>
          <w:bCs/>
          <w:sz w:val="24"/>
          <w:highlight w:val="none"/>
          <w:lang w:val="en-US" w:eastAsia="zh-CN"/>
        </w:rPr>
        <w:t>道路及硬化区</w:t>
      </w:r>
      <w:r>
        <w:rPr>
          <w:rFonts w:hint="default" w:ascii="Times New Roman" w:hAnsi="Times New Roman" w:eastAsia="仿宋_GB2312" w:cs="Times New Roman"/>
          <w:bCs/>
          <w:sz w:val="24"/>
          <w:highlight w:val="none"/>
        </w:rPr>
        <w:t>。</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highlight w:val="none"/>
          <w:lang w:eastAsia="zh-CN"/>
        </w:rPr>
      </w:pPr>
      <w:r>
        <w:rPr>
          <w:rFonts w:hint="default" w:ascii="Times New Roman" w:hAnsi="Times New Roman" w:eastAsia="宋体" w:cs="Times New Roman"/>
          <w:color w:val="000000"/>
          <w:highlight w:val="none"/>
          <w:lang w:eastAsia="zh-CN"/>
        </w:rPr>
        <w:drawing>
          <wp:inline distT="0" distB="0" distL="114300" distR="114300">
            <wp:extent cx="3919855" cy="2973705"/>
            <wp:effectExtent l="0" t="0" r="4445" b="17145"/>
            <wp:docPr id="76" name="图表 76" descr="7b0a202020202263686172745265734964223a202232303437343734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图4</w:t>
      </w:r>
      <w:r>
        <w:rPr>
          <w:rFonts w:hint="default" w:ascii="Times New Roman" w:hAnsi="Times New Roman" w:eastAsia="微软雅黑" w:cs="Times New Roman"/>
          <w:lang w:val="en-US" w:eastAsia="zh-CN"/>
        </w:rPr>
        <w:t xml:space="preserve">-1  </w:t>
      </w:r>
      <w:r>
        <w:rPr>
          <w:rFonts w:hint="default" w:ascii="Times New Roman" w:hAnsi="Times New Roman" w:eastAsia="微软雅黑" w:cs="Times New Roman"/>
        </w:rPr>
        <w:t>不同预测区域新增土壤流失量</w:t>
      </w:r>
    </w:p>
    <w:p>
      <w:pPr>
        <w:pStyle w:val="21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lang w:eastAsia="zh-CN"/>
        </w:rPr>
      </w:pPr>
      <w:r>
        <w:rPr>
          <w:rFonts w:hint="default" w:ascii="Times New Roman" w:hAnsi="Times New Roman" w:eastAsia="宋体" w:cs="Times New Roman"/>
          <w:lang w:eastAsia="zh-CN"/>
        </w:rPr>
        <w:drawing>
          <wp:inline distT="0" distB="0" distL="114300" distR="114300">
            <wp:extent cx="3997325" cy="2898140"/>
            <wp:effectExtent l="4445" t="5080" r="17780" b="11430"/>
            <wp:docPr id="102" name="图表 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sz w:val="24"/>
          <w:szCs w:val="20"/>
          <w:highlight w:val="none"/>
        </w:rPr>
      </w:pPr>
      <w:r>
        <w:rPr>
          <w:rFonts w:hint="default" w:ascii="Times New Roman" w:hAnsi="Times New Roman" w:eastAsia="微软雅黑" w:cs="Times New Roman"/>
        </w:rPr>
        <w:t>图</w:t>
      </w:r>
      <w:r>
        <w:rPr>
          <w:rFonts w:hint="default" w:ascii="Times New Roman" w:hAnsi="Times New Roman" w:eastAsia="微软雅黑" w:cs="Times New Roman"/>
          <w:lang w:val="en-US" w:eastAsia="zh-CN"/>
        </w:rPr>
        <w:t xml:space="preserve">4-2  </w:t>
      </w:r>
      <w:r>
        <w:rPr>
          <w:rFonts w:hint="default" w:ascii="Times New Roman" w:hAnsi="Times New Roman" w:eastAsia="微软雅黑" w:cs="Times New Roman"/>
        </w:rPr>
        <w:t>不同建设时段新增土壤流失比重饼状图</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4.5.2防治措施指导性意见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以上预测结果是在工程不采取水土保持措施基础上，可能发生的水土流失。产生水土流失的因素较多，地表物质组成与结构、风速和降雨强度是造成侵蚀强弱的主导因素。根据以往的经验，防治水土流失最有效的方法是以工程措施为基础，结合植物措施，永久措施结合临时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根据各施工区域的施工特点和工程性质，修建各种防护措施；施工结束后对扰动区域进行全面整地和植被恢复。</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4.5.3水土保持监测的指导性意见</w:t>
      </w:r>
    </w:p>
    <w:p>
      <w:pPr>
        <w:pStyle w:val="16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0"/>
          <w:highlight w:val="none"/>
        </w:rPr>
      </w:pPr>
      <w:r>
        <w:rPr>
          <w:rFonts w:hint="default" w:ascii="Times New Roman" w:hAnsi="Times New Roman" w:eastAsia="仿宋_GB2312" w:cs="Times New Roman"/>
          <w:color w:val="auto"/>
          <w:sz w:val="24"/>
          <w:szCs w:val="24"/>
        </w:rPr>
        <w:t>根据水土流失预测结果，施工期的新增水土流失较为突出，水土保持监测重点区域为</w:t>
      </w:r>
      <w:r>
        <w:rPr>
          <w:rFonts w:hint="default" w:ascii="Times New Roman" w:hAnsi="Times New Roman" w:eastAsia="仿宋_GB2312" w:cs="Times New Roman"/>
          <w:color w:val="auto"/>
          <w:sz w:val="24"/>
          <w:szCs w:val="24"/>
          <w:lang w:eastAsia="zh-CN"/>
        </w:rPr>
        <w:t>工程建设区</w:t>
      </w:r>
      <w:r>
        <w:rPr>
          <w:rFonts w:hint="default" w:ascii="Times New Roman" w:hAnsi="Times New Roman" w:eastAsia="仿宋_GB2312" w:cs="Times New Roman"/>
          <w:color w:val="auto"/>
          <w:sz w:val="24"/>
          <w:szCs w:val="24"/>
        </w:rPr>
        <w:t>，重点监测开挖扰动情况</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水土流失情况及后期植被恢复情况。</w:t>
      </w:r>
    </w:p>
    <w:p>
      <w:pPr>
        <w:pStyle w:val="164"/>
        <w:pageBreakBefore w:val="0"/>
        <w:kinsoku/>
        <w:wordWrap/>
        <w:bidi w:val="0"/>
        <w:spacing w:line="360" w:lineRule="auto"/>
        <w:ind w:firstLine="48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综上所述，工程建设对当地的水土流失影响主要为建设期的施工活动改变、损坏和压埋原有地貌及植被，造成地表裸露，降低原有植被的抗蚀能力，加剧水土流失。从水土流失预测的结果可以看出，工程建设中水土流失主要发生在工程施工间，主体工程建设对地面扰动范围较大，可能造成的水土流失量也较大，因此这些区域除必须采取的临时防护措施外，施工结束后还应以植被措施防护为主，因地制宜，构成行之有效的防治体系，遏制水土流失的发生与发展。</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pPr>
        <w:pStyle w:val="164"/>
        <w:pageBreakBefore w:val="0"/>
        <w:kinsoku/>
        <w:wordWrap/>
        <w:bidi w:val="0"/>
        <w:spacing w:line="360" w:lineRule="auto"/>
        <w:ind w:firstLine="480"/>
        <w:rPr>
          <w:rFonts w:hint="default" w:ascii="Times New Roman" w:hAnsi="Times New Roman" w:eastAsia="仿宋_GB2312" w:cs="Times New Roman"/>
          <w:sz w:val="24"/>
          <w:highlight w:val="none"/>
        </w:rPr>
      </w:pPr>
    </w:p>
    <w:p>
      <w:pPr>
        <w:pStyle w:val="164"/>
        <w:pageBreakBefore w:val="0"/>
        <w:kinsoku/>
        <w:wordWrap/>
        <w:bidi w:val="0"/>
        <w:spacing w:line="360" w:lineRule="auto"/>
        <w:ind w:firstLine="480"/>
        <w:rPr>
          <w:rFonts w:hint="default" w:ascii="Times New Roman" w:hAnsi="Times New Roman" w:eastAsia="仿宋_GB2312" w:cs="Times New Roman"/>
          <w:sz w:val="24"/>
          <w:highlight w:val="none"/>
        </w:rPr>
      </w:pPr>
    </w:p>
    <w:p>
      <w:pPr>
        <w:pageBreakBefore w:val="0"/>
        <w:kinsoku/>
        <w:wordWrap/>
        <w:bidi w:val="0"/>
        <w:spacing w:line="360" w:lineRule="auto"/>
        <w:ind w:firstLine="548" w:firstLineChars="196"/>
        <w:rPr>
          <w:rFonts w:hint="default" w:ascii="Times New Roman" w:hAnsi="Times New Roman" w:eastAsia="仿宋_GB2312" w:cs="Times New Roman"/>
          <w:snapToGrid w:val="0"/>
          <w:kern w:val="0"/>
          <w:sz w:val="28"/>
          <w:szCs w:val="28"/>
          <w:highlight w:val="none"/>
        </w:rPr>
        <w:sectPr>
          <w:headerReference r:id="rId18" w:type="default"/>
          <w:footerReference r:id="rId19" w:type="default"/>
          <w:pgSz w:w="11906" w:h="16838"/>
          <w:pgMar w:top="1440" w:right="1701"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4"/>
        <w:bidi w:val="0"/>
        <w:rPr>
          <w:rFonts w:hint="default" w:ascii="Times New Roman" w:hAnsi="Times New Roman" w:cs="Times New Roman"/>
        </w:rPr>
      </w:pPr>
      <w:bookmarkStart w:id="261" w:name="_5_水土流失防治方案"/>
      <w:bookmarkEnd w:id="261"/>
      <w:bookmarkStart w:id="262" w:name="_Toc84903181"/>
      <w:bookmarkStart w:id="263" w:name="_Toc84903329"/>
      <w:bookmarkStart w:id="264" w:name="_Toc71019334"/>
      <w:bookmarkStart w:id="265" w:name="_Toc85905621"/>
      <w:bookmarkStart w:id="266" w:name="_Toc93231820"/>
      <w:bookmarkStart w:id="267" w:name="_Toc93562133"/>
      <w:bookmarkStart w:id="268" w:name="_Toc84902424"/>
      <w:bookmarkStart w:id="269" w:name="_Toc85905516"/>
      <w:bookmarkStart w:id="270" w:name="_Toc72112418"/>
      <w:bookmarkStart w:id="271" w:name="_Toc85682079"/>
      <w:bookmarkStart w:id="272" w:name="_Toc71770251"/>
      <w:bookmarkStart w:id="273" w:name="_Toc71963307"/>
      <w:bookmarkStart w:id="274" w:name="_Toc70670631"/>
      <w:bookmarkStart w:id="275" w:name="_Toc71019226"/>
      <w:bookmarkStart w:id="276" w:name="_Toc70480688"/>
      <w:bookmarkStart w:id="277" w:name="_Toc85683222"/>
      <w:bookmarkStart w:id="278" w:name="_Toc63847041"/>
      <w:bookmarkStart w:id="279" w:name="_Toc85681736"/>
      <w:bookmarkStart w:id="280" w:name="_Toc70480586"/>
      <w:bookmarkStart w:id="281" w:name="_Toc85681974"/>
      <w:bookmarkStart w:id="282" w:name="_Toc72031787"/>
      <w:bookmarkStart w:id="283" w:name="_Toc84902827"/>
      <w:bookmarkStart w:id="284" w:name="_Toc72119368"/>
      <w:bookmarkStart w:id="285" w:name="_Toc93231909"/>
      <w:bookmarkStart w:id="286" w:name="_Toc84903273"/>
      <w:bookmarkStart w:id="287" w:name="_Toc28191"/>
      <w:bookmarkStart w:id="288" w:name="_Toc903"/>
      <w:bookmarkStart w:id="289" w:name="_Toc18201"/>
      <w:r>
        <w:rPr>
          <w:rFonts w:hint="default" w:ascii="Times New Roman" w:hAnsi="Times New Roman" w:cs="Times New Roman"/>
        </w:rPr>
        <w:t>5</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r>
        <w:rPr>
          <w:rFonts w:hint="default" w:ascii="Times New Roman" w:hAnsi="Times New Roman" w:cs="Times New Roman"/>
        </w:rPr>
        <w:t>水土保持措施</w:t>
      </w:r>
      <w:bookmarkEnd w:id="287"/>
      <w:bookmarkEnd w:id="288"/>
      <w:bookmarkEnd w:id="289"/>
    </w:p>
    <w:p>
      <w:pPr>
        <w:pStyle w:val="5"/>
        <w:bidi w:val="0"/>
        <w:rPr>
          <w:rFonts w:hint="default" w:ascii="Times New Roman" w:hAnsi="Times New Roman" w:cs="Times New Roman"/>
        </w:rPr>
      </w:pPr>
      <w:bookmarkStart w:id="290" w:name="_5.1_方案编制的原则"/>
      <w:bookmarkEnd w:id="290"/>
      <w:bookmarkStart w:id="291" w:name="_Toc84902829"/>
      <w:bookmarkStart w:id="292" w:name="_Toc85681738"/>
      <w:bookmarkStart w:id="293" w:name="_Toc72119370"/>
      <w:bookmarkStart w:id="294" w:name="_Toc85681976"/>
      <w:bookmarkStart w:id="295" w:name="_Toc72031789"/>
      <w:bookmarkStart w:id="296" w:name="_Toc85682081"/>
      <w:bookmarkStart w:id="297" w:name="_Toc93562135"/>
      <w:bookmarkStart w:id="298" w:name="_Toc72112420"/>
      <w:bookmarkStart w:id="299" w:name="_Toc84903183"/>
      <w:bookmarkStart w:id="300" w:name="_Toc93231822"/>
      <w:bookmarkStart w:id="301" w:name="_Toc63846079"/>
      <w:bookmarkStart w:id="302" w:name="_Toc70480690"/>
      <w:bookmarkStart w:id="303" w:name="_Toc63847043"/>
      <w:bookmarkStart w:id="304" w:name="_Toc85683224"/>
      <w:bookmarkStart w:id="305" w:name="_Toc71019228"/>
      <w:bookmarkStart w:id="306" w:name="_Toc71019336"/>
      <w:bookmarkStart w:id="307" w:name="_Toc93231911"/>
      <w:bookmarkStart w:id="308" w:name="_Toc84903331"/>
      <w:bookmarkStart w:id="309" w:name="_Toc70670633"/>
      <w:bookmarkStart w:id="310" w:name="_Toc70480588"/>
      <w:bookmarkStart w:id="311" w:name="_Toc71963309"/>
      <w:bookmarkStart w:id="312" w:name="_Toc84903275"/>
      <w:bookmarkStart w:id="313" w:name="_Toc85905623"/>
      <w:bookmarkStart w:id="314" w:name="_Toc71770253"/>
      <w:bookmarkStart w:id="315" w:name="_Toc85905518"/>
      <w:bookmarkStart w:id="316" w:name="_Toc84902426"/>
      <w:bookmarkStart w:id="317" w:name="_Toc7385"/>
      <w:bookmarkStart w:id="318" w:name="_Toc10893"/>
      <w:bookmarkStart w:id="319" w:name="_Toc18943"/>
      <w:r>
        <w:rPr>
          <w:rFonts w:hint="default" w:ascii="Times New Roman" w:hAnsi="Times New Roman" w:cs="Times New Roman"/>
        </w:rPr>
        <w:t>5.1</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Pr>
          <w:rFonts w:hint="default" w:ascii="Times New Roman" w:hAnsi="Times New Roman" w:cs="Times New Roman"/>
        </w:rPr>
        <w:t>防治区划分</w:t>
      </w:r>
      <w:bookmarkEnd w:id="317"/>
      <w:bookmarkEnd w:id="318"/>
      <w:bookmarkEnd w:id="319"/>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0"/>
          <w:highlight w:val="none"/>
        </w:rPr>
      </w:pPr>
      <w:r>
        <w:rPr>
          <w:rFonts w:hint="default" w:ascii="Times New Roman" w:hAnsi="Times New Roman" w:eastAsia="仿宋_GB2312" w:cs="Times New Roman"/>
          <w:sz w:val="24"/>
          <w:szCs w:val="24"/>
          <w:highlight w:val="none"/>
        </w:rPr>
        <w:t>根据水土流失防治责任范围内各部分地貌类型、主体工程布局、施工工艺及水土流失特点等，工程水土保持防治区划分为</w:t>
      </w:r>
      <w:r>
        <w:rPr>
          <w:rFonts w:hint="default" w:ascii="Times New Roman" w:hAnsi="Times New Roman" w:eastAsia="仿宋_GB2312" w:cs="Times New Roman"/>
          <w:sz w:val="24"/>
          <w:szCs w:val="24"/>
          <w:highlight w:val="none"/>
          <w:lang w:val="en-US" w:eastAsia="zh-CN"/>
        </w:rPr>
        <w:t>施工建设区1</w:t>
      </w:r>
      <w:r>
        <w:rPr>
          <w:rFonts w:hint="default" w:ascii="Times New Roman" w:hAnsi="Times New Roman" w:eastAsia="仿宋_GB2312" w:cs="Times New Roman"/>
          <w:sz w:val="24"/>
          <w:szCs w:val="24"/>
          <w:highlight w:val="none"/>
        </w:rPr>
        <w:t>个防治分区。分区水土保持防治本着永久措施与临时措施相结合的原则，形成综合防治措施体系。防治措施体系按照系统工程原理，处理好局部与整体、单项与综合、近期与远期的关系，制定投资少、效益好、可操作性强的水土保持方案，有效的控制防治责任范围内的水土流失。工程水土保持防治分区及水土流失特征见表5-1。</w:t>
      </w:r>
    </w:p>
    <w:p>
      <w:pPr>
        <w:pStyle w:val="16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val="zh-CN" w:eastAsia="zh-CN"/>
        </w:rPr>
      </w:pPr>
      <w:r>
        <w:rPr>
          <w:rFonts w:hint="default" w:ascii="Times New Roman" w:hAnsi="Times New Roman" w:eastAsia="微软雅黑" w:cs="Times New Roman"/>
          <w:b w:val="0"/>
          <w:bCs w:val="0"/>
          <w:sz w:val="21"/>
          <w:szCs w:val="21"/>
          <w:highlight w:val="none"/>
          <w:lang w:val="zh-CN" w:eastAsia="zh-CN"/>
        </w:rPr>
        <w:t>表</w:t>
      </w:r>
      <w:r>
        <w:rPr>
          <w:rFonts w:hint="default" w:ascii="Times New Roman" w:hAnsi="Times New Roman" w:eastAsia="微软雅黑" w:cs="Times New Roman"/>
          <w:b w:val="0"/>
          <w:bCs w:val="0"/>
          <w:sz w:val="21"/>
          <w:szCs w:val="21"/>
          <w:highlight w:val="none"/>
          <w:lang w:val="en-US" w:eastAsia="zh-CN"/>
        </w:rPr>
        <w:t xml:space="preserve">5-1  </w:t>
      </w:r>
      <w:r>
        <w:rPr>
          <w:rFonts w:hint="default" w:ascii="Times New Roman" w:hAnsi="Times New Roman" w:eastAsia="微软雅黑" w:cs="Times New Roman"/>
          <w:b w:val="0"/>
          <w:bCs w:val="0"/>
          <w:sz w:val="21"/>
          <w:szCs w:val="21"/>
          <w:highlight w:val="none"/>
          <w:lang w:val="zh-CN" w:eastAsia="zh-CN"/>
        </w:rPr>
        <w:t>防治分区表</w:t>
      </w:r>
    </w:p>
    <w:tbl>
      <w:tblPr>
        <w:tblStyle w:val="88"/>
        <w:tblW w:w="4999" w:type="pct"/>
        <w:jc w:val="center"/>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949"/>
        <w:gridCol w:w="6673"/>
      </w:tblGrid>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130"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防治分区</w:t>
            </w:r>
          </w:p>
        </w:tc>
        <w:tc>
          <w:tcPr>
            <w:tcW w:w="3869"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水土流失特征</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130"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工程建设区</w:t>
            </w:r>
          </w:p>
        </w:tc>
        <w:tc>
          <w:tcPr>
            <w:tcW w:w="3869" w:type="pct"/>
            <w:tcBorders>
              <w:tl2br w:val="nil"/>
              <w:tr2bl w:val="nil"/>
            </w:tcBorders>
            <w:noWrap w:val="0"/>
            <w:vAlign w:val="center"/>
          </w:tcPr>
          <w:p>
            <w:pPr>
              <w:jc w:val="both"/>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lang w:val="en-US" w:eastAsia="zh-CN"/>
              </w:rPr>
              <w:t>基础开挖改变地貌，地表裸露，径流冲刷与雨滴击溅，施工机械碾压，人员交通碾压、材料堆放，土石方开挖、调运、堆置和回覆使土质疏松，造成水土流失</w:t>
            </w:r>
          </w:p>
        </w:tc>
      </w:tr>
    </w:tbl>
    <w:p>
      <w:pPr>
        <w:pStyle w:val="5"/>
        <w:bidi w:val="0"/>
        <w:rPr>
          <w:rFonts w:hint="default" w:ascii="Times New Roman" w:hAnsi="Times New Roman" w:cs="Times New Roman"/>
        </w:rPr>
      </w:pPr>
      <w:bookmarkStart w:id="320" w:name="_Toc9122"/>
      <w:bookmarkStart w:id="321" w:name="_Toc2612"/>
      <w:bookmarkStart w:id="322" w:name="_Toc31583"/>
      <w:bookmarkStart w:id="323" w:name="_Toc165093826"/>
      <w:bookmarkStart w:id="324" w:name="_Toc152040144"/>
      <w:bookmarkStart w:id="325" w:name="_Toc165190184"/>
      <w:bookmarkStart w:id="326" w:name="_Toc156179605"/>
      <w:r>
        <w:rPr>
          <w:rFonts w:hint="default" w:ascii="Times New Roman" w:hAnsi="Times New Roman" w:cs="Times New Roman"/>
        </w:rPr>
        <w:t>5.2措施总体布局</w:t>
      </w:r>
      <w:bookmarkEnd w:id="320"/>
      <w:bookmarkEnd w:id="321"/>
      <w:bookmarkEnd w:id="322"/>
    </w:p>
    <w:p>
      <w:pPr>
        <w:pStyle w:val="6"/>
        <w:bidi w:val="0"/>
        <w:rPr>
          <w:rFonts w:hint="default" w:ascii="Times New Roman" w:hAnsi="Times New Roman" w:cs="Times New Roman"/>
          <w:lang w:val="en-US" w:eastAsia="zh-CN"/>
        </w:rPr>
      </w:pPr>
      <w:bookmarkStart w:id="327" w:name="_Toc93231830"/>
      <w:bookmarkStart w:id="328" w:name="_Toc74469509"/>
      <w:bookmarkStart w:id="329" w:name="_Toc93231914"/>
      <w:bookmarkStart w:id="330" w:name="_Toc85682084"/>
      <w:bookmarkStart w:id="331" w:name="_Toc85905626"/>
      <w:bookmarkStart w:id="332" w:name="_Toc93562138"/>
      <w:bookmarkStart w:id="333" w:name="_Toc85681984"/>
      <w:bookmarkStart w:id="334" w:name="_Toc74468455"/>
      <w:bookmarkStart w:id="335" w:name="_Toc85905526"/>
      <w:bookmarkStart w:id="336" w:name="_Toc85683227"/>
      <w:bookmarkStart w:id="337" w:name="_Toc85681746"/>
      <w:r>
        <w:rPr>
          <w:rFonts w:hint="default" w:ascii="Times New Roman" w:hAnsi="Times New Roman" w:cs="Times New Roman"/>
          <w:lang w:val="en-US" w:eastAsia="zh-CN"/>
        </w:rPr>
        <w:t>5.2.1水土保持工程级别和设计标准</w:t>
      </w:r>
    </w:p>
    <w:p>
      <w:pPr>
        <w:pStyle w:val="164"/>
        <w:pageBreakBefore w:val="0"/>
        <w:kinsoku/>
        <w:wordWrap/>
        <w:bidi w:val="0"/>
        <w:spacing w:line="360" w:lineRule="auto"/>
        <w:ind w:firstLine="480"/>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根据《水土保持工程设计规范》（GB51018-2014）生产建设项目的植被恢复和建设工程级别确定要求，</w:t>
      </w:r>
      <w:r>
        <w:rPr>
          <w:rFonts w:hint="default" w:ascii="Times New Roman" w:hAnsi="Times New Roman" w:eastAsia="仿宋_GB2312" w:cs="Times New Roman"/>
          <w:sz w:val="24"/>
          <w:szCs w:val="24"/>
          <w:highlight w:val="none"/>
          <w:lang w:eastAsia="zh-CN"/>
        </w:rPr>
        <w:t>本期项目</w:t>
      </w:r>
      <w:r>
        <w:rPr>
          <w:rFonts w:hint="default" w:ascii="Times New Roman" w:hAnsi="Times New Roman" w:eastAsia="仿宋_GB2312" w:cs="Times New Roman"/>
          <w:sz w:val="24"/>
          <w:szCs w:val="24"/>
          <w:highlight w:val="none"/>
        </w:rPr>
        <w:t>采用绿化工程设计标准，植被恢复工程设计标准采用</w:t>
      </w:r>
      <w:r>
        <w:rPr>
          <w:rFonts w:hint="default" w:ascii="Times New Roman" w:hAnsi="Times New Roman" w:eastAsia="仿宋_GB2312" w:cs="Times New Roman"/>
          <w:sz w:val="24"/>
          <w:szCs w:val="24"/>
          <w:highlight w:val="none"/>
          <w:lang w:val="en-US" w:eastAsia="zh-CN"/>
        </w:rPr>
        <w:t>1</w:t>
      </w:r>
      <w:r>
        <w:rPr>
          <w:rFonts w:hint="default" w:ascii="Times New Roman" w:hAnsi="Times New Roman" w:eastAsia="仿宋_GB2312" w:cs="Times New Roman"/>
          <w:sz w:val="24"/>
          <w:szCs w:val="24"/>
          <w:highlight w:val="none"/>
        </w:rPr>
        <w:t>级标准。雨水管线工程按照《室外排水设计标准》（GB50014-2021）</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lang w:val="en-US" w:eastAsia="zh-CN"/>
        </w:rPr>
        <w:t>2021年版</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要求降雨历时为</w:t>
      </w:r>
      <w:r>
        <w:rPr>
          <w:rFonts w:hint="default" w:ascii="Times New Roman" w:hAnsi="Times New Roman" w:eastAsia="仿宋_GB2312" w:cs="Times New Roman"/>
          <w:sz w:val="24"/>
          <w:szCs w:val="24"/>
          <w:highlight w:val="none"/>
          <w:lang w:val="en-US" w:eastAsia="zh-CN"/>
        </w:rPr>
        <w:t>1</w:t>
      </w:r>
      <w:r>
        <w:rPr>
          <w:rFonts w:hint="default" w:ascii="Times New Roman" w:hAnsi="Times New Roman" w:eastAsia="仿宋_GB2312" w:cs="Times New Roman"/>
          <w:sz w:val="24"/>
          <w:szCs w:val="24"/>
          <w:highlight w:val="none"/>
        </w:rPr>
        <w:t>5min，设计重现期2年。</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5.2.3防治措施体系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bCs/>
          <w:sz w:val="24"/>
          <w:highlight w:val="none"/>
        </w:rPr>
        <w:t>根据</w:t>
      </w:r>
      <w:r>
        <w:rPr>
          <w:rFonts w:hint="default" w:ascii="Times New Roman" w:hAnsi="Times New Roman" w:eastAsia="仿宋_GB2312" w:cs="Times New Roman"/>
          <w:bCs/>
          <w:sz w:val="24"/>
          <w:highlight w:val="none"/>
          <w:lang w:eastAsia="zh-CN"/>
        </w:rPr>
        <w:t>本期工程</w:t>
      </w:r>
      <w:r>
        <w:rPr>
          <w:rFonts w:hint="default" w:ascii="Times New Roman" w:hAnsi="Times New Roman" w:eastAsia="仿宋_GB2312" w:cs="Times New Roman"/>
          <w:bCs/>
          <w:sz w:val="24"/>
          <w:highlight w:val="none"/>
        </w:rPr>
        <w:t>各防治分区的具体情况，采取不同的、行之有效的防治措施、方法和手段，对可能产生水土流失的区域进行防治。在</w:t>
      </w:r>
      <w:r>
        <w:rPr>
          <w:rFonts w:hint="default" w:ascii="Times New Roman" w:hAnsi="Times New Roman" w:eastAsia="仿宋_GB2312" w:cs="Times New Roman"/>
          <w:bCs/>
          <w:sz w:val="24"/>
          <w:highlight w:val="none"/>
          <w:lang w:eastAsia="zh-CN"/>
        </w:rPr>
        <w:t>本期工程</w:t>
      </w:r>
      <w:r>
        <w:rPr>
          <w:rFonts w:hint="default" w:ascii="Times New Roman" w:hAnsi="Times New Roman" w:eastAsia="仿宋_GB2312" w:cs="Times New Roman"/>
          <w:bCs/>
          <w:sz w:val="24"/>
          <w:highlight w:val="none"/>
        </w:rPr>
        <w:t>水土保持措施布局上，把水土保持工程措施、植物措施和临时措施有效结合起来，突出重点时段、重点区域集中治理的特点，充分体现“生态优先、绿色发展”的理念，合理的确定水土保持措施总体布局，以形成完整的、科学的水土保持防治体系。</w:t>
      </w:r>
      <w:r>
        <w:rPr>
          <w:rFonts w:hint="default" w:ascii="Times New Roman" w:hAnsi="Times New Roman" w:eastAsia="仿宋_GB2312" w:cs="Times New Roman"/>
          <w:sz w:val="24"/>
          <w:szCs w:val="28"/>
          <w:highlight w:val="none"/>
        </w:rPr>
        <w:t>根据对主体工程的分析评价结果和项目各水土流失防治分区特点，本方案确定水土流失防治措施布局如下：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仿宋_GB2312" w:cs="Times New Roman"/>
          <w:sz w:val="24"/>
          <w:szCs w:val="24"/>
        </w:rPr>
        <w:t>施工期在场区内沿道路布设雨水排水管线及</w:t>
      </w:r>
      <w:r>
        <w:rPr>
          <w:rFonts w:hint="default" w:ascii="Times New Roman" w:hAnsi="Times New Roman" w:eastAsia="仿宋_GB2312" w:cs="Times New Roman"/>
          <w:sz w:val="24"/>
          <w:szCs w:val="24"/>
          <w:lang w:eastAsia="zh-CN"/>
        </w:rPr>
        <w:t>雨水</w:t>
      </w:r>
      <w:r>
        <w:rPr>
          <w:rFonts w:hint="eastAsia" w:eastAsia="仿宋_GB2312" w:cs="Times New Roman"/>
          <w:sz w:val="24"/>
          <w:szCs w:val="24"/>
          <w:lang w:val="en-US" w:eastAsia="zh-CN"/>
        </w:rPr>
        <w:t>口</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对基础开挖土方采取密目网苫盖措施</w:t>
      </w:r>
      <w:r>
        <w:rPr>
          <w:rFonts w:hint="default" w:ascii="Times New Roman" w:hAnsi="Times New Roman" w:eastAsia="仿宋_GB2312" w:cs="Times New Roman"/>
          <w:sz w:val="24"/>
          <w:szCs w:val="24"/>
        </w:rPr>
        <w:t>；主体工程施工结束后对绿化区域进行绿化覆土，并采取全面整地</w:t>
      </w:r>
      <w:r>
        <w:rPr>
          <w:rFonts w:hint="default" w:ascii="Times New Roman" w:hAnsi="Times New Roman" w:eastAsia="仿宋_GB2312" w:cs="Times New Roman"/>
          <w:sz w:val="24"/>
          <w:szCs w:val="24"/>
          <w:lang w:val="en-US" w:eastAsia="zh-CN"/>
        </w:rPr>
        <w:t>后</w:t>
      </w:r>
      <w:r>
        <w:rPr>
          <w:rFonts w:hint="default" w:ascii="Times New Roman" w:hAnsi="Times New Roman" w:eastAsia="仿宋_GB2312" w:cs="Times New Roman"/>
          <w:sz w:val="24"/>
          <w:szCs w:val="24"/>
        </w:rPr>
        <w:t>进行栽植乔灌木及撒播种草绿化。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分区措施布设见表5-2。水土流失综合防治措施体系见图5-1。</w:t>
      </w:r>
    </w:p>
    <w:p>
      <w:pPr>
        <w:pStyle w:val="16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val="zh-CN" w:eastAsia="zh-CN"/>
        </w:rPr>
      </w:pPr>
      <w:r>
        <w:rPr>
          <w:rFonts w:hint="default" w:ascii="Times New Roman" w:hAnsi="Times New Roman" w:eastAsia="微软雅黑" w:cs="Times New Roman"/>
          <w:b w:val="0"/>
          <w:bCs w:val="0"/>
          <w:sz w:val="21"/>
          <w:szCs w:val="21"/>
          <w:highlight w:val="none"/>
          <w:lang w:val="zh-CN" w:eastAsia="zh-CN"/>
        </w:rPr>
        <w:t>表5-2</w:t>
      </w:r>
      <w:r>
        <w:rPr>
          <w:rFonts w:hint="default" w:ascii="Times New Roman" w:hAnsi="Times New Roman" w:eastAsia="微软雅黑" w:cs="Times New Roman"/>
          <w:b w:val="0"/>
          <w:bCs w:val="0"/>
          <w:sz w:val="21"/>
          <w:szCs w:val="21"/>
          <w:highlight w:val="none"/>
          <w:lang w:val="en-US" w:eastAsia="zh-CN"/>
        </w:rPr>
        <w:t xml:space="preserve">  </w:t>
      </w:r>
      <w:r>
        <w:rPr>
          <w:rFonts w:hint="default" w:ascii="Times New Roman" w:hAnsi="Times New Roman" w:eastAsia="微软雅黑" w:cs="Times New Roman"/>
          <w:b w:val="0"/>
          <w:bCs w:val="0"/>
          <w:sz w:val="21"/>
          <w:szCs w:val="21"/>
          <w:highlight w:val="none"/>
          <w:lang w:val="zh-CN" w:eastAsia="zh-CN"/>
        </w:rPr>
        <w:t>水土保持措施布设</w:t>
      </w:r>
    </w:p>
    <w:tbl>
      <w:tblPr>
        <w:tblStyle w:val="88"/>
        <w:tblW w:w="5063" w:type="pct"/>
        <w:jc w:val="center"/>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1969"/>
        <w:gridCol w:w="1861"/>
        <w:gridCol w:w="4793"/>
      </w:tblGrid>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142" w:type="pct"/>
            <w:tcBorders>
              <w:tl2br w:val="nil"/>
              <w:tr2bl w:val="nil"/>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防治分区</w:t>
            </w:r>
          </w:p>
        </w:tc>
        <w:tc>
          <w:tcPr>
            <w:tcW w:w="107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防治措施</w:t>
            </w:r>
          </w:p>
        </w:tc>
        <w:tc>
          <w:tcPr>
            <w:tcW w:w="277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具体措施</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142" w:type="pct"/>
            <w:vMerge w:val="restart"/>
            <w:tcBorders>
              <w:tl2br w:val="nil"/>
              <w:tr2bl w:val="nil"/>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r>
              <w:rPr>
                <w:rFonts w:hint="default" w:ascii="Times New Roman" w:hAnsi="Times New Roman" w:eastAsia="仿宋_GB2312" w:cs="Times New Roman"/>
                <w:bCs/>
                <w:kern w:val="0"/>
                <w:sz w:val="21"/>
                <w:szCs w:val="21"/>
                <w:highlight w:val="none"/>
              </w:rPr>
              <w:t>工程建设区</w:t>
            </w:r>
          </w:p>
        </w:tc>
        <w:tc>
          <w:tcPr>
            <w:tcW w:w="1079"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r>
              <w:rPr>
                <w:rFonts w:hint="default" w:ascii="Times New Roman" w:hAnsi="Times New Roman" w:eastAsia="仿宋_GB2312" w:cs="Times New Roman"/>
                <w:bCs/>
                <w:kern w:val="0"/>
                <w:sz w:val="21"/>
                <w:szCs w:val="21"/>
                <w:highlight w:val="none"/>
              </w:rPr>
              <w:t>工程措施</w:t>
            </w:r>
          </w:p>
        </w:tc>
        <w:tc>
          <w:tcPr>
            <w:tcW w:w="277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雨水管线、</w:t>
            </w:r>
            <w:r>
              <w:rPr>
                <w:rFonts w:hint="eastAsia" w:eastAsia="仿宋_GB2312" w:cs="Times New Roman"/>
                <w:kern w:val="0"/>
                <w:sz w:val="21"/>
                <w:szCs w:val="21"/>
                <w:highlight w:val="none"/>
                <w:lang w:eastAsia="zh-CN"/>
              </w:rPr>
              <w:t>雨水口</w:t>
            </w:r>
            <w:r>
              <w:rPr>
                <w:rFonts w:hint="default" w:ascii="Times New Roman" w:hAnsi="Times New Roman" w:eastAsia="仿宋_GB2312" w:cs="Times New Roman"/>
                <w:kern w:val="0"/>
                <w:sz w:val="21"/>
                <w:szCs w:val="21"/>
                <w:highlight w:val="none"/>
              </w:rPr>
              <w:t>*</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142" w:type="pct"/>
            <w:vMerge w:val="continue"/>
            <w:tcBorders>
              <w:tl2br w:val="nil"/>
              <w:tr2bl w:val="nil"/>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1079"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277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绿化用土回覆*</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142" w:type="pct"/>
            <w:vMerge w:val="continue"/>
            <w:tcBorders>
              <w:tl2br w:val="nil"/>
              <w:tr2bl w:val="nil"/>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1079"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277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r>
              <w:rPr>
                <w:rFonts w:hint="default" w:ascii="Times New Roman" w:hAnsi="Times New Roman" w:eastAsia="仿宋_GB2312" w:cs="Times New Roman"/>
                <w:bCs/>
                <w:kern w:val="0"/>
                <w:sz w:val="21"/>
                <w:szCs w:val="21"/>
                <w:highlight w:val="none"/>
              </w:rPr>
              <w:t>全面整地#</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142" w:type="pct"/>
            <w:vMerge w:val="continue"/>
            <w:tcBorders>
              <w:tl2br w:val="nil"/>
              <w:tr2bl w:val="nil"/>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107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r>
              <w:rPr>
                <w:rFonts w:hint="default" w:ascii="Times New Roman" w:hAnsi="Times New Roman" w:eastAsia="仿宋_GB2312" w:cs="Times New Roman"/>
                <w:bCs/>
                <w:kern w:val="0"/>
                <w:sz w:val="21"/>
                <w:szCs w:val="21"/>
                <w:highlight w:val="none"/>
              </w:rPr>
              <w:t>植物措施</w:t>
            </w:r>
          </w:p>
        </w:tc>
        <w:tc>
          <w:tcPr>
            <w:tcW w:w="277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lang w:eastAsia="zh-CN"/>
              </w:rPr>
            </w:pPr>
            <w:r>
              <w:rPr>
                <w:rFonts w:hint="default" w:ascii="Times New Roman" w:hAnsi="Times New Roman" w:eastAsia="仿宋_GB2312" w:cs="Times New Roman"/>
                <w:spacing w:val="1"/>
                <w:sz w:val="21"/>
                <w:szCs w:val="21"/>
                <w:lang w:val="en-US" w:eastAsia="zh-CN"/>
              </w:rPr>
              <w:t>绿化</w:t>
            </w:r>
            <w:r>
              <w:rPr>
                <w:rFonts w:hint="default" w:ascii="Times New Roman" w:hAnsi="Times New Roman" w:eastAsia="仿宋_GB2312" w:cs="Times New Roman"/>
                <w:kern w:val="0"/>
                <w:sz w:val="21"/>
                <w:szCs w:val="21"/>
                <w:highlight w:val="none"/>
              </w:rPr>
              <w:t>*</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142" w:type="pct"/>
            <w:vMerge w:val="continue"/>
            <w:tcBorders>
              <w:tl2br w:val="nil"/>
              <w:tr2bl w:val="nil"/>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1079"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r>
              <w:rPr>
                <w:rFonts w:hint="default" w:ascii="Times New Roman" w:hAnsi="Times New Roman" w:eastAsia="仿宋_GB2312" w:cs="Times New Roman"/>
                <w:bCs/>
                <w:kern w:val="0"/>
                <w:sz w:val="21"/>
                <w:szCs w:val="21"/>
                <w:highlight w:val="none"/>
              </w:rPr>
              <w:t>临时措施</w:t>
            </w:r>
          </w:p>
        </w:tc>
        <w:tc>
          <w:tcPr>
            <w:tcW w:w="277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pacing w:val="1"/>
                <w:sz w:val="21"/>
                <w:szCs w:val="21"/>
                <w:lang w:val="en-US" w:eastAsia="zh-CN"/>
              </w:rPr>
            </w:pPr>
            <w:r>
              <w:rPr>
                <w:rFonts w:hint="default" w:ascii="Times New Roman" w:hAnsi="Times New Roman" w:eastAsia="仿宋_GB2312" w:cs="Times New Roman"/>
                <w:spacing w:val="1"/>
                <w:sz w:val="21"/>
                <w:szCs w:val="21"/>
                <w:lang w:val="en-US" w:eastAsia="zh-CN"/>
              </w:rPr>
              <w:t>编织袋装土砌筑及</w:t>
            </w:r>
            <w:r>
              <w:rPr>
                <w:rFonts w:hint="eastAsia" w:eastAsia="仿宋_GB2312" w:cs="Times New Roman"/>
                <w:spacing w:val="1"/>
                <w:sz w:val="21"/>
                <w:szCs w:val="21"/>
                <w:lang w:val="en-US" w:eastAsia="zh-CN"/>
              </w:rPr>
              <w:t>拆除</w:t>
            </w:r>
            <w:r>
              <w:rPr>
                <w:rFonts w:hint="default" w:ascii="Times New Roman" w:hAnsi="Times New Roman" w:eastAsia="仿宋_GB2312" w:cs="Times New Roman"/>
                <w:bCs/>
                <w:kern w:val="0"/>
                <w:sz w:val="21"/>
                <w:szCs w:val="21"/>
                <w:highlight w:val="none"/>
              </w:rPr>
              <w:t>#</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142" w:type="pct"/>
            <w:vMerge w:val="continue"/>
            <w:tcBorders>
              <w:tl2br w:val="nil"/>
              <w:tr2bl w:val="nil"/>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107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277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宋体" w:cs="Times New Roman"/>
                <w:bCs/>
                <w:kern w:val="0"/>
                <w:sz w:val="21"/>
                <w:szCs w:val="21"/>
                <w:highlight w:val="none"/>
                <w:lang w:val="en-US" w:eastAsia="zh-CN"/>
              </w:rPr>
            </w:pPr>
            <w:r>
              <w:rPr>
                <w:rFonts w:hint="default" w:ascii="Times New Roman" w:hAnsi="Times New Roman" w:eastAsia="仿宋_GB2312" w:cs="Times New Roman"/>
                <w:spacing w:val="1"/>
                <w:sz w:val="21"/>
                <w:szCs w:val="21"/>
                <w:lang w:val="en-US" w:eastAsia="zh-CN"/>
              </w:rPr>
              <w:t>密目网苫盖</w:t>
            </w:r>
            <w:r>
              <w:rPr>
                <w:rFonts w:hint="default" w:ascii="Times New Roman" w:hAnsi="Times New Roman" w:eastAsia="仿宋_GB2312" w:cs="Times New Roman"/>
                <w:kern w:val="0"/>
                <w:sz w:val="21"/>
                <w:szCs w:val="21"/>
                <w:highlight w:val="none"/>
              </w:rPr>
              <w:t>*</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5000" w:type="pct"/>
            <w:gridSpan w:val="3"/>
            <w:tcBorders>
              <w:tl2br w:val="nil"/>
              <w:tr2bl w:val="nil"/>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注：*为主体已有措施，#为本方案新增措施。</w:t>
            </w:r>
          </w:p>
        </w:tc>
      </w:tr>
    </w:tbl>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微软雅黑" w:cs="Times New Roman"/>
          <w:lang w:eastAsia="zh-CN"/>
        </w:rPr>
      </w:pPr>
      <w:r>
        <w:rPr>
          <w:rFonts w:hint="eastAsia" w:ascii="Times New Roman" w:hAnsi="Times New Roman" w:eastAsia="微软雅黑" w:cs="Times New Roman"/>
          <w:lang w:eastAsia="zh-CN"/>
        </w:rPr>
        <w:drawing>
          <wp:inline distT="0" distB="0" distL="114300" distR="114300">
            <wp:extent cx="5335905" cy="2439670"/>
            <wp:effectExtent l="0" t="0" r="17145" b="17780"/>
            <wp:docPr id="6" name="图片 6" descr="水土流失防治措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水土流失防治措施"/>
                    <pic:cNvPicPr>
                      <a:picLocks noChangeAspect="1"/>
                    </pic:cNvPicPr>
                  </pic:nvPicPr>
                  <pic:blipFill>
                    <a:blip r:embed="rId54"/>
                    <a:stretch>
                      <a:fillRect/>
                    </a:stretch>
                  </pic:blipFill>
                  <pic:spPr>
                    <a:xfrm>
                      <a:off x="0" y="0"/>
                      <a:ext cx="5335905" cy="243967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mc:AlternateContent>
          <mc:Choice Requires="wps">
            <w:drawing>
              <wp:anchor distT="0" distB="0" distL="114300" distR="114300" simplePos="0" relativeHeight="251675648" behindDoc="0" locked="0" layoutInCell="1" allowOverlap="1">
                <wp:simplePos x="0" y="0"/>
                <wp:positionH relativeFrom="column">
                  <wp:posOffset>3914775</wp:posOffset>
                </wp:positionH>
                <wp:positionV relativeFrom="paragraph">
                  <wp:posOffset>3765550</wp:posOffset>
                </wp:positionV>
                <wp:extent cx="635" cy="1530985"/>
                <wp:effectExtent l="0" t="0" r="0" b="0"/>
                <wp:wrapNone/>
                <wp:docPr id="72" name="直线 5920"/>
                <wp:cNvGraphicFramePr/>
                <a:graphic xmlns:a="http://schemas.openxmlformats.org/drawingml/2006/main">
                  <a:graphicData uri="http://schemas.microsoft.com/office/word/2010/wordprocessingShape">
                    <wps:wsp>
                      <wps:cNvCnPr/>
                      <wps:spPr>
                        <a:xfrm>
                          <a:off x="0" y="0"/>
                          <a:ext cx="635" cy="1530985"/>
                        </a:xfrm>
                        <a:prstGeom prst="line">
                          <a:avLst/>
                        </a:prstGeom>
                        <a:ln>
                          <a:noFill/>
                        </a:ln>
                      </wps:spPr>
                      <wps:bodyPr upright="1"/>
                    </wps:wsp>
                  </a:graphicData>
                </a:graphic>
              </wp:anchor>
            </w:drawing>
          </mc:Choice>
          <mc:Fallback>
            <w:pict>
              <v:line id="直线 5920" o:spid="_x0000_s1026" o:spt="20" style="position:absolute;left:0pt;margin-left:308.25pt;margin-top:296.5pt;height:120.55pt;width:0.05pt;z-index:251675648;mso-width-relative:page;mso-height-relative:page;" filled="f" stroked="f" coordsize="21600,21600" o:gfxdata="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">
                <v:fill on="f" focussize="0,0"/>
                <v:stroke on="f"/>
                <v:imagedata o:title=""/>
                <o:lock v:ext="edit" aspectratio="f"/>
              </v:line>
            </w:pict>
          </mc:Fallback>
        </mc:AlternateContent>
      </w:r>
      <w:r>
        <w:rPr>
          <w:rFonts w:hint="default" w:ascii="Times New Roman" w:hAnsi="Times New Roman" w:eastAsia="微软雅黑" w:cs="Times New Roman"/>
        </w:rPr>
        <w:t>图5-1</w:t>
      </w:r>
      <w:r>
        <w:rPr>
          <w:rFonts w:hint="default" w:ascii="Times New Roman" w:hAnsi="Times New Roman" w:eastAsia="微软雅黑" w:cs="Times New Roman"/>
          <w:lang w:val="en-US" w:eastAsia="zh-CN"/>
        </w:rPr>
        <w:t xml:space="preserve">  </w:t>
      </w:r>
      <w:r>
        <w:rPr>
          <w:rFonts w:hint="default" w:ascii="Times New Roman" w:hAnsi="Times New Roman" w:eastAsia="微软雅黑" w:cs="Times New Roman"/>
        </w:rPr>
        <w:t>水土流失综合防治措施体系框图</w:t>
      </w:r>
      <w:bookmarkStart w:id="338" w:name="_Toc12381"/>
      <w:bookmarkStart w:id="339" w:name="_Toc11847"/>
      <w:bookmarkStart w:id="340" w:name="_Toc89694212"/>
      <w:bookmarkStart w:id="341" w:name="_Toc8916"/>
    </w:p>
    <w:p>
      <w:pPr>
        <w:pStyle w:val="5"/>
        <w:bidi w:val="0"/>
        <w:rPr>
          <w:rFonts w:hint="default" w:ascii="Times New Roman" w:hAnsi="Times New Roman" w:cs="Times New Roman"/>
        </w:rPr>
      </w:pPr>
      <w:bookmarkStart w:id="342" w:name="_Toc23325"/>
      <w:r>
        <w:rPr>
          <w:rFonts w:hint="default" w:ascii="Times New Roman" w:hAnsi="Times New Roman" w:cs="Times New Roman"/>
        </w:rPr>
        <w:t>5.3分区措施布设</w:t>
      </w:r>
      <w:bookmarkEnd w:id="338"/>
      <w:bookmarkEnd w:id="339"/>
      <w:bookmarkEnd w:id="340"/>
      <w:bookmarkEnd w:id="341"/>
      <w:bookmarkEnd w:id="342"/>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5.3.1工程措施</w:t>
      </w:r>
    </w:p>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1</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雨水</w:t>
      </w:r>
      <w:r>
        <w:rPr>
          <w:rFonts w:hint="eastAsia" w:eastAsia="仿宋_GB2312" w:cs="Times New Roman"/>
          <w:sz w:val="24"/>
          <w:szCs w:val="24"/>
          <w:lang w:val="en-US" w:eastAsia="zh-CN"/>
        </w:rPr>
        <w:t>管线雨水口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主体工程在工程建设区内设计了雨水排水设施，用于收集和排泄地表集水，雨水管线工程</w:t>
      </w:r>
      <w:r>
        <w:rPr>
          <w:rFonts w:hint="default" w:ascii="Times New Roman" w:hAnsi="Times New Roman" w:eastAsia="仿宋_GB2312" w:cs="Times New Roman"/>
          <w:sz w:val="24"/>
          <w:szCs w:val="24"/>
          <w:highlight w:val="none"/>
        </w:rPr>
        <w:t>按照《室外排水设计标准》（GB50014-2021）要求设计重现期以2年为标准进行设计，雨水排水管线根据地形沿道路敷设，采用钢筋混凝土管</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管径DN</w:t>
      </w:r>
      <w:r>
        <w:rPr>
          <w:rFonts w:hint="eastAsia" w:eastAsia="仿宋_GB2312" w:cs="Times New Roman"/>
          <w:sz w:val="24"/>
          <w:szCs w:val="24"/>
          <w:highlight w:val="none"/>
          <w:lang w:val="en-US" w:eastAsia="zh-CN"/>
        </w:rPr>
        <w:t>10</w:t>
      </w:r>
      <w:r>
        <w:rPr>
          <w:rFonts w:hint="default" w:ascii="Times New Roman" w:hAnsi="Times New Roman" w:eastAsia="仿宋_GB2312" w:cs="Times New Roman"/>
          <w:sz w:val="24"/>
          <w:szCs w:val="24"/>
          <w:highlight w:val="none"/>
        </w:rPr>
        <w:t>00，以直埋方式敷设，长</w:t>
      </w:r>
      <w:r>
        <w:rPr>
          <w:rFonts w:hint="eastAsia" w:eastAsia="仿宋_GB2312" w:cs="Times New Roman"/>
          <w:sz w:val="24"/>
          <w:szCs w:val="24"/>
          <w:highlight w:val="none"/>
          <w:lang w:val="en-US" w:eastAsia="zh-CN"/>
        </w:rPr>
        <w:t>2600m</w:t>
      </w:r>
      <w:r>
        <w:rPr>
          <w:rFonts w:hint="default" w:ascii="Times New Roman" w:hAnsi="Times New Roman" w:eastAsia="仿宋_GB2312" w:cs="Times New Roman"/>
          <w:sz w:val="24"/>
          <w:szCs w:val="24"/>
          <w:highlight w:val="none"/>
        </w:rPr>
        <w:t>，</w:t>
      </w:r>
      <w:r>
        <w:rPr>
          <w:rFonts w:hint="eastAsia" w:eastAsia="仿宋_GB2312" w:cs="Times New Roman"/>
          <w:sz w:val="24"/>
          <w:szCs w:val="24"/>
          <w:highlight w:val="none"/>
          <w:lang w:eastAsia="zh-CN"/>
        </w:rPr>
        <w:t>雨水口</w:t>
      </w:r>
      <w:r>
        <w:rPr>
          <w:rFonts w:hint="eastAsia" w:eastAsia="仿宋_GB2312" w:cs="Times New Roman"/>
          <w:sz w:val="24"/>
          <w:szCs w:val="24"/>
          <w:highlight w:val="none"/>
          <w:lang w:val="en-US" w:eastAsia="zh-CN"/>
        </w:rPr>
        <w:t>260</w:t>
      </w:r>
      <w:r>
        <w:rPr>
          <w:rFonts w:hint="default" w:ascii="Times New Roman" w:hAnsi="Times New Roman" w:eastAsia="仿宋_GB2312" w:cs="Times New Roman"/>
          <w:sz w:val="24"/>
          <w:szCs w:val="24"/>
          <w:highlight w:val="none"/>
        </w:rPr>
        <w:t>个。</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2</w:t>
      </w:r>
      <w:r>
        <w:rPr>
          <w:rFonts w:hint="default" w:ascii="Times New Roman" w:hAnsi="Times New Roman" w:eastAsia="仿宋_GB2312" w:cs="Times New Roman"/>
          <w:sz w:val="24"/>
          <w:szCs w:val="24"/>
          <w:lang w:eastAsia="zh-CN"/>
        </w:rPr>
        <w:t>）绿化用土回覆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yellow"/>
        </w:rPr>
      </w:pPr>
      <w:r>
        <w:rPr>
          <w:rFonts w:hint="default" w:ascii="Times New Roman" w:hAnsi="Times New Roman" w:eastAsia="仿宋_GB2312" w:cs="Times New Roman"/>
          <w:sz w:val="24"/>
          <w:szCs w:val="24"/>
          <w:highlight w:val="none"/>
        </w:rPr>
        <w:t>主体工程设计施工结束后，对拟采取绿化措施区域进行覆绿化用土，工程建设区绿化用土回覆面积</w:t>
      </w:r>
      <w:r>
        <w:rPr>
          <w:rFonts w:hint="eastAsia" w:eastAsia="仿宋_GB2312" w:cs="Times New Roman"/>
          <w:sz w:val="24"/>
          <w:szCs w:val="24"/>
          <w:lang w:eastAsia="zh-CN"/>
        </w:rPr>
        <w:t>3.99</w:t>
      </w:r>
      <w:r>
        <w:rPr>
          <w:rFonts w:hint="default" w:ascii="Times New Roman" w:hAnsi="Times New Roman" w:eastAsia="仿宋_GB2312" w:cs="Times New Roman"/>
          <w:sz w:val="24"/>
          <w:szCs w:val="24"/>
          <w:lang w:val="en-US" w:eastAsia="zh-CN"/>
        </w:rPr>
        <w:t>hm²</w:t>
      </w:r>
      <w:r>
        <w:rPr>
          <w:rFonts w:hint="default" w:ascii="Times New Roman" w:hAnsi="Times New Roman" w:eastAsia="仿宋_GB2312" w:cs="Times New Roman"/>
          <w:sz w:val="24"/>
          <w:szCs w:val="24"/>
        </w:rPr>
        <w:t>，</w:t>
      </w:r>
      <w:r>
        <w:rPr>
          <w:rFonts w:hint="default" w:eastAsia="仿宋_GB2312" w:cs="Times New Roman"/>
          <w:sz w:val="24"/>
          <w:szCs w:val="24"/>
        </w:rPr>
        <w:t>平均</w:t>
      </w:r>
      <w:r>
        <w:rPr>
          <w:rFonts w:hint="default" w:ascii="Times New Roman" w:hAnsi="Times New Roman" w:eastAsia="仿宋_GB2312" w:cs="Times New Roman"/>
          <w:sz w:val="24"/>
          <w:szCs w:val="24"/>
          <w:lang w:val="en-US" w:eastAsia="zh-CN"/>
        </w:rPr>
        <w:t>回覆</w:t>
      </w:r>
      <w:r>
        <w:rPr>
          <w:rFonts w:hint="default" w:ascii="Times New Roman" w:hAnsi="Times New Roman" w:eastAsia="仿宋_GB2312" w:cs="Times New Roman"/>
          <w:sz w:val="24"/>
          <w:szCs w:val="24"/>
        </w:rPr>
        <w:t>厚度30cm，</w:t>
      </w:r>
      <w:r>
        <w:rPr>
          <w:rFonts w:hint="default" w:ascii="Times New Roman" w:hAnsi="Times New Roman" w:eastAsia="仿宋_GB2312" w:cs="Times New Roman"/>
          <w:sz w:val="24"/>
          <w:szCs w:val="24"/>
          <w:lang w:val="en-US" w:eastAsia="zh-CN"/>
        </w:rPr>
        <w:t>回覆</w:t>
      </w:r>
      <w:r>
        <w:rPr>
          <w:rFonts w:hint="default" w:ascii="Times New Roman" w:hAnsi="Times New Roman" w:eastAsia="仿宋_GB2312" w:cs="Times New Roman"/>
          <w:sz w:val="24"/>
          <w:szCs w:val="24"/>
        </w:rPr>
        <w:t>量为</w:t>
      </w:r>
      <w:r>
        <w:rPr>
          <w:rFonts w:hint="eastAsia" w:eastAsia="仿宋_GB2312" w:cs="Times New Roman"/>
          <w:sz w:val="24"/>
          <w:szCs w:val="24"/>
          <w:lang w:val="en-US" w:eastAsia="zh-CN"/>
        </w:rPr>
        <w:t>1.20</w:t>
      </w:r>
      <w:r>
        <w:rPr>
          <w:rFonts w:hint="default" w:ascii="Times New Roman" w:hAnsi="Times New Roman" w:eastAsia="仿宋_GB2312" w:cs="Times New Roman"/>
          <w:sz w:val="24"/>
          <w:szCs w:val="24"/>
          <w:lang w:val="en-US" w:eastAsia="zh-CN"/>
        </w:rPr>
        <w:t>万</w:t>
      </w:r>
      <w:r>
        <w:rPr>
          <w:rFonts w:hint="default" w:ascii="Times New Roman" w:hAnsi="Times New Roman" w:eastAsia="仿宋_GB2312" w:cs="Times New Roman"/>
          <w:sz w:val="24"/>
          <w:szCs w:val="24"/>
          <w:lang w:eastAsia="zh-CN"/>
        </w:rPr>
        <w:t>m³</w:t>
      </w:r>
      <w:r>
        <w:rPr>
          <w:rFonts w:hint="default" w:ascii="Times New Roman" w:hAnsi="Times New Roman" w:eastAsia="仿宋_GB2312" w:cs="Times New Roman"/>
          <w:sz w:val="24"/>
          <w:szCs w:val="24"/>
        </w:rPr>
        <w:t>，</w:t>
      </w:r>
      <w:r>
        <w:rPr>
          <w:rFonts w:hint="eastAsia" w:eastAsia="仿宋_GB2312" w:cs="Times New Roman"/>
          <w:sz w:val="24"/>
          <w:szCs w:val="24"/>
          <w:lang w:val="en-US" w:eastAsia="zh-CN"/>
        </w:rPr>
        <w:t>所需</w:t>
      </w:r>
      <w:r>
        <w:rPr>
          <w:rFonts w:hint="default" w:ascii="Times New Roman" w:hAnsi="Times New Roman" w:eastAsia="仿宋_GB2312" w:cs="Times New Roman"/>
          <w:sz w:val="24"/>
          <w:szCs w:val="24"/>
          <w:highlight w:val="none"/>
        </w:rPr>
        <w:t>土方</w:t>
      </w:r>
      <w:r>
        <w:rPr>
          <w:rFonts w:hint="eastAsia" w:eastAsia="仿宋_GB2312" w:cs="Times New Roman"/>
          <w:sz w:val="24"/>
          <w:szCs w:val="24"/>
          <w:highlight w:val="none"/>
          <w:lang w:val="en-US" w:eastAsia="zh-CN"/>
        </w:rPr>
        <w:t>均由绿化公司负责</w:t>
      </w:r>
      <w:r>
        <w:rPr>
          <w:rFonts w:hint="default" w:ascii="Times New Roman" w:hAnsi="Times New Roman" w:eastAsia="仿宋_GB2312" w:cs="Times New Roman"/>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全面整地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rPr>
        <w:t>对回覆绿化用土区域采取清除杂物、平整、机械结合人工施肥、翻松等措施整地，</w:t>
      </w:r>
      <w:r>
        <w:rPr>
          <w:rFonts w:hint="default" w:ascii="Times New Roman" w:hAnsi="Times New Roman" w:eastAsia="仿宋_GB2312" w:cs="Times New Roman"/>
          <w:sz w:val="24"/>
          <w:highlight w:val="none"/>
        </w:rPr>
        <w:t>耕深0.30m-0.40m，</w:t>
      </w:r>
      <w:r>
        <w:rPr>
          <w:rFonts w:hint="default" w:ascii="Times New Roman" w:hAnsi="Times New Roman" w:eastAsia="仿宋_GB2312" w:cs="Times New Roman"/>
          <w:sz w:val="24"/>
          <w:szCs w:val="24"/>
        </w:rPr>
        <w:t>整地面积为</w:t>
      </w:r>
      <w:r>
        <w:rPr>
          <w:rFonts w:hint="eastAsia" w:eastAsia="仿宋_GB2312" w:cs="Times New Roman"/>
          <w:sz w:val="24"/>
          <w:szCs w:val="24"/>
          <w:lang w:val="en-US" w:eastAsia="zh-CN"/>
        </w:rPr>
        <w:t>3.99</w:t>
      </w:r>
      <w:r>
        <w:rPr>
          <w:rFonts w:hint="default" w:ascii="Times New Roman" w:hAnsi="Times New Roman" w:eastAsia="仿宋_GB2312" w:cs="Times New Roman"/>
          <w:sz w:val="24"/>
          <w:szCs w:val="24"/>
        </w:rPr>
        <w:t>hm²。</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5.3.2植物措施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highlight w:val="none"/>
          <w:lang w:eastAsia="zh-CN"/>
        </w:rPr>
        <w:t>本期项目</w:t>
      </w:r>
      <w:r>
        <w:rPr>
          <w:rFonts w:hint="default" w:ascii="Times New Roman" w:hAnsi="Times New Roman" w:eastAsia="仿宋_GB2312" w:cs="Times New Roman"/>
          <w:sz w:val="24"/>
          <w:szCs w:val="24"/>
          <w:highlight w:val="none"/>
        </w:rPr>
        <w:t>采用绿化工程设计标准，植被恢复工程设计标准采用</w:t>
      </w:r>
      <w:r>
        <w:rPr>
          <w:rFonts w:hint="default" w:ascii="Times New Roman" w:hAnsi="Times New Roman" w:eastAsia="仿宋_GB2312" w:cs="Times New Roman"/>
          <w:sz w:val="24"/>
          <w:szCs w:val="24"/>
          <w:highlight w:val="none"/>
          <w:lang w:val="en-US" w:eastAsia="zh-CN"/>
        </w:rPr>
        <w:t>1</w:t>
      </w:r>
      <w:r>
        <w:rPr>
          <w:rFonts w:hint="default" w:ascii="Times New Roman" w:hAnsi="Times New Roman" w:eastAsia="仿宋_GB2312" w:cs="Times New Roman"/>
          <w:sz w:val="24"/>
          <w:szCs w:val="24"/>
          <w:highlight w:val="none"/>
        </w:rPr>
        <w:t>级标准。</w:t>
      </w:r>
      <w:r>
        <w:rPr>
          <w:rFonts w:hint="default" w:ascii="Times New Roman" w:hAnsi="Times New Roman" w:eastAsia="仿宋_GB2312" w:cs="Times New Roman"/>
          <w:sz w:val="24"/>
          <w:highlight w:val="none"/>
        </w:rPr>
        <w:t>体工程设计对工程建设区绿化区域进行景观绿化施工，</w:t>
      </w:r>
      <w:r>
        <w:rPr>
          <w:rFonts w:hint="default" w:ascii="Times New Roman" w:hAnsi="Times New Roman" w:eastAsia="仿宋_GB2312" w:cs="Times New Roman"/>
          <w:sz w:val="24"/>
          <w:szCs w:val="24"/>
        </w:rPr>
        <w:t>主要布置在项目区四周、建筑物及道路周边区域，采用乔灌草结合的绿化方法，绿化面积为</w:t>
      </w:r>
      <w:r>
        <w:rPr>
          <w:rFonts w:hint="eastAsia" w:eastAsia="仿宋_GB2312" w:cs="Times New Roman"/>
          <w:sz w:val="24"/>
          <w:szCs w:val="24"/>
          <w:lang w:val="en-US" w:eastAsia="zh-CN"/>
        </w:rPr>
        <w:t>3.99</w:t>
      </w:r>
      <w:r>
        <w:rPr>
          <w:rFonts w:hint="default" w:ascii="Times New Roman" w:hAnsi="Times New Roman" w:eastAsia="仿宋_GB2312" w:cs="Times New Roman"/>
          <w:sz w:val="24"/>
          <w:szCs w:val="24"/>
        </w:rPr>
        <w:t>hm²。</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5.3.3临时措施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 xml:space="preserve">（1）编织袋砌筑、拆除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回填土堆场位于冷库和生产车间中间的绿化区域，堆土场地尺寸约为</w:t>
      </w:r>
      <w:r>
        <w:rPr>
          <w:rFonts w:hint="eastAsia" w:eastAsia="仿宋_GB2312" w:cs="Times New Roman"/>
          <w:sz w:val="24"/>
          <w:szCs w:val="24"/>
          <w:highlight w:val="none"/>
          <w:lang w:val="en-US" w:eastAsia="zh-CN"/>
        </w:rPr>
        <w:t>31</w:t>
      </w:r>
      <w:r>
        <w:rPr>
          <w:rFonts w:hint="default" w:ascii="Times New Roman" w:hAnsi="Times New Roman" w:eastAsia="仿宋_GB2312" w:cs="Times New Roman"/>
          <w:sz w:val="24"/>
          <w:szCs w:val="24"/>
          <w:highlight w:val="none"/>
          <w:lang w:val="en-US" w:eastAsia="zh-CN"/>
        </w:rPr>
        <w:t>m×</w:t>
      </w:r>
      <w:r>
        <w:rPr>
          <w:rFonts w:hint="eastAsia" w:eastAsia="仿宋_GB2312" w:cs="Times New Roman"/>
          <w:sz w:val="24"/>
          <w:szCs w:val="24"/>
          <w:highlight w:val="none"/>
          <w:lang w:val="en-US" w:eastAsia="zh-CN"/>
        </w:rPr>
        <w:t>73.6</w:t>
      </w:r>
      <w:r>
        <w:rPr>
          <w:rFonts w:hint="default" w:ascii="Times New Roman" w:hAnsi="Times New Roman" w:eastAsia="仿宋_GB2312" w:cs="Times New Roman"/>
          <w:sz w:val="24"/>
          <w:szCs w:val="24"/>
          <w:highlight w:val="none"/>
          <w:lang w:val="en-US" w:eastAsia="zh-CN"/>
        </w:rPr>
        <w:t>m，占地面积</w:t>
      </w:r>
      <w:r>
        <w:rPr>
          <w:rFonts w:hint="eastAsia" w:eastAsia="仿宋_GB2312" w:cs="Times New Roman"/>
          <w:sz w:val="24"/>
          <w:szCs w:val="24"/>
          <w:highlight w:val="none"/>
          <w:lang w:val="en-US" w:eastAsia="zh-CN"/>
        </w:rPr>
        <w:t>2281</w:t>
      </w:r>
      <w:r>
        <w:rPr>
          <w:rFonts w:hint="default" w:ascii="Times New Roman" w:hAnsi="Times New Roman" w:eastAsia="仿宋_GB2312" w:cs="Times New Roman"/>
          <w:sz w:val="24"/>
          <w:szCs w:val="24"/>
          <w:highlight w:val="none"/>
          <w:lang w:val="en-US" w:eastAsia="zh-CN"/>
        </w:rPr>
        <w:t>m</w:t>
      </w:r>
      <w:r>
        <w:rPr>
          <w:rFonts w:hint="default" w:ascii="Times New Roman" w:hAnsi="Times New Roman" w:eastAsia="仿宋_GB2312" w:cs="Times New Roman"/>
          <w:sz w:val="24"/>
          <w:szCs w:val="24"/>
          <w:highlight w:val="none"/>
          <w:vertAlign w:val="superscript"/>
          <w:lang w:val="en-US" w:eastAsia="zh-CN"/>
        </w:rPr>
        <w:t>2</w:t>
      </w:r>
      <w:r>
        <w:rPr>
          <w:rFonts w:hint="default" w:ascii="Times New Roman" w:hAnsi="Times New Roman" w:eastAsia="仿宋_GB2312" w:cs="Times New Roman"/>
          <w:sz w:val="24"/>
          <w:szCs w:val="24"/>
          <w:highlight w:val="none"/>
          <w:lang w:val="en-US" w:eastAsia="zh-CN"/>
        </w:rPr>
        <w:t>。本方案补充设计对堆土坡脚采用编织袋土拦挡，拦挡采用梯形结构，上底0.4m，下底0.8m，高0.5m，拦挡总长度约</w:t>
      </w:r>
      <w:r>
        <w:rPr>
          <w:rFonts w:hint="eastAsia" w:eastAsia="仿宋_GB2312" w:cs="Times New Roman"/>
          <w:sz w:val="24"/>
          <w:szCs w:val="24"/>
          <w:highlight w:val="none"/>
          <w:lang w:val="en-US" w:eastAsia="zh-CN"/>
        </w:rPr>
        <w:t>105</w:t>
      </w:r>
      <w:r>
        <w:rPr>
          <w:rFonts w:hint="default" w:ascii="Times New Roman" w:hAnsi="Times New Roman" w:eastAsia="仿宋_GB2312" w:cs="Times New Roman"/>
          <w:sz w:val="24"/>
          <w:szCs w:val="24"/>
          <w:highlight w:val="none"/>
          <w:lang w:val="en-US" w:eastAsia="zh-CN"/>
        </w:rPr>
        <w:t>m，共需编织袋土填筑与拆除各</w:t>
      </w:r>
      <w:r>
        <w:rPr>
          <w:rFonts w:hint="eastAsia" w:eastAsia="仿宋_GB2312" w:cs="Times New Roman"/>
          <w:sz w:val="24"/>
          <w:szCs w:val="24"/>
          <w:highlight w:val="none"/>
          <w:lang w:val="en-US" w:eastAsia="zh-CN"/>
        </w:rPr>
        <w:t>31.5</w:t>
      </w:r>
      <w:r>
        <w:rPr>
          <w:rFonts w:hint="default" w:ascii="Times New Roman" w:hAnsi="Times New Roman" w:eastAsia="仿宋_GB2312" w:cs="Times New Roman"/>
          <w:sz w:val="24"/>
          <w:szCs w:val="24"/>
          <w:highlight w:val="none"/>
          <w:lang w:val="en-US" w:eastAsia="zh-CN"/>
        </w:rPr>
        <w:t>m</w:t>
      </w:r>
      <w:r>
        <w:rPr>
          <w:rFonts w:hint="default" w:ascii="Times New Roman" w:hAnsi="Times New Roman" w:eastAsia="仿宋_GB2312" w:cs="Times New Roman"/>
          <w:sz w:val="24"/>
          <w:szCs w:val="24"/>
          <w:highlight w:val="none"/>
          <w:vertAlign w:val="superscript"/>
          <w:lang w:val="en-US" w:eastAsia="zh-CN"/>
        </w:rPr>
        <w:t>3</w:t>
      </w:r>
      <w:r>
        <w:rPr>
          <w:rFonts w:hint="default" w:ascii="Times New Roman" w:hAnsi="Times New Roman" w:eastAsia="仿宋_GB2312" w:cs="Times New Roman"/>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w:t>
      </w:r>
      <w:r>
        <w:rPr>
          <w:rFonts w:hint="eastAsia" w:eastAsia="仿宋_GB2312" w:cs="Times New Roman"/>
          <w:sz w:val="24"/>
          <w:szCs w:val="24"/>
          <w:highlight w:val="none"/>
          <w:lang w:val="en-US" w:eastAsia="zh-CN"/>
        </w:rPr>
        <w:t>2</w:t>
      </w:r>
      <w:r>
        <w:rPr>
          <w:rFonts w:hint="default" w:ascii="Times New Roman" w:hAnsi="Times New Roman" w:eastAsia="仿宋_GB2312" w:cs="Times New Roman"/>
          <w:sz w:val="24"/>
          <w:szCs w:val="24"/>
          <w:highlight w:val="none"/>
          <w:lang w:val="en-US" w:eastAsia="zh-CN"/>
        </w:rPr>
        <w:t>）密目网苫盖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本方案对临时堆放土方采取密目网苫盖措施，堆土场设计规格为长</w:t>
      </w:r>
      <w:r>
        <w:rPr>
          <w:rFonts w:hint="eastAsia" w:eastAsia="仿宋_GB2312" w:cs="Times New Roman"/>
          <w:sz w:val="24"/>
          <w:szCs w:val="24"/>
          <w:highlight w:val="none"/>
          <w:lang w:val="en-US" w:eastAsia="zh-CN"/>
        </w:rPr>
        <w:t>73.6</w:t>
      </w:r>
      <w:r>
        <w:rPr>
          <w:rFonts w:hint="default" w:ascii="Times New Roman" w:hAnsi="Times New Roman" w:eastAsia="仿宋_GB2312" w:cs="Times New Roman"/>
          <w:sz w:val="24"/>
          <w:szCs w:val="24"/>
          <w:highlight w:val="none"/>
          <w:lang w:val="en-US" w:eastAsia="zh-CN"/>
        </w:rPr>
        <w:t>m，宽</w:t>
      </w:r>
      <w:r>
        <w:rPr>
          <w:rFonts w:hint="eastAsia" w:eastAsia="仿宋_GB2312" w:cs="Times New Roman"/>
          <w:sz w:val="24"/>
          <w:szCs w:val="24"/>
          <w:highlight w:val="none"/>
          <w:lang w:val="en-US" w:eastAsia="zh-CN"/>
        </w:rPr>
        <w:t>31</w:t>
      </w:r>
      <w:r>
        <w:rPr>
          <w:rFonts w:hint="default" w:ascii="Times New Roman" w:hAnsi="Times New Roman" w:eastAsia="仿宋_GB2312" w:cs="Times New Roman"/>
          <w:sz w:val="24"/>
          <w:szCs w:val="24"/>
          <w:highlight w:val="none"/>
          <w:lang w:val="en-US" w:eastAsia="zh-CN"/>
        </w:rPr>
        <w:t>m，</w:t>
      </w:r>
      <w:r>
        <w:rPr>
          <w:rFonts w:hint="eastAsia" w:eastAsia="仿宋_GB2312" w:cs="Times New Roman"/>
          <w:sz w:val="24"/>
          <w:szCs w:val="24"/>
          <w:highlight w:val="none"/>
          <w:lang w:val="en-US" w:eastAsia="zh-CN"/>
        </w:rPr>
        <w:t>堆放面积2281</w:t>
      </w:r>
      <w:r>
        <w:rPr>
          <w:rFonts w:hint="default" w:ascii="Times New Roman" w:hAnsi="Times New Roman" w:eastAsia="仿宋_GB2312" w:cs="Times New Roman"/>
          <w:sz w:val="24"/>
          <w:szCs w:val="24"/>
          <w:highlight w:val="none"/>
          <w:lang w:val="en-US" w:eastAsia="zh-CN"/>
        </w:rPr>
        <w:t>m</w:t>
      </w:r>
      <w:r>
        <w:rPr>
          <w:rFonts w:hint="default" w:ascii="Times New Roman" w:hAnsi="Times New Roman" w:eastAsia="仿宋_GB2312" w:cs="Times New Roman"/>
          <w:sz w:val="24"/>
          <w:szCs w:val="24"/>
          <w:highlight w:val="none"/>
          <w:vertAlign w:val="superscript"/>
          <w:lang w:val="en-US" w:eastAsia="zh-CN"/>
        </w:rPr>
        <w:t>2</w:t>
      </w:r>
      <w:r>
        <w:rPr>
          <w:rFonts w:hint="eastAsia" w:eastAsia="仿宋_GB2312" w:cs="Times New Roman"/>
          <w:sz w:val="24"/>
          <w:szCs w:val="24"/>
          <w:highlight w:val="none"/>
          <w:lang w:val="en-US" w:eastAsia="zh-CN"/>
        </w:rPr>
        <w:t>，</w:t>
      </w:r>
      <w:r>
        <w:rPr>
          <w:rFonts w:hint="default" w:ascii="Times New Roman" w:hAnsi="Times New Roman" w:eastAsia="仿宋_GB2312" w:cs="Times New Roman"/>
          <w:sz w:val="24"/>
          <w:szCs w:val="24"/>
          <w:highlight w:val="none"/>
          <w:lang w:val="en-US" w:eastAsia="zh-CN"/>
        </w:rPr>
        <w:t>堆土高度</w:t>
      </w:r>
      <w:r>
        <w:rPr>
          <w:rFonts w:hint="eastAsia" w:eastAsia="仿宋_GB2312" w:cs="Times New Roman"/>
          <w:sz w:val="24"/>
          <w:szCs w:val="24"/>
          <w:highlight w:val="none"/>
          <w:lang w:val="en-US" w:eastAsia="zh-CN"/>
        </w:rPr>
        <w:t>4</w:t>
      </w:r>
      <w:r>
        <w:rPr>
          <w:rFonts w:hint="default" w:ascii="Times New Roman" w:hAnsi="Times New Roman" w:eastAsia="仿宋_GB2312" w:cs="Times New Roman"/>
          <w:sz w:val="24"/>
          <w:szCs w:val="24"/>
          <w:highlight w:val="none"/>
          <w:lang w:val="en-US" w:eastAsia="zh-CN"/>
        </w:rPr>
        <w:t>m，</w:t>
      </w:r>
      <w:r>
        <w:rPr>
          <w:rFonts w:hint="default" w:ascii="Times New Roman" w:hAnsi="Times New Roman" w:eastAsia="仿宋_GB2312" w:cs="Times New Roman"/>
          <w:sz w:val="24"/>
          <w:szCs w:val="24"/>
          <w:highlight w:val="none"/>
        </w:rPr>
        <w:t>堆土边坡1：1.5，</w:t>
      </w:r>
      <w:r>
        <w:rPr>
          <w:rFonts w:hint="default" w:ascii="Times New Roman" w:hAnsi="Times New Roman" w:eastAsia="仿宋_GB2312" w:cs="Times New Roman"/>
          <w:sz w:val="24"/>
          <w:szCs w:val="24"/>
          <w:highlight w:val="none"/>
          <w:lang w:val="en-US" w:eastAsia="zh-CN"/>
        </w:rPr>
        <w:t>密目网苫盖面积</w:t>
      </w:r>
      <w:r>
        <w:rPr>
          <w:rFonts w:hint="eastAsia" w:eastAsia="仿宋_GB2312" w:cs="Times New Roman"/>
          <w:sz w:val="24"/>
          <w:szCs w:val="24"/>
          <w:highlight w:val="none"/>
          <w:lang w:val="en-US" w:eastAsia="zh-CN"/>
        </w:rPr>
        <w:t>2965</w:t>
      </w:r>
      <w:r>
        <w:rPr>
          <w:rFonts w:hint="default" w:ascii="Times New Roman" w:hAnsi="Times New Roman" w:eastAsia="仿宋" w:cs="Times New Roman"/>
          <w:sz w:val="21"/>
          <w:szCs w:val="21"/>
          <w:highlight w:val="none"/>
        </w:rPr>
        <w:t>m²</w:t>
      </w:r>
      <w:r>
        <w:rPr>
          <w:rFonts w:hint="default" w:ascii="Times New Roman" w:hAnsi="Times New Roman" w:eastAsia="仿宋_GB2312" w:cs="Times New Roman"/>
          <w:sz w:val="24"/>
          <w:szCs w:val="24"/>
          <w:highlight w:val="none"/>
          <w:lang w:eastAsia="zh-CN"/>
        </w:rPr>
        <w:t>。</w:t>
      </w:r>
    </w:p>
    <w:p>
      <w:pPr>
        <w:pStyle w:val="6"/>
        <w:bidi w:val="0"/>
        <w:rPr>
          <w:rFonts w:hint="default" w:ascii="Times New Roman" w:hAnsi="Times New Roman" w:cs="Times New Roman"/>
          <w:lang w:val="en-US" w:eastAsia="zh-CN"/>
        </w:rPr>
      </w:pPr>
      <w:bookmarkStart w:id="343" w:name="_Toc23533"/>
      <w:bookmarkStart w:id="344" w:name="_Toc8883"/>
      <w:r>
        <w:rPr>
          <w:rFonts w:hint="default" w:ascii="Times New Roman" w:hAnsi="Times New Roman" w:cs="Times New Roman"/>
          <w:lang w:val="en-US" w:eastAsia="zh-CN"/>
        </w:rPr>
        <w:t>5.3.4防治措施工程量汇总</w:t>
      </w:r>
      <w:bookmarkEnd w:id="343"/>
      <w:bookmarkEnd w:id="344"/>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本方案水土保持措施包括工程措施、植物措施及临时措施。</w:t>
      </w:r>
      <w:bookmarkStart w:id="345" w:name="OLE_LINK5"/>
      <w:r>
        <w:rPr>
          <w:rFonts w:hint="default" w:ascii="Times New Roman" w:hAnsi="Times New Roman" w:eastAsia="仿宋_GB2312" w:cs="Times New Roman"/>
          <w:sz w:val="24"/>
          <w:highlight w:val="none"/>
          <w:lang w:eastAsia="zh-CN"/>
        </w:rPr>
        <w:t>本期项目</w:t>
      </w:r>
      <w:r>
        <w:rPr>
          <w:rFonts w:hint="default" w:ascii="Times New Roman" w:hAnsi="Times New Roman" w:eastAsia="仿宋_GB2312" w:cs="Times New Roman"/>
          <w:sz w:val="24"/>
          <w:highlight w:val="none"/>
        </w:rPr>
        <w:t>水土保持工程措施工程量</w:t>
      </w:r>
      <w:bookmarkEnd w:id="345"/>
      <w:r>
        <w:rPr>
          <w:rFonts w:hint="default" w:ascii="Times New Roman" w:hAnsi="Times New Roman" w:eastAsia="仿宋_GB2312" w:cs="Times New Roman"/>
          <w:sz w:val="24"/>
          <w:highlight w:val="none"/>
        </w:rPr>
        <w:t>见表5-</w:t>
      </w:r>
      <w:r>
        <w:rPr>
          <w:rFonts w:hint="default" w:ascii="Times New Roman" w:hAnsi="Times New Roman" w:eastAsia="仿宋_GB2312" w:cs="Times New Roman"/>
          <w:sz w:val="24"/>
          <w:highlight w:val="none"/>
          <w:lang w:val="en-US" w:eastAsia="zh-CN"/>
        </w:rPr>
        <w:t>3</w:t>
      </w:r>
      <w:r>
        <w:rPr>
          <w:rFonts w:hint="default" w:ascii="Times New Roman" w:hAnsi="Times New Roman" w:eastAsia="仿宋_GB2312" w:cs="Times New Roman"/>
          <w:sz w:val="24"/>
          <w:highlight w:val="none"/>
        </w:rPr>
        <w:t>。</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表5-</w:t>
      </w:r>
      <w:r>
        <w:rPr>
          <w:rFonts w:hint="default" w:ascii="Times New Roman" w:hAnsi="Times New Roman" w:eastAsia="微软雅黑" w:cs="Times New Roman"/>
          <w:lang w:val="en-US" w:eastAsia="zh-CN"/>
        </w:rPr>
        <w:t xml:space="preserve">3  </w:t>
      </w:r>
      <w:r>
        <w:rPr>
          <w:rFonts w:hint="default" w:ascii="Times New Roman" w:hAnsi="Times New Roman" w:eastAsia="微软雅黑" w:cs="Times New Roman"/>
        </w:rPr>
        <w:t>水土保持工程措施工程量汇总表</w:t>
      </w:r>
    </w:p>
    <w:tbl>
      <w:tblPr>
        <w:tblStyle w:val="556"/>
        <w:tblW w:w="4998" w:type="pct"/>
        <w:jc w:val="center"/>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autofit"/>
        <w:tblCellMar>
          <w:top w:w="0" w:type="dxa"/>
          <w:left w:w="0" w:type="dxa"/>
          <w:bottom w:w="0" w:type="dxa"/>
          <w:right w:w="0" w:type="dxa"/>
        </w:tblCellMar>
      </w:tblPr>
      <w:tblGrid>
        <w:gridCol w:w="1364"/>
        <w:gridCol w:w="1313"/>
        <w:gridCol w:w="2691"/>
        <w:gridCol w:w="1616"/>
        <w:gridCol w:w="1421"/>
      </w:tblGrid>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1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bookmarkStart w:id="346" w:name="_Toc15275"/>
            <w:bookmarkStart w:id="347" w:name="_Toc16556"/>
            <w:bookmarkStart w:id="348" w:name="_Toc156179618"/>
            <w:bookmarkStart w:id="349" w:name="_Toc165093832"/>
            <w:r>
              <w:rPr>
                <w:rFonts w:hint="default" w:ascii="Times New Roman" w:hAnsi="Times New Roman" w:eastAsia="仿宋" w:cs="Times New Roman"/>
                <w:spacing w:val="3"/>
                <w:sz w:val="21"/>
                <w:szCs w:val="21"/>
              </w:rPr>
              <w:t>防</w:t>
            </w:r>
            <w:r>
              <w:rPr>
                <w:rFonts w:hint="default" w:ascii="Times New Roman" w:hAnsi="Times New Roman" w:eastAsia="仿宋" w:cs="Times New Roman"/>
                <w:spacing w:val="2"/>
                <w:sz w:val="21"/>
                <w:szCs w:val="21"/>
              </w:rPr>
              <w:t>治分区</w:t>
            </w:r>
          </w:p>
        </w:tc>
        <w:tc>
          <w:tcPr>
            <w:tcW w:w="78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6"/>
                <w:sz w:val="21"/>
                <w:szCs w:val="21"/>
              </w:rPr>
              <w:t>水保措施</w:t>
            </w:r>
          </w:p>
        </w:tc>
        <w:tc>
          <w:tcPr>
            <w:tcW w:w="160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6"/>
                <w:sz w:val="21"/>
                <w:szCs w:val="21"/>
              </w:rPr>
              <w:t>措施名</w:t>
            </w:r>
            <w:r>
              <w:rPr>
                <w:rFonts w:hint="default" w:ascii="Times New Roman" w:hAnsi="Times New Roman" w:eastAsia="仿宋" w:cs="Times New Roman"/>
                <w:spacing w:val="5"/>
                <w:sz w:val="21"/>
                <w:szCs w:val="21"/>
              </w:rPr>
              <w:t>称</w:t>
            </w:r>
          </w:p>
        </w:tc>
        <w:tc>
          <w:tcPr>
            <w:tcW w:w="96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1"/>
                <w:sz w:val="21"/>
                <w:szCs w:val="21"/>
              </w:rPr>
              <w:t>单</w:t>
            </w:r>
            <w:r>
              <w:rPr>
                <w:rFonts w:hint="default" w:ascii="Times New Roman" w:hAnsi="Times New Roman" w:eastAsia="仿宋" w:cs="Times New Roman"/>
                <w:sz w:val="21"/>
                <w:szCs w:val="21"/>
              </w:rPr>
              <w:t>位</w:t>
            </w:r>
          </w:p>
        </w:tc>
        <w:tc>
          <w:tcPr>
            <w:tcW w:w="84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2"/>
                <w:sz w:val="21"/>
                <w:szCs w:val="21"/>
              </w:rPr>
              <w:t>数量</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11"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6"/>
                <w:sz w:val="21"/>
                <w:szCs w:val="21"/>
              </w:rPr>
              <w:t>工程建设区</w:t>
            </w:r>
          </w:p>
        </w:tc>
        <w:tc>
          <w:tcPr>
            <w:tcW w:w="781"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6"/>
                <w:sz w:val="21"/>
                <w:szCs w:val="21"/>
              </w:rPr>
              <w:t>工</w:t>
            </w:r>
            <w:r>
              <w:rPr>
                <w:rFonts w:hint="default" w:ascii="Times New Roman" w:hAnsi="Times New Roman" w:eastAsia="仿宋" w:cs="Times New Roman"/>
                <w:spacing w:val="4"/>
                <w:sz w:val="21"/>
                <w:szCs w:val="21"/>
              </w:rPr>
              <w:t>程措施</w:t>
            </w:r>
          </w:p>
        </w:tc>
        <w:tc>
          <w:tcPr>
            <w:tcW w:w="160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10"/>
                <w:sz w:val="21"/>
                <w:szCs w:val="21"/>
              </w:rPr>
              <w:t>绿</w:t>
            </w:r>
            <w:r>
              <w:rPr>
                <w:rFonts w:hint="default" w:ascii="Times New Roman" w:hAnsi="Times New Roman" w:eastAsia="仿宋" w:cs="Times New Roman"/>
                <w:spacing w:val="6"/>
                <w:sz w:val="21"/>
                <w:szCs w:val="21"/>
              </w:rPr>
              <w:t>化用土回覆</w:t>
            </w:r>
          </w:p>
        </w:tc>
        <w:tc>
          <w:tcPr>
            <w:tcW w:w="96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z w:val="21"/>
                <w:szCs w:val="21"/>
              </w:rPr>
              <w:t>m³</w:t>
            </w:r>
          </w:p>
        </w:tc>
        <w:tc>
          <w:tcPr>
            <w:tcW w:w="84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lang w:val="en-US" w:eastAsia="zh-CN"/>
              </w:rPr>
            </w:pPr>
            <w:r>
              <w:rPr>
                <w:rFonts w:hint="eastAsia" w:eastAsia="仿宋" w:cs="Times New Roman"/>
                <w:spacing w:val="3"/>
                <w:sz w:val="21"/>
                <w:szCs w:val="21"/>
                <w:lang w:val="en-US" w:eastAsia="zh-CN"/>
              </w:rPr>
              <w:t>12000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p>
        </w:tc>
        <w:tc>
          <w:tcPr>
            <w:tcW w:w="78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p>
        </w:tc>
        <w:tc>
          <w:tcPr>
            <w:tcW w:w="160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6"/>
                <w:sz w:val="21"/>
                <w:szCs w:val="21"/>
              </w:rPr>
              <w:t>全</w:t>
            </w:r>
            <w:r>
              <w:rPr>
                <w:rFonts w:hint="default" w:ascii="Times New Roman" w:hAnsi="Times New Roman" w:eastAsia="仿宋" w:cs="Times New Roman"/>
                <w:spacing w:val="4"/>
                <w:sz w:val="21"/>
                <w:szCs w:val="21"/>
              </w:rPr>
              <w:t>面整地</w:t>
            </w:r>
          </w:p>
        </w:tc>
        <w:tc>
          <w:tcPr>
            <w:tcW w:w="96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z w:val="21"/>
                <w:szCs w:val="21"/>
              </w:rPr>
              <w:t>hm²</w:t>
            </w:r>
          </w:p>
        </w:tc>
        <w:tc>
          <w:tcPr>
            <w:tcW w:w="84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lang w:val="en-US" w:eastAsia="zh-CN"/>
              </w:rPr>
            </w:pPr>
            <w:r>
              <w:rPr>
                <w:rFonts w:hint="eastAsia" w:eastAsia="仿宋" w:cs="Times New Roman"/>
                <w:spacing w:val="-2"/>
                <w:sz w:val="21"/>
                <w:szCs w:val="21"/>
                <w:lang w:val="en-US" w:eastAsia="zh-CN"/>
              </w:rPr>
              <w:t>3.99</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p>
        </w:tc>
        <w:tc>
          <w:tcPr>
            <w:tcW w:w="78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p>
        </w:tc>
        <w:tc>
          <w:tcPr>
            <w:tcW w:w="160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6"/>
                <w:sz w:val="21"/>
                <w:szCs w:val="21"/>
              </w:rPr>
              <w:t>雨水管</w:t>
            </w:r>
            <w:r>
              <w:rPr>
                <w:rFonts w:hint="default" w:ascii="Times New Roman" w:hAnsi="Times New Roman" w:eastAsia="仿宋" w:cs="Times New Roman"/>
                <w:spacing w:val="5"/>
                <w:sz w:val="21"/>
                <w:szCs w:val="21"/>
              </w:rPr>
              <w:t>线</w:t>
            </w:r>
          </w:p>
        </w:tc>
        <w:tc>
          <w:tcPr>
            <w:tcW w:w="96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5"/>
                <w:sz w:val="21"/>
                <w:szCs w:val="21"/>
              </w:rPr>
              <w:t>m</w:t>
            </w:r>
          </w:p>
        </w:tc>
        <w:tc>
          <w:tcPr>
            <w:tcW w:w="84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lang w:val="en-US" w:eastAsia="zh-CN"/>
              </w:rPr>
            </w:pPr>
            <w:r>
              <w:rPr>
                <w:rFonts w:hint="eastAsia" w:eastAsia="仿宋" w:cs="Times New Roman"/>
                <w:sz w:val="21"/>
                <w:szCs w:val="21"/>
                <w:lang w:val="en-US" w:eastAsia="zh-CN"/>
              </w:rPr>
              <w:t>2600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p>
        </w:tc>
        <w:tc>
          <w:tcPr>
            <w:tcW w:w="78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p>
        </w:tc>
        <w:tc>
          <w:tcPr>
            <w:tcW w:w="160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lang w:eastAsia="zh-CN"/>
              </w:rPr>
            </w:pPr>
            <w:r>
              <w:rPr>
                <w:rFonts w:hint="eastAsia" w:eastAsia="仿宋" w:cs="Times New Roman"/>
                <w:spacing w:val="-13"/>
                <w:sz w:val="21"/>
                <w:szCs w:val="21"/>
                <w:lang w:eastAsia="zh-CN"/>
              </w:rPr>
              <w:t>雨水口</w:t>
            </w:r>
          </w:p>
        </w:tc>
        <w:tc>
          <w:tcPr>
            <w:tcW w:w="96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z w:val="21"/>
                <w:szCs w:val="21"/>
              </w:rPr>
              <w:t>个</w:t>
            </w:r>
          </w:p>
        </w:tc>
        <w:tc>
          <w:tcPr>
            <w:tcW w:w="84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lang w:val="en-US" w:eastAsia="zh-CN"/>
              </w:rPr>
            </w:pPr>
            <w:r>
              <w:rPr>
                <w:rFonts w:hint="eastAsia" w:eastAsia="仿宋" w:cs="Times New Roman"/>
                <w:sz w:val="21"/>
                <w:szCs w:val="21"/>
                <w:lang w:val="en-US" w:eastAsia="zh-CN"/>
              </w:rPr>
              <w:t>260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p>
        </w:tc>
        <w:tc>
          <w:tcPr>
            <w:tcW w:w="78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6"/>
                <w:sz w:val="21"/>
                <w:szCs w:val="21"/>
              </w:rPr>
              <w:t>植物措施</w:t>
            </w:r>
          </w:p>
        </w:tc>
        <w:tc>
          <w:tcPr>
            <w:tcW w:w="160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pacing w:val="8"/>
                <w:sz w:val="21"/>
                <w:szCs w:val="21"/>
                <w:lang w:val="en-US" w:eastAsia="zh-CN"/>
              </w:rPr>
              <w:t>绿化</w:t>
            </w:r>
          </w:p>
        </w:tc>
        <w:tc>
          <w:tcPr>
            <w:tcW w:w="96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z w:val="21"/>
                <w:szCs w:val="21"/>
              </w:rPr>
              <w:t>m</w:t>
            </w:r>
            <w:r>
              <w:rPr>
                <w:rFonts w:hint="default" w:ascii="Times New Roman" w:hAnsi="Times New Roman" w:eastAsia="仿宋" w:cs="Times New Roman"/>
                <w:spacing w:val="8"/>
                <w:sz w:val="21"/>
                <w:szCs w:val="21"/>
              </w:rPr>
              <w:t>²</w:t>
            </w:r>
          </w:p>
        </w:tc>
        <w:tc>
          <w:tcPr>
            <w:tcW w:w="84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kern w:val="2"/>
                <w:sz w:val="21"/>
                <w:szCs w:val="21"/>
                <w:lang w:val="en-US" w:eastAsia="zh-CN" w:bidi="ar-SA"/>
              </w:rPr>
            </w:pPr>
            <w:r>
              <w:rPr>
                <w:rFonts w:hint="eastAsia" w:eastAsia="仿宋" w:cs="Times New Roman"/>
                <w:spacing w:val="2"/>
                <w:sz w:val="21"/>
                <w:szCs w:val="21"/>
                <w:lang w:eastAsia="zh-CN"/>
              </w:rPr>
              <w:t>39933.28</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p>
        </w:tc>
        <w:tc>
          <w:tcPr>
            <w:tcW w:w="781"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临时措施</w:t>
            </w:r>
          </w:p>
        </w:tc>
        <w:tc>
          <w:tcPr>
            <w:tcW w:w="160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pacing w:val="8"/>
                <w:sz w:val="21"/>
                <w:szCs w:val="21"/>
                <w:lang w:val="en-US" w:eastAsia="zh-CN"/>
              </w:rPr>
            </w:pPr>
            <w:r>
              <w:rPr>
                <w:rFonts w:hint="default" w:ascii="Times New Roman" w:hAnsi="Times New Roman" w:eastAsia="仿宋" w:cs="Times New Roman"/>
                <w:spacing w:val="8"/>
                <w:sz w:val="21"/>
                <w:szCs w:val="21"/>
                <w:lang w:val="en-US" w:eastAsia="zh-CN"/>
              </w:rPr>
              <w:t>编织袋砌筑</w:t>
            </w:r>
          </w:p>
        </w:tc>
        <w:tc>
          <w:tcPr>
            <w:tcW w:w="96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z w:val="21"/>
                <w:szCs w:val="21"/>
              </w:rPr>
              <w:t>m</w:t>
            </w:r>
            <w:r>
              <w:rPr>
                <w:rFonts w:hint="default" w:ascii="Times New Roman" w:hAnsi="Times New Roman" w:eastAsia="仿宋" w:cs="Times New Roman"/>
                <w:spacing w:val="8"/>
                <w:sz w:val="21"/>
                <w:szCs w:val="21"/>
              </w:rPr>
              <w:t>²</w:t>
            </w:r>
          </w:p>
        </w:tc>
        <w:tc>
          <w:tcPr>
            <w:tcW w:w="84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仿宋" w:cs="Times New Roman"/>
                <w:sz w:val="21"/>
                <w:szCs w:val="21"/>
                <w:lang w:val="en-US" w:eastAsia="zh-CN"/>
              </w:rPr>
            </w:pPr>
            <w:r>
              <w:rPr>
                <w:rFonts w:hint="eastAsia" w:eastAsia="仿宋" w:cs="Times New Roman"/>
                <w:sz w:val="21"/>
                <w:szCs w:val="21"/>
                <w:lang w:val="en-US" w:eastAsia="zh-CN"/>
              </w:rPr>
              <w:t>31.5</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p>
        </w:tc>
        <w:tc>
          <w:tcPr>
            <w:tcW w:w="78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lang w:val="en-US" w:eastAsia="zh-CN"/>
              </w:rPr>
            </w:pPr>
          </w:p>
        </w:tc>
        <w:tc>
          <w:tcPr>
            <w:tcW w:w="160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pacing w:val="8"/>
                <w:sz w:val="21"/>
                <w:szCs w:val="21"/>
                <w:lang w:val="en-US" w:eastAsia="zh-CN"/>
              </w:rPr>
            </w:pPr>
            <w:r>
              <w:rPr>
                <w:rFonts w:hint="default" w:ascii="Times New Roman" w:hAnsi="Times New Roman" w:eastAsia="仿宋" w:cs="Times New Roman"/>
                <w:spacing w:val="8"/>
                <w:sz w:val="21"/>
                <w:szCs w:val="21"/>
                <w:lang w:val="en-US" w:eastAsia="zh-CN"/>
              </w:rPr>
              <w:t>编织袋拆除</w:t>
            </w:r>
          </w:p>
        </w:tc>
        <w:tc>
          <w:tcPr>
            <w:tcW w:w="96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z w:val="21"/>
                <w:szCs w:val="21"/>
              </w:rPr>
              <w:t>m</w:t>
            </w:r>
            <w:r>
              <w:rPr>
                <w:rFonts w:hint="default" w:ascii="Times New Roman" w:hAnsi="Times New Roman" w:eastAsia="仿宋" w:cs="Times New Roman"/>
                <w:spacing w:val="8"/>
                <w:sz w:val="21"/>
                <w:szCs w:val="21"/>
              </w:rPr>
              <w:t>²</w:t>
            </w:r>
          </w:p>
        </w:tc>
        <w:tc>
          <w:tcPr>
            <w:tcW w:w="84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仿宋" w:cs="Times New Roman"/>
                <w:sz w:val="21"/>
                <w:szCs w:val="21"/>
                <w:lang w:val="en-US" w:eastAsia="zh-CN"/>
              </w:rPr>
            </w:pPr>
            <w:r>
              <w:rPr>
                <w:rFonts w:hint="eastAsia" w:eastAsia="仿宋" w:cs="Times New Roman"/>
                <w:sz w:val="21"/>
                <w:szCs w:val="21"/>
                <w:lang w:val="en-US" w:eastAsia="zh-CN"/>
              </w:rPr>
              <w:t>31.5</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p>
        </w:tc>
        <w:tc>
          <w:tcPr>
            <w:tcW w:w="78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lang w:val="en-US" w:eastAsia="zh-CN"/>
              </w:rPr>
            </w:pPr>
          </w:p>
        </w:tc>
        <w:tc>
          <w:tcPr>
            <w:tcW w:w="160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pacing w:val="6"/>
                <w:kern w:val="2"/>
                <w:sz w:val="21"/>
                <w:szCs w:val="21"/>
                <w:lang w:val="en-US" w:eastAsia="zh-CN" w:bidi="ar-SA"/>
              </w:rPr>
            </w:pPr>
            <w:r>
              <w:rPr>
                <w:rFonts w:hint="default" w:ascii="Times New Roman" w:hAnsi="Times New Roman" w:eastAsia="仿宋" w:cs="Times New Roman"/>
                <w:spacing w:val="6"/>
                <w:sz w:val="21"/>
                <w:szCs w:val="21"/>
                <w:lang w:val="en-US" w:eastAsia="zh-CN"/>
              </w:rPr>
              <w:t>密目网苫盖</w:t>
            </w:r>
          </w:p>
        </w:tc>
        <w:tc>
          <w:tcPr>
            <w:tcW w:w="96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z w:val="21"/>
                <w:szCs w:val="21"/>
              </w:rPr>
              <w:t>m</w:t>
            </w:r>
            <w:r>
              <w:rPr>
                <w:rFonts w:hint="default" w:ascii="Times New Roman" w:hAnsi="Times New Roman" w:eastAsia="仿宋" w:cs="Times New Roman"/>
                <w:spacing w:val="8"/>
                <w:sz w:val="21"/>
                <w:szCs w:val="21"/>
              </w:rPr>
              <w:t>²</w:t>
            </w:r>
          </w:p>
        </w:tc>
        <w:tc>
          <w:tcPr>
            <w:tcW w:w="84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kern w:val="2"/>
                <w:sz w:val="21"/>
                <w:szCs w:val="21"/>
                <w:lang w:val="en-US" w:eastAsia="zh-CN" w:bidi="ar-SA"/>
              </w:rPr>
            </w:pPr>
            <w:r>
              <w:rPr>
                <w:rFonts w:hint="eastAsia" w:eastAsia="仿宋" w:cs="Times New Roman"/>
                <w:sz w:val="21"/>
                <w:szCs w:val="21"/>
                <w:lang w:val="en-US" w:eastAsia="zh-CN"/>
              </w:rPr>
              <w:t>2965</w:t>
            </w:r>
          </w:p>
        </w:tc>
      </w:tr>
    </w:tbl>
    <w:p>
      <w:pPr>
        <w:pStyle w:val="5"/>
        <w:bidi w:val="0"/>
        <w:rPr>
          <w:rFonts w:hint="default" w:ascii="Times New Roman" w:hAnsi="Times New Roman" w:cs="Times New Roman"/>
        </w:rPr>
      </w:pPr>
      <w:bookmarkStart w:id="350" w:name="_Toc25943"/>
      <w:r>
        <w:rPr>
          <w:rFonts w:hint="default" w:ascii="Times New Roman" w:hAnsi="Times New Roman" w:cs="Times New Roman"/>
        </w:rPr>
        <w:t>5.</w:t>
      </w:r>
      <w:r>
        <w:rPr>
          <w:rFonts w:hint="default" w:ascii="Times New Roman" w:hAnsi="Times New Roman" w:cs="Times New Roman"/>
          <w:lang w:val="en-US" w:eastAsia="zh-CN"/>
        </w:rPr>
        <w:t>4</w:t>
      </w:r>
      <w:r>
        <w:rPr>
          <w:rFonts w:hint="default" w:ascii="Times New Roman" w:hAnsi="Times New Roman" w:cs="Times New Roman"/>
        </w:rPr>
        <w:t>施工要求</w:t>
      </w:r>
      <w:bookmarkEnd w:id="346"/>
      <w:bookmarkEnd w:id="347"/>
      <w:bookmarkEnd w:id="350"/>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5.4.1施工组织形式</w:t>
      </w:r>
      <w:bookmarkEnd w:id="348"/>
      <w:bookmarkEnd w:id="349"/>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水土保持防治措施是对工程建设过程中可能产生的水土流失的采用预防和治理措施，是对主体工程的补充，水土保持防治工程纳入主体工程，实行项目法人制，招标投标制及项目监理制，对</w:t>
      </w:r>
      <w:r>
        <w:rPr>
          <w:rFonts w:hint="default" w:ascii="Times New Roman" w:hAnsi="Times New Roman" w:eastAsia="仿宋_GB2312" w:cs="Times New Roman"/>
          <w:sz w:val="24"/>
          <w:highlight w:val="none"/>
          <w:lang w:eastAsia="zh-CN"/>
        </w:rPr>
        <w:t>本期项目</w:t>
      </w:r>
      <w:r>
        <w:rPr>
          <w:rFonts w:hint="default" w:ascii="Times New Roman" w:hAnsi="Times New Roman" w:eastAsia="仿宋_GB2312" w:cs="Times New Roman"/>
          <w:sz w:val="24"/>
          <w:highlight w:val="none"/>
        </w:rPr>
        <w:t>的水土保持工程进行招标，签订施工合同，按照设计施工合同完成防治工程。</w:t>
      </w:r>
    </w:p>
    <w:p>
      <w:pPr>
        <w:pStyle w:val="6"/>
        <w:bidi w:val="0"/>
        <w:rPr>
          <w:rFonts w:hint="default" w:ascii="Times New Roman" w:hAnsi="Times New Roman" w:cs="Times New Roman"/>
          <w:lang w:val="en-US" w:eastAsia="zh-CN"/>
        </w:rPr>
      </w:pPr>
      <w:bookmarkStart w:id="351" w:name="_Toc156179619"/>
      <w:bookmarkStart w:id="352" w:name="_Toc165093833"/>
      <w:r>
        <w:rPr>
          <w:rFonts w:hint="default" w:ascii="Times New Roman" w:hAnsi="Times New Roman" w:cs="Times New Roman"/>
          <w:lang w:val="en-US" w:eastAsia="zh-CN"/>
        </w:rPr>
        <w:t>5.4.2物资采购</w:t>
      </w:r>
      <w:bookmarkEnd w:id="351"/>
      <w:bookmarkEnd w:id="352"/>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bookmarkStart w:id="353" w:name="_Toc156179620"/>
      <w:bookmarkStart w:id="354" w:name="_Toc165093834"/>
      <w:r>
        <w:rPr>
          <w:rFonts w:hint="default" w:ascii="Times New Roman" w:hAnsi="Times New Roman" w:eastAsia="仿宋_GB2312" w:cs="Times New Roman"/>
          <w:sz w:val="24"/>
          <w:szCs w:val="24"/>
        </w:rPr>
        <w:t>水土保持防治工程所需各种材料就近购买，主要的草坪等在长春市二道区周边的市场采购。在材料购买合同中明确水土流失防治责任由供应商方负责，不纳入本方案的防治责任范围。</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5.4.3施工条件</w:t>
      </w:r>
      <w:bookmarkEnd w:id="353"/>
      <w:bookmarkEnd w:id="354"/>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bookmarkStart w:id="355" w:name="_Toc156179621"/>
      <w:bookmarkStart w:id="356" w:name="_Toc165093835"/>
      <w:r>
        <w:rPr>
          <w:rFonts w:hint="default" w:ascii="Times New Roman" w:hAnsi="Times New Roman" w:eastAsia="仿宋_GB2312" w:cs="Times New Roman"/>
          <w:sz w:val="24"/>
          <w:szCs w:val="24"/>
        </w:rPr>
        <w:t>水土保持防治工程是与主体工程同一区域施工，场地内外的交通便利可以满足施工材料运输的需要。水土保持工程施工用水和用电量相对较小，施工用水用电可由主体工程供水供电系统统一供应。</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5.4.4水土保持工程施工</w:t>
      </w:r>
      <w:bookmarkEnd w:id="355"/>
      <w:bookmarkEnd w:id="356"/>
      <w:r>
        <w:rPr>
          <w:rFonts w:hint="default" w:ascii="Times New Roman" w:hAnsi="Times New Roman" w:cs="Times New Roman"/>
          <w:lang w:val="en-US" w:eastAsia="zh-CN"/>
        </w:rPr>
        <w:t>方法</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bookmarkStart w:id="357" w:name="OLE_LINK31"/>
      <w:bookmarkStart w:id="358" w:name="_Toc156179622"/>
      <w:bookmarkStart w:id="359" w:name="_Toc165093836"/>
      <w:r>
        <w:rPr>
          <w:rFonts w:hint="default" w:ascii="Times New Roman" w:hAnsi="Times New Roman" w:eastAsia="仿宋_GB2312" w:cs="Times New Roman"/>
          <w:sz w:val="24"/>
          <w:highlight w:val="none"/>
          <w:lang w:eastAsia="zh-CN"/>
        </w:rPr>
        <w:t>本期项目</w:t>
      </w:r>
      <w:r>
        <w:rPr>
          <w:rFonts w:hint="default" w:ascii="Times New Roman" w:hAnsi="Times New Roman" w:eastAsia="仿宋_GB2312" w:cs="Times New Roman"/>
          <w:sz w:val="24"/>
          <w:highlight w:val="none"/>
        </w:rPr>
        <w:t>水土流失防治措施主要为全面整地、绿化用土回覆、</w:t>
      </w:r>
      <w:r>
        <w:rPr>
          <w:rFonts w:hint="default" w:ascii="Times New Roman" w:hAnsi="Times New Roman" w:eastAsia="仿宋_GB2312" w:cs="Times New Roman"/>
          <w:sz w:val="24"/>
          <w:highlight w:val="none"/>
          <w:lang w:val="en-US" w:eastAsia="zh-CN"/>
        </w:rPr>
        <w:t>雨水管线、</w:t>
      </w:r>
      <w:r>
        <w:rPr>
          <w:rFonts w:hint="default" w:ascii="Times New Roman" w:hAnsi="Times New Roman" w:eastAsia="仿宋_GB2312" w:cs="Times New Roman"/>
          <w:sz w:val="24"/>
          <w:highlight w:val="none"/>
        </w:rPr>
        <w:t>绿化</w:t>
      </w:r>
      <w:r>
        <w:rPr>
          <w:rFonts w:hint="default" w:ascii="Times New Roman" w:hAnsi="Times New Roman" w:eastAsia="仿宋_GB2312" w:cs="Times New Roman"/>
          <w:sz w:val="24"/>
          <w:highlight w:val="none"/>
          <w:lang w:val="en-US" w:eastAsia="zh-CN"/>
        </w:rPr>
        <w:t>和</w:t>
      </w:r>
      <w:r>
        <w:rPr>
          <w:rFonts w:hint="default" w:ascii="Times New Roman" w:hAnsi="Times New Roman" w:eastAsia="仿宋_GB2312" w:cs="Times New Roman"/>
          <w:sz w:val="24"/>
          <w:highlight w:val="none"/>
        </w:rPr>
        <w:t>洗车槽。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（1）</w:t>
      </w:r>
      <w:r>
        <w:rPr>
          <w:rFonts w:hint="default" w:ascii="Times New Roman" w:hAnsi="Times New Roman" w:eastAsia="仿宋_GB2312" w:cs="Times New Roman"/>
          <w:sz w:val="24"/>
          <w:szCs w:val="24"/>
          <w:lang w:val="en-US" w:eastAsia="zh-CN"/>
        </w:rPr>
        <w:t>雨水管线</w:t>
      </w:r>
    </w:p>
    <w:p>
      <w:pPr>
        <w:pageBreakBefore w:val="0"/>
        <w:kinsoku/>
        <w:wordWrap/>
        <w:bidi w:val="0"/>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sz w:val="24"/>
          <w:szCs w:val="28"/>
          <w:highlight w:val="none"/>
        </w:rPr>
        <w:t>管道敷设由机械辅助人工安装进行</w:t>
      </w:r>
      <w:r>
        <w:rPr>
          <w:rFonts w:hint="default" w:ascii="Times New Roman" w:hAnsi="Times New Roman" w:eastAsia="仿宋_GB2312" w:cs="Times New Roman"/>
          <w:sz w:val="24"/>
          <w:szCs w:val="28"/>
          <w:highlight w:val="none"/>
          <w:lang w:eastAsia="zh-CN"/>
        </w:rPr>
        <w:t>，</w:t>
      </w:r>
      <w:r>
        <w:rPr>
          <w:rFonts w:hint="default" w:ascii="Times New Roman" w:hAnsi="Times New Roman" w:eastAsia="仿宋_GB2312" w:cs="Times New Roman"/>
          <w:sz w:val="24"/>
          <w:szCs w:val="28"/>
          <w:highlight w:val="none"/>
        </w:rPr>
        <w:t>管道拟采用砂垫层基础，根据当地情况做到就地取材，管道下部采用20cm中粗砂作为管道基础</w:t>
      </w:r>
      <w:r>
        <w:rPr>
          <w:rFonts w:hint="default" w:ascii="Times New Roman" w:hAnsi="Times New Roman" w:eastAsia="仿宋_GB2312" w:cs="Times New Roman"/>
          <w:sz w:val="24"/>
          <w:szCs w:val="28"/>
          <w:highlight w:val="none"/>
          <w:lang w:eastAsia="zh-CN"/>
        </w:rPr>
        <w:t>。</w:t>
      </w:r>
      <w:r>
        <w:rPr>
          <w:rFonts w:hint="default" w:ascii="Times New Roman" w:hAnsi="Times New Roman" w:eastAsia="仿宋_GB2312" w:cs="Times New Roman"/>
          <w:color w:val="auto"/>
          <w:sz w:val="24"/>
        </w:rPr>
        <w:t>沟槽开挖深2m</w:t>
      </w:r>
      <w:r>
        <w:rPr>
          <w:rFonts w:hint="default" w:ascii="Times New Roman" w:hAnsi="Times New Roman" w:eastAsia="仿宋_GB2312" w:cs="Times New Roman"/>
          <w:color w:val="auto"/>
          <w:sz w:val="24"/>
          <w:lang w:eastAsia="zh-CN"/>
        </w:rPr>
        <w:t>，</w:t>
      </w:r>
      <w:r>
        <w:rPr>
          <w:rFonts w:hint="default" w:ascii="Times New Roman" w:hAnsi="Times New Roman" w:eastAsia="仿宋_GB2312" w:cs="Times New Roman"/>
          <w:color w:val="auto"/>
          <w:sz w:val="24"/>
        </w:rPr>
        <w:t>底宽1.0m</w:t>
      </w:r>
      <w:r>
        <w:rPr>
          <w:rFonts w:hint="default" w:ascii="Times New Roman" w:hAnsi="Times New Roman" w:eastAsia="仿宋_GB2312" w:cs="Times New Roman"/>
          <w:color w:val="auto"/>
          <w:sz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（2）绿化用土回覆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首先清除施工扰动区域内的杂物，对覆土区域场地进行平整。</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覆土来源于项目地下建筑物开挖的土方，采用机械施工为主，人力施工为辅的方式，采用74kW推土机推土，推至回填位置，边角或机械难实施区域采用人工回覆，覆土深度为0.30m。</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全面整地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全面整地在土建施工结束后，植物措施开始前进行。首先清除施工扰动区域内的建筑垃圾，人力施工对场地进行平整，高挖低填，但要保证有2‰～4‰的排水坡度。然后采用机械施工，耕深0.3m。部分机械施工困难区段采用人工翻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绿化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坚持点，线，面相结合的绿化原则，尽可能提高项目区内部绿化率，采取乔木，灌木和草坪高中低混值形式，构成立体绿色空间，充分发挥绿地的防护</w:t>
      </w:r>
      <w:r>
        <w:rPr>
          <w:rFonts w:hint="default" w:ascii="Times New Roman" w:hAnsi="Times New Roman" w:eastAsia="仿宋_GB2312" w:cs="Times New Roman"/>
          <w:sz w:val="24"/>
          <w:szCs w:val="24"/>
          <w:lang w:eastAsia="zh-CN"/>
        </w:rPr>
        <w:t>。</w:t>
      </w:r>
    </w:p>
    <w:bookmarkEnd w:id="357"/>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密目网苫盖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工程施工过程中应加强临时防护措施，对开挖的土石方时进行苫盖，边角用编织袋填筑压实。</w:t>
      </w:r>
    </w:p>
    <w:p>
      <w:pPr>
        <w:pStyle w:val="6"/>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5.4.</w:t>
      </w:r>
      <w:r>
        <w:rPr>
          <w:rFonts w:hint="default" w:ascii="Times New Roman" w:hAnsi="Times New Roman" w:cs="Times New Roman"/>
          <w:b/>
          <w:bCs/>
          <w:lang w:val="en-US" w:eastAsia="zh-CN"/>
        </w:rPr>
        <w:t>5</w:t>
      </w:r>
      <w:r>
        <w:rPr>
          <w:rFonts w:hint="default" w:ascii="Times New Roman" w:hAnsi="Times New Roman" w:eastAsia="仿宋_GB2312" w:cs="Times New Roman"/>
          <w:b/>
          <w:bCs/>
          <w:lang w:val="en-US" w:eastAsia="zh-CN"/>
        </w:rPr>
        <w:t>施工进度</w:t>
      </w:r>
      <w:bookmarkEnd w:id="358"/>
      <w:bookmarkEnd w:id="359"/>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主体工程施工进度安排，结合各水土流失防治分区所采取的水土保持措施，以尽量减少工程施工期间的水土流失为宗旨，安排水土流失防治分区的水土保持措施实施进度，水土保持工程措施施工要尽量避开雨季和河流汛期，植物措施尽量选择合适的季节。确定水土保持措施分年度实施计划见表5-4，实施进度双横道图见图5-2。</w:t>
      </w: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rPr>
      </w:pPr>
      <w:r>
        <w:rPr>
          <w:rFonts w:hint="default" w:ascii="Times New Roman" w:hAnsi="Times New Roman" w:eastAsia="微软雅黑" w:cs="Times New Roman"/>
        </w:rPr>
        <w:t>表5-4</w:t>
      </w:r>
      <w:r>
        <w:rPr>
          <w:rFonts w:hint="default" w:ascii="Times New Roman" w:hAnsi="Times New Roman" w:eastAsia="微软雅黑" w:cs="Times New Roman"/>
          <w:lang w:val="en-US" w:eastAsia="zh-CN"/>
        </w:rPr>
        <w:t xml:space="preserve">  </w:t>
      </w:r>
      <w:r>
        <w:rPr>
          <w:rFonts w:hint="default" w:ascii="Times New Roman" w:hAnsi="Times New Roman" w:eastAsia="微软雅黑" w:cs="Times New Roman"/>
        </w:rPr>
        <w:t>水土保持措施分年度实施计划</w:t>
      </w:r>
    </w:p>
    <w:tbl>
      <w:tblPr>
        <w:tblStyle w:val="88"/>
        <w:tblW w:w="4998"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52"/>
        <w:gridCol w:w="1280"/>
        <w:gridCol w:w="1846"/>
        <w:gridCol w:w="776"/>
        <w:gridCol w:w="873"/>
        <w:gridCol w:w="1314"/>
        <w:gridCol w:w="1280"/>
      </w:tblGrid>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rPr>
          <w:trHeight w:val="340" w:hRule="atLeast"/>
          <w:jc w:val="center"/>
        </w:trPr>
        <w:tc>
          <w:tcPr>
            <w:tcW w:w="726" w:type="pct"/>
            <w:vMerge w:val="restar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kern w:val="0"/>
                <w:sz w:val="21"/>
                <w:szCs w:val="21"/>
                <w:highlight w:val="none"/>
                <w:lang w:bidi="ar"/>
              </w:rPr>
              <w:t>防治分区</w:t>
            </w:r>
          </w:p>
        </w:tc>
        <w:tc>
          <w:tcPr>
            <w:tcW w:w="742" w:type="pct"/>
            <w:vMerge w:val="restar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kern w:val="0"/>
                <w:sz w:val="21"/>
                <w:szCs w:val="21"/>
                <w:highlight w:val="none"/>
                <w:lang w:bidi="ar"/>
              </w:rPr>
              <w:t>措施体系</w:t>
            </w:r>
          </w:p>
        </w:tc>
        <w:tc>
          <w:tcPr>
            <w:tcW w:w="1070" w:type="pct"/>
            <w:vMerge w:val="restar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kern w:val="0"/>
                <w:sz w:val="21"/>
                <w:szCs w:val="21"/>
                <w:highlight w:val="none"/>
                <w:lang w:bidi="ar"/>
              </w:rPr>
              <w:t>防治措施</w:t>
            </w:r>
          </w:p>
        </w:tc>
        <w:tc>
          <w:tcPr>
            <w:tcW w:w="450" w:type="pct"/>
            <w:vMerge w:val="restar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kern w:val="0"/>
                <w:sz w:val="21"/>
                <w:szCs w:val="21"/>
                <w:highlight w:val="none"/>
                <w:lang w:bidi="ar"/>
              </w:rPr>
              <w:t>单位</w:t>
            </w:r>
          </w:p>
        </w:tc>
        <w:tc>
          <w:tcPr>
            <w:tcW w:w="506" w:type="pct"/>
            <w:vMerge w:val="restar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kern w:val="0"/>
                <w:sz w:val="21"/>
                <w:szCs w:val="21"/>
                <w:highlight w:val="none"/>
                <w:lang w:bidi="ar"/>
              </w:rPr>
              <w:t>工程量</w:t>
            </w:r>
          </w:p>
        </w:tc>
        <w:tc>
          <w:tcPr>
            <w:tcW w:w="1504" w:type="pct"/>
            <w:gridSpan w:val="2"/>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1"/>
                <w:szCs w:val="21"/>
                <w:highlight w:val="none"/>
                <w:lang w:bidi="ar"/>
              </w:rPr>
            </w:pPr>
            <w:r>
              <w:rPr>
                <w:rFonts w:hint="default" w:ascii="Times New Roman" w:hAnsi="Times New Roman" w:eastAsia="仿宋_GB2312" w:cs="Times New Roman"/>
                <w:kern w:val="0"/>
                <w:sz w:val="21"/>
                <w:szCs w:val="21"/>
                <w:highlight w:val="none"/>
                <w:lang w:bidi="ar"/>
              </w:rPr>
              <w:t>实施年度</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6" w:type="pct"/>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rPr>
            </w:pPr>
          </w:p>
        </w:tc>
        <w:tc>
          <w:tcPr>
            <w:tcW w:w="742" w:type="pct"/>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rPr>
            </w:pPr>
          </w:p>
        </w:tc>
        <w:tc>
          <w:tcPr>
            <w:tcW w:w="1070" w:type="pct"/>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rPr>
            </w:pPr>
          </w:p>
        </w:tc>
        <w:tc>
          <w:tcPr>
            <w:tcW w:w="450" w:type="pct"/>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rPr>
            </w:pPr>
          </w:p>
        </w:tc>
        <w:tc>
          <w:tcPr>
            <w:tcW w:w="506" w:type="pct"/>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rPr>
            </w:pPr>
          </w:p>
        </w:tc>
        <w:tc>
          <w:tcPr>
            <w:tcW w:w="762"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Times New Roman" w:hAnsi="Times New Roman" w:eastAsia="宋体" w:cs="Times New Roman"/>
                <w:sz w:val="21"/>
                <w:szCs w:val="21"/>
                <w:highlight w:val="none"/>
                <w:lang w:val="en-US" w:eastAsia="zh-CN"/>
              </w:rPr>
            </w:pPr>
            <w:r>
              <w:rPr>
                <w:rFonts w:hint="default" w:ascii="Times New Roman" w:hAnsi="Times New Roman" w:cs="Times New Roman"/>
                <w:kern w:val="0"/>
                <w:sz w:val="21"/>
                <w:szCs w:val="21"/>
                <w:highlight w:val="none"/>
                <w:lang w:bidi="ar"/>
              </w:rPr>
              <w:t>202</w:t>
            </w:r>
            <w:r>
              <w:rPr>
                <w:rFonts w:hint="eastAsia" w:cs="Times New Roman"/>
                <w:kern w:val="0"/>
                <w:sz w:val="21"/>
                <w:szCs w:val="21"/>
                <w:highlight w:val="none"/>
                <w:lang w:val="en-US" w:eastAsia="zh-CN" w:bidi="ar"/>
              </w:rPr>
              <w:t>3</w:t>
            </w:r>
          </w:p>
        </w:tc>
        <w:tc>
          <w:tcPr>
            <w:tcW w:w="741"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ascii="Times New Roman" w:hAnsi="Times New Roman" w:eastAsia="宋体" w:cs="Times New Roman"/>
                <w:sz w:val="21"/>
                <w:szCs w:val="21"/>
                <w:highlight w:val="none"/>
                <w:lang w:val="en-US" w:eastAsia="zh-CN"/>
              </w:rPr>
            </w:pPr>
            <w:r>
              <w:rPr>
                <w:rFonts w:hint="default" w:ascii="Times New Roman" w:hAnsi="Times New Roman" w:cs="Times New Roman"/>
                <w:kern w:val="0"/>
                <w:sz w:val="21"/>
                <w:szCs w:val="21"/>
                <w:highlight w:val="none"/>
                <w:lang w:bidi="ar"/>
              </w:rPr>
              <w:t>202</w:t>
            </w:r>
            <w:r>
              <w:rPr>
                <w:rFonts w:hint="eastAsia" w:cs="Times New Roman"/>
                <w:kern w:val="0"/>
                <w:sz w:val="21"/>
                <w:szCs w:val="21"/>
                <w:highlight w:val="none"/>
                <w:lang w:val="en-US" w:eastAsia="zh-CN" w:bidi="ar"/>
              </w:rPr>
              <w:t>4</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6" w:type="pct"/>
            <w:vMerge w:val="restar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lang w:val="en-US" w:eastAsia="zh-CN"/>
              </w:rPr>
              <w:t>工程建设区</w:t>
            </w:r>
          </w:p>
        </w:tc>
        <w:tc>
          <w:tcPr>
            <w:tcW w:w="742" w:type="pct"/>
            <w:vMerge w:val="restar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kern w:val="0"/>
                <w:sz w:val="21"/>
                <w:szCs w:val="21"/>
                <w:highlight w:val="none"/>
                <w:lang w:bidi="ar"/>
              </w:rPr>
              <w:t>工程措施</w:t>
            </w:r>
          </w:p>
        </w:tc>
        <w:tc>
          <w:tcPr>
            <w:tcW w:w="1070"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1"/>
                <w:szCs w:val="21"/>
                <w:highlight w:val="none"/>
                <w:lang w:bidi="ar"/>
              </w:rPr>
            </w:pPr>
            <w:r>
              <w:rPr>
                <w:rFonts w:hint="default" w:ascii="Times New Roman" w:hAnsi="Times New Roman" w:eastAsia="仿宋_GB2312" w:cs="Times New Roman"/>
                <w:kern w:val="0"/>
                <w:sz w:val="21"/>
                <w:szCs w:val="21"/>
                <w:highlight w:val="none"/>
                <w:lang w:bidi="ar"/>
              </w:rPr>
              <w:t>雨水管线</w:t>
            </w:r>
          </w:p>
        </w:tc>
        <w:tc>
          <w:tcPr>
            <w:tcW w:w="450"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cs="Times New Roman"/>
                <w:kern w:val="0"/>
                <w:sz w:val="21"/>
                <w:szCs w:val="21"/>
                <w:highlight w:val="none"/>
                <w:lang w:bidi="ar"/>
              </w:rPr>
            </w:pPr>
            <w:r>
              <w:rPr>
                <w:rFonts w:hint="default" w:ascii="Times New Roman" w:hAnsi="Times New Roman" w:cs="Times New Roman"/>
                <w:kern w:val="0"/>
                <w:sz w:val="21"/>
                <w:szCs w:val="21"/>
                <w:highlight w:val="none"/>
                <w:lang w:bidi="ar"/>
              </w:rPr>
              <w:t>m</w:t>
            </w:r>
          </w:p>
        </w:tc>
        <w:tc>
          <w:tcPr>
            <w:tcW w:w="506"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宋体" w:cs="Times New Roman"/>
                <w:kern w:val="0"/>
                <w:sz w:val="21"/>
                <w:szCs w:val="21"/>
                <w:highlight w:val="none"/>
                <w:lang w:val="en-US" w:eastAsia="zh-CN" w:bidi="ar"/>
              </w:rPr>
            </w:pPr>
            <w:r>
              <w:rPr>
                <w:rFonts w:hint="eastAsia" w:cs="Times New Roman"/>
                <w:kern w:val="0"/>
                <w:sz w:val="21"/>
                <w:szCs w:val="21"/>
                <w:highlight w:val="none"/>
                <w:lang w:val="en-US" w:eastAsia="zh-CN" w:bidi="ar"/>
              </w:rPr>
              <w:t>2600</w:t>
            </w:r>
          </w:p>
        </w:tc>
        <w:tc>
          <w:tcPr>
            <w:tcW w:w="762"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cs="Times New Roman"/>
                <w:kern w:val="0"/>
                <w:sz w:val="21"/>
                <w:szCs w:val="21"/>
                <w:highlight w:val="none"/>
                <w:lang w:bidi="ar"/>
              </w:rPr>
            </w:pPr>
          </w:p>
        </w:tc>
        <w:tc>
          <w:tcPr>
            <w:tcW w:w="741" w:type="pct"/>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2600</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6" w:type="pct"/>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rPr>
            </w:pPr>
          </w:p>
        </w:tc>
        <w:tc>
          <w:tcPr>
            <w:tcW w:w="742" w:type="pct"/>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rPr>
            </w:pPr>
          </w:p>
        </w:tc>
        <w:tc>
          <w:tcPr>
            <w:tcW w:w="1070"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lang w:eastAsia="zh-CN"/>
              </w:rPr>
            </w:pPr>
            <w:r>
              <w:rPr>
                <w:rFonts w:hint="eastAsia" w:eastAsia="仿宋_GB2312" w:cs="Times New Roman"/>
                <w:kern w:val="0"/>
                <w:sz w:val="21"/>
                <w:szCs w:val="21"/>
                <w:highlight w:val="none"/>
                <w:lang w:eastAsia="zh-CN" w:bidi="ar"/>
              </w:rPr>
              <w:t>雨水口</w:t>
            </w:r>
          </w:p>
        </w:tc>
        <w:tc>
          <w:tcPr>
            <w:tcW w:w="450"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cs="Times New Roman"/>
                <w:sz w:val="21"/>
                <w:szCs w:val="21"/>
                <w:highlight w:val="none"/>
              </w:rPr>
            </w:pPr>
            <w:r>
              <w:rPr>
                <w:rFonts w:hint="default" w:ascii="Times New Roman" w:hAnsi="Times New Roman" w:cs="Times New Roman"/>
                <w:kern w:val="0"/>
                <w:sz w:val="21"/>
                <w:szCs w:val="21"/>
                <w:highlight w:val="none"/>
                <w:lang w:bidi="ar"/>
              </w:rPr>
              <w:t>个</w:t>
            </w:r>
          </w:p>
        </w:tc>
        <w:tc>
          <w:tcPr>
            <w:tcW w:w="506"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宋体" w:cs="Times New Roman"/>
                <w:kern w:val="0"/>
                <w:sz w:val="21"/>
                <w:szCs w:val="21"/>
                <w:highlight w:val="none"/>
                <w:lang w:val="en-US" w:eastAsia="zh-CN" w:bidi="ar"/>
              </w:rPr>
            </w:pPr>
            <w:r>
              <w:rPr>
                <w:rFonts w:hint="eastAsia" w:cs="Times New Roman"/>
                <w:kern w:val="0"/>
                <w:sz w:val="21"/>
                <w:szCs w:val="21"/>
                <w:highlight w:val="none"/>
                <w:lang w:val="en-US" w:eastAsia="zh-CN" w:bidi="ar"/>
              </w:rPr>
              <w:t>260</w:t>
            </w:r>
          </w:p>
        </w:tc>
        <w:tc>
          <w:tcPr>
            <w:tcW w:w="762"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cs="Times New Roman"/>
                <w:kern w:val="0"/>
                <w:sz w:val="21"/>
                <w:szCs w:val="21"/>
                <w:highlight w:val="none"/>
                <w:lang w:bidi="ar"/>
              </w:rPr>
            </w:pPr>
          </w:p>
        </w:tc>
        <w:tc>
          <w:tcPr>
            <w:tcW w:w="741" w:type="pct"/>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260</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6" w:type="pct"/>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rPr>
            </w:pPr>
          </w:p>
        </w:tc>
        <w:tc>
          <w:tcPr>
            <w:tcW w:w="742" w:type="pct"/>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rPr>
            </w:pPr>
          </w:p>
        </w:tc>
        <w:tc>
          <w:tcPr>
            <w:tcW w:w="1070"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kern w:val="0"/>
                <w:sz w:val="21"/>
                <w:szCs w:val="21"/>
                <w:highlight w:val="none"/>
                <w:lang w:bidi="ar"/>
              </w:rPr>
              <w:t>绿化用土回覆</w:t>
            </w:r>
          </w:p>
        </w:tc>
        <w:tc>
          <w:tcPr>
            <w:tcW w:w="450"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cs="Times New Roman"/>
                <w:sz w:val="21"/>
                <w:szCs w:val="21"/>
                <w:highlight w:val="none"/>
              </w:rPr>
            </w:pPr>
            <w:r>
              <w:rPr>
                <w:rFonts w:hint="default" w:ascii="Times New Roman" w:hAnsi="Times New Roman" w:cs="Times New Roman"/>
                <w:kern w:val="0"/>
                <w:sz w:val="21"/>
                <w:szCs w:val="21"/>
                <w:highlight w:val="none"/>
                <w:lang w:bidi="ar"/>
              </w:rPr>
              <w:t>m</w:t>
            </w:r>
            <w:r>
              <w:rPr>
                <w:rFonts w:hint="default" w:ascii="Times New Roman" w:hAnsi="Times New Roman" w:cs="Times New Roman"/>
                <w:kern w:val="0"/>
                <w:sz w:val="21"/>
                <w:szCs w:val="21"/>
                <w:highlight w:val="none"/>
                <w:vertAlign w:val="superscript"/>
                <w:lang w:bidi="ar"/>
              </w:rPr>
              <w:t>3</w:t>
            </w:r>
          </w:p>
        </w:tc>
        <w:tc>
          <w:tcPr>
            <w:tcW w:w="506"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宋体" w:cs="Times New Roman"/>
                <w:kern w:val="0"/>
                <w:sz w:val="21"/>
                <w:szCs w:val="21"/>
                <w:highlight w:val="none"/>
                <w:lang w:val="en-US" w:eastAsia="zh-CN" w:bidi="ar"/>
              </w:rPr>
            </w:pPr>
            <w:r>
              <w:rPr>
                <w:rFonts w:hint="eastAsia" w:cs="Times New Roman"/>
                <w:kern w:val="0"/>
                <w:sz w:val="21"/>
                <w:szCs w:val="21"/>
                <w:highlight w:val="none"/>
                <w:lang w:val="en-US" w:eastAsia="zh-CN" w:bidi="ar"/>
              </w:rPr>
              <w:t>12000</w:t>
            </w:r>
          </w:p>
        </w:tc>
        <w:tc>
          <w:tcPr>
            <w:tcW w:w="762"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cs="Times New Roman"/>
                <w:kern w:val="0"/>
                <w:sz w:val="21"/>
                <w:szCs w:val="21"/>
                <w:highlight w:val="none"/>
                <w:lang w:bidi="ar"/>
              </w:rPr>
            </w:pPr>
          </w:p>
        </w:tc>
        <w:tc>
          <w:tcPr>
            <w:tcW w:w="741"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cs="Times New Roman"/>
                <w:sz w:val="21"/>
                <w:szCs w:val="21"/>
                <w:highlight w:val="none"/>
              </w:rPr>
            </w:pPr>
            <w:r>
              <w:rPr>
                <w:rFonts w:hint="eastAsia" w:cs="Times New Roman"/>
                <w:kern w:val="0"/>
                <w:sz w:val="21"/>
                <w:szCs w:val="21"/>
                <w:highlight w:val="none"/>
                <w:lang w:val="en-US" w:eastAsia="zh-CN" w:bidi="ar"/>
              </w:rPr>
              <w:t>12000</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6" w:type="pct"/>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rPr>
            </w:pPr>
          </w:p>
        </w:tc>
        <w:tc>
          <w:tcPr>
            <w:tcW w:w="742" w:type="pct"/>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rPr>
            </w:pPr>
          </w:p>
        </w:tc>
        <w:tc>
          <w:tcPr>
            <w:tcW w:w="1070"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kern w:val="0"/>
                <w:sz w:val="21"/>
                <w:szCs w:val="21"/>
                <w:highlight w:val="none"/>
                <w:lang w:bidi="ar"/>
              </w:rPr>
              <w:t>全面整地</w:t>
            </w:r>
          </w:p>
        </w:tc>
        <w:tc>
          <w:tcPr>
            <w:tcW w:w="450"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cs="Times New Roman"/>
                <w:sz w:val="21"/>
                <w:szCs w:val="21"/>
                <w:highlight w:val="none"/>
              </w:rPr>
            </w:pPr>
            <w:r>
              <w:rPr>
                <w:rFonts w:hint="default" w:ascii="Times New Roman" w:hAnsi="Times New Roman" w:cs="Times New Roman"/>
                <w:kern w:val="0"/>
                <w:sz w:val="21"/>
                <w:szCs w:val="21"/>
                <w:highlight w:val="none"/>
                <w:lang w:bidi="ar"/>
              </w:rPr>
              <w:t>hm</w:t>
            </w:r>
            <w:r>
              <w:rPr>
                <w:rFonts w:hint="default" w:ascii="Times New Roman" w:hAnsi="Times New Roman" w:cs="Times New Roman"/>
                <w:kern w:val="0"/>
                <w:sz w:val="21"/>
                <w:szCs w:val="21"/>
                <w:highlight w:val="none"/>
                <w:vertAlign w:val="superscript"/>
                <w:lang w:bidi="ar"/>
              </w:rPr>
              <w:t>2</w:t>
            </w:r>
          </w:p>
        </w:tc>
        <w:tc>
          <w:tcPr>
            <w:tcW w:w="506"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宋体" w:cs="Times New Roman"/>
                <w:kern w:val="0"/>
                <w:sz w:val="21"/>
                <w:szCs w:val="21"/>
                <w:highlight w:val="none"/>
                <w:lang w:val="en-US" w:eastAsia="zh-CN" w:bidi="ar"/>
              </w:rPr>
            </w:pPr>
            <w:r>
              <w:rPr>
                <w:rFonts w:hint="eastAsia" w:cs="Times New Roman"/>
                <w:kern w:val="0"/>
                <w:sz w:val="21"/>
                <w:szCs w:val="21"/>
                <w:highlight w:val="none"/>
                <w:lang w:val="en-US" w:eastAsia="zh-CN" w:bidi="ar"/>
              </w:rPr>
              <w:t>3.99</w:t>
            </w:r>
          </w:p>
        </w:tc>
        <w:tc>
          <w:tcPr>
            <w:tcW w:w="762"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cs="Times New Roman"/>
                <w:kern w:val="0"/>
                <w:sz w:val="21"/>
                <w:szCs w:val="21"/>
                <w:highlight w:val="none"/>
                <w:lang w:bidi="ar"/>
              </w:rPr>
            </w:pPr>
          </w:p>
        </w:tc>
        <w:tc>
          <w:tcPr>
            <w:tcW w:w="741"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cs="Times New Roman"/>
                <w:sz w:val="21"/>
                <w:szCs w:val="21"/>
                <w:highlight w:val="none"/>
              </w:rPr>
            </w:pPr>
            <w:r>
              <w:rPr>
                <w:rFonts w:hint="eastAsia" w:cs="Times New Roman"/>
                <w:kern w:val="0"/>
                <w:sz w:val="21"/>
                <w:szCs w:val="21"/>
                <w:highlight w:val="none"/>
                <w:lang w:val="en-US" w:eastAsia="zh-CN" w:bidi="ar"/>
              </w:rPr>
              <w:t>3.99</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6" w:type="pct"/>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rPr>
            </w:pPr>
          </w:p>
        </w:tc>
        <w:tc>
          <w:tcPr>
            <w:tcW w:w="742"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kern w:val="0"/>
                <w:sz w:val="21"/>
                <w:szCs w:val="21"/>
                <w:highlight w:val="none"/>
                <w:lang w:bidi="ar"/>
              </w:rPr>
              <w:t>植物措施</w:t>
            </w:r>
          </w:p>
        </w:tc>
        <w:tc>
          <w:tcPr>
            <w:tcW w:w="1070"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kern w:val="0"/>
                <w:sz w:val="21"/>
                <w:szCs w:val="21"/>
                <w:highlight w:val="none"/>
                <w:lang w:bidi="ar"/>
              </w:rPr>
              <w:t>绿化</w:t>
            </w:r>
          </w:p>
        </w:tc>
        <w:tc>
          <w:tcPr>
            <w:tcW w:w="450"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cs="Times New Roman"/>
                <w:sz w:val="21"/>
                <w:szCs w:val="21"/>
                <w:highlight w:val="none"/>
              </w:rPr>
            </w:pPr>
            <w:r>
              <w:rPr>
                <w:rFonts w:hint="default" w:ascii="Times New Roman" w:hAnsi="Times New Roman" w:cs="Times New Roman"/>
                <w:kern w:val="0"/>
                <w:sz w:val="21"/>
                <w:szCs w:val="21"/>
                <w:highlight w:val="none"/>
                <w:lang w:bidi="ar"/>
              </w:rPr>
              <w:t>hm</w:t>
            </w:r>
            <w:r>
              <w:rPr>
                <w:rFonts w:hint="default" w:ascii="Times New Roman" w:hAnsi="Times New Roman" w:cs="Times New Roman"/>
                <w:kern w:val="0"/>
                <w:sz w:val="21"/>
                <w:szCs w:val="21"/>
                <w:highlight w:val="none"/>
                <w:vertAlign w:val="superscript"/>
                <w:lang w:bidi="ar"/>
              </w:rPr>
              <w:t>2</w:t>
            </w:r>
          </w:p>
        </w:tc>
        <w:tc>
          <w:tcPr>
            <w:tcW w:w="506"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宋体" w:cs="Times New Roman"/>
                <w:kern w:val="0"/>
                <w:sz w:val="21"/>
                <w:szCs w:val="21"/>
                <w:highlight w:val="none"/>
                <w:lang w:val="en-US" w:eastAsia="zh-CN" w:bidi="ar"/>
              </w:rPr>
            </w:pPr>
            <w:r>
              <w:rPr>
                <w:rFonts w:hint="eastAsia" w:cs="Times New Roman"/>
                <w:kern w:val="0"/>
                <w:sz w:val="21"/>
                <w:szCs w:val="21"/>
                <w:highlight w:val="none"/>
                <w:lang w:val="en-US" w:eastAsia="zh-CN" w:bidi="ar"/>
              </w:rPr>
              <w:t>3.99</w:t>
            </w:r>
          </w:p>
        </w:tc>
        <w:tc>
          <w:tcPr>
            <w:tcW w:w="762"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cs="Times New Roman"/>
                <w:kern w:val="0"/>
                <w:sz w:val="21"/>
                <w:szCs w:val="21"/>
                <w:highlight w:val="none"/>
                <w:lang w:bidi="ar"/>
              </w:rPr>
            </w:pPr>
          </w:p>
        </w:tc>
        <w:tc>
          <w:tcPr>
            <w:tcW w:w="741"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cs="Times New Roman"/>
                <w:sz w:val="21"/>
                <w:szCs w:val="21"/>
                <w:highlight w:val="none"/>
              </w:rPr>
            </w:pPr>
            <w:r>
              <w:rPr>
                <w:rFonts w:hint="eastAsia" w:cs="Times New Roman"/>
                <w:kern w:val="0"/>
                <w:sz w:val="21"/>
                <w:szCs w:val="21"/>
                <w:highlight w:val="none"/>
                <w:lang w:val="en-US" w:eastAsia="zh-CN" w:bidi="ar"/>
              </w:rPr>
              <w:t>3.99</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6" w:type="pct"/>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rPr>
            </w:pPr>
          </w:p>
        </w:tc>
        <w:tc>
          <w:tcPr>
            <w:tcW w:w="742" w:type="pct"/>
            <w:vMerge w:val="restar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kern w:val="0"/>
                <w:sz w:val="21"/>
                <w:szCs w:val="21"/>
                <w:highlight w:val="none"/>
                <w:lang w:bidi="ar"/>
              </w:rPr>
              <w:t>临时措施</w:t>
            </w:r>
          </w:p>
        </w:tc>
        <w:tc>
          <w:tcPr>
            <w:tcW w:w="184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 w:cs="Times New Roman"/>
                <w:spacing w:val="8"/>
                <w:sz w:val="21"/>
                <w:szCs w:val="21"/>
                <w:lang w:val="en-US" w:eastAsia="zh-CN"/>
              </w:rPr>
              <w:t>编织袋砌筑</w:t>
            </w:r>
          </w:p>
        </w:tc>
        <w:tc>
          <w:tcPr>
            <w:tcW w:w="77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kern w:val="0"/>
                <w:sz w:val="21"/>
                <w:szCs w:val="21"/>
                <w:highlight w:val="none"/>
                <w:lang w:bidi="ar"/>
              </w:rPr>
            </w:pPr>
            <w:r>
              <w:rPr>
                <w:rFonts w:hint="default" w:ascii="Times New Roman" w:hAnsi="Times New Roman" w:eastAsia="仿宋" w:cs="Times New Roman"/>
                <w:sz w:val="21"/>
                <w:szCs w:val="21"/>
              </w:rPr>
              <w:t>m</w:t>
            </w:r>
            <w:r>
              <w:rPr>
                <w:rFonts w:hint="default" w:ascii="Times New Roman" w:hAnsi="Times New Roman" w:eastAsia="仿宋" w:cs="Times New Roman"/>
                <w:spacing w:val="8"/>
                <w:sz w:val="21"/>
                <w:szCs w:val="21"/>
              </w:rPr>
              <w:t>²</w:t>
            </w:r>
          </w:p>
        </w:tc>
        <w:tc>
          <w:tcPr>
            <w:tcW w:w="873"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eastAsia="仿宋_GB2312" w:cs="Times New Roman"/>
                <w:sz w:val="21"/>
                <w:szCs w:val="21"/>
                <w:lang w:val="en-US" w:eastAsia="zh-CN"/>
              </w:rPr>
            </w:pPr>
            <w:r>
              <w:rPr>
                <w:rFonts w:hint="eastAsia" w:eastAsia="仿宋" w:cs="Times New Roman"/>
                <w:sz w:val="21"/>
                <w:szCs w:val="21"/>
                <w:lang w:val="en-US" w:eastAsia="zh-CN"/>
              </w:rPr>
              <w:t>31.5</w:t>
            </w:r>
          </w:p>
        </w:tc>
        <w:tc>
          <w:tcPr>
            <w:tcW w:w="762"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cs="Times New Roman"/>
                <w:kern w:val="0"/>
                <w:sz w:val="21"/>
                <w:szCs w:val="21"/>
                <w:highlight w:val="none"/>
                <w:lang w:val="en-US" w:eastAsia="zh-CN" w:bidi="ar"/>
              </w:rPr>
            </w:pPr>
            <w:r>
              <w:rPr>
                <w:rFonts w:hint="eastAsia" w:cs="Times New Roman"/>
                <w:kern w:val="0"/>
                <w:sz w:val="21"/>
                <w:szCs w:val="21"/>
                <w:highlight w:val="none"/>
                <w:lang w:val="en-US" w:eastAsia="zh-CN" w:bidi="ar"/>
              </w:rPr>
              <w:t>31.5</w:t>
            </w:r>
          </w:p>
        </w:tc>
        <w:tc>
          <w:tcPr>
            <w:tcW w:w="741" w:type="pct"/>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cs="Times New Roman"/>
                <w:sz w:val="21"/>
                <w:szCs w:val="21"/>
                <w:highlight w:val="none"/>
              </w:rPr>
            </w:pP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6" w:type="pct"/>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rPr>
            </w:pPr>
          </w:p>
        </w:tc>
        <w:tc>
          <w:tcPr>
            <w:tcW w:w="742" w:type="pct"/>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1"/>
                <w:szCs w:val="21"/>
                <w:highlight w:val="none"/>
                <w:lang w:bidi="ar"/>
              </w:rPr>
            </w:pPr>
          </w:p>
        </w:tc>
        <w:tc>
          <w:tcPr>
            <w:tcW w:w="184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 w:cs="Times New Roman"/>
                <w:spacing w:val="8"/>
                <w:sz w:val="21"/>
                <w:szCs w:val="21"/>
                <w:lang w:val="en-US" w:eastAsia="zh-CN"/>
              </w:rPr>
              <w:t>编织袋拆除</w:t>
            </w:r>
          </w:p>
        </w:tc>
        <w:tc>
          <w:tcPr>
            <w:tcW w:w="77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kern w:val="0"/>
                <w:sz w:val="21"/>
                <w:szCs w:val="21"/>
                <w:highlight w:val="none"/>
                <w:lang w:bidi="ar"/>
              </w:rPr>
            </w:pPr>
            <w:r>
              <w:rPr>
                <w:rFonts w:hint="default" w:ascii="Times New Roman" w:hAnsi="Times New Roman" w:eastAsia="仿宋" w:cs="Times New Roman"/>
                <w:sz w:val="21"/>
                <w:szCs w:val="21"/>
              </w:rPr>
              <w:t>m</w:t>
            </w:r>
            <w:r>
              <w:rPr>
                <w:rFonts w:hint="default" w:ascii="Times New Roman" w:hAnsi="Times New Roman" w:eastAsia="仿宋" w:cs="Times New Roman"/>
                <w:spacing w:val="8"/>
                <w:sz w:val="21"/>
                <w:szCs w:val="21"/>
              </w:rPr>
              <w:t>²</w:t>
            </w:r>
          </w:p>
        </w:tc>
        <w:tc>
          <w:tcPr>
            <w:tcW w:w="873"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eastAsia="仿宋_GB2312" w:cs="Times New Roman"/>
                <w:sz w:val="21"/>
                <w:szCs w:val="21"/>
                <w:lang w:val="en-US" w:eastAsia="zh-CN"/>
              </w:rPr>
            </w:pPr>
            <w:r>
              <w:rPr>
                <w:rFonts w:hint="eastAsia" w:eastAsia="仿宋" w:cs="Times New Roman"/>
                <w:sz w:val="21"/>
                <w:szCs w:val="21"/>
                <w:lang w:val="en-US" w:eastAsia="zh-CN"/>
              </w:rPr>
              <w:t>31.5</w:t>
            </w:r>
          </w:p>
        </w:tc>
        <w:tc>
          <w:tcPr>
            <w:tcW w:w="762"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eastAsia" w:cs="Times New Roman"/>
                <w:kern w:val="0"/>
                <w:sz w:val="21"/>
                <w:szCs w:val="21"/>
                <w:highlight w:val="none"/>
                <w:lang w:val="en-US" w:eastAsia="zh-CN" w:bidi="ar"/>
              </w:rPr>
            </w:pPr>
          </w:p>
        </w:tc>
        <w:tc>
          <w:tcPr>
            <w:tcW w:w="741" w:type="pct"/>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31.5</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6" w:type="pct"/>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rPr>
            </w:pPr>
          </w:p>
        </w:tc>
        <w:tc>
          <w:tcPr>
            <w:tcW w:w="742" w:type="pct"/>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rPr>
            </w:pPr>
          </w:p>
        </w:tc>
        <w:tc>
          <w:tcPr>
            <w:tcW w:w="1070"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6"/>
                <w:kern w:val="2"/>
                <w:sz w:val="21"/>
                <w:szCs w:val="21"/>
                <w:lang w:val="en-US" w:eastAsia="zh-CN" w:bidi="ar-SA"/>
              </w:rPr>
            </w:pPr>
            <w:r>
              <w:rPr>
                <w:rFonts w:hint="default" w:ascii="Times New Roman" w:hAnsi="Times New Roman" w:eastAsia="仿宋_GB2312" w:cs="Times New Roman"/>
                <w:spacing w:val="6"/>
                <w:sz w:val="21"/>
                <w:szCs w:val="21"/>
                <w:lang w:val="en-US" w:eastAsia="zh-CN"/>
              </w:rPr>
              <w:t>密目网苫盖</w:t>
            </w:r>
          </w:p>
        </w:tc>
        <w:tc>
          <w:tcPr>
            <w:tcW w:w="450"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cs="Times New Roman"/>
                <w:kern w:val="0"/>
                <w:sz w:val="21"/>
                <w:szCs w:val="21"/>
                <w:highlight w:val="none"/>
                <w:lang w:bidi="ar"/>
              </w:rPr>
              <w:t>m</w:t>
            </w:r>
            <w:r>
              <w:rPr>
                <w:rFonts w:hint="default" w:ascii="Times New Roman" w:hAnsi="Times New Roman" w:cs="Times New Roman"/>
                <w:kern w:val="0"/>
                <w:sz w:val="21"/>
                <w:szCs w:val="21"/>
                <w:highlight w:val="none"/>
                <w:vertAlign w:val="superscript"/>
                <w:lang w:bidi="ar"/>
              </w:rPr>
              <w:t>2</w:t>
            </w:r>
          </w:p>
        </w:tc>
        <w:tc>
          <w:tcPr>
            <w:tcW w:w="506"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sz w:val="21"/>
                <w:szCs w:val="21"/>
                <w:lang w:val="en-US" w:eastAsia="zh-CN"/>
              </w:rPr>
              <w:t>2965</w:t>
            </w:r>
          </w:p>
        </w:tc>
        <w:tc>
          <w:tcPr>
            <w:tcW w:w="762" w:type="pc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宋体" w:cs="Times New Roman"/>
                <w:kern w:val="0"/>
                <w:sz w:val="21"/>
                <w:szCs w:val="21"/>
                <w:highlight w:val="none"/>
                <w:lang w:val="en-US" w:eastAsia="zh-CN" w:bidi="ar"/>
              </w:rPr>
            </w:pPr>
            <w:r>
              <w:rPr>
                <w:rFonts w:hint="eastAsia" w:cs="Times New Roman"/>
                <w:kern w:val="0"/>
                <w:sz w:val="21"/>
                <w:szCs w:val="21"/>
                <w:highlight w:val="none"/>
                <w:lang w:val="en-US" w:eastAsia="zh-CN" w:bidi="ar"/>
              </w:rPr>
              <w:t>2965</w:t>
            </w:r>
          </w:p>
        </w:tc>
        <w:tc>
          <w:tcPr>
            <w:tcW w:w="741" w:type="pct"/>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cs="Times New Roman"/>
                <w:sz w:val="21"/>
                <w:szCs w:val="21"/>
                <w:highlight w:val="none"/>
              </w:rPr>
            </w:pPr>
          </w:p>
        </w:tc>
      </w:tr>
    </w:tbl>
    <w:p>
      <w:pPr>
        <w:pStyle w:val="151"/>
        <w:pageBreakBefore w:val="0"/>
        <w:kinsoku/>
        <w:wordWrap/>
        <w:bidi w:val="0"/>
        <w:rPr>
          <w:rFonts w:hint="default" w:ascii="Times New Roman" w:hAnsi="Times New Roman" w:cs="Times New Roman"/>
        </w:rPr>
        <w:sectPr>
          <w:headerReference r:id="rId20" w:type="default"/>
          <w:footerReference r:id="rId21" w:type="default"/>
          <w:pgSz w:w="11906" w:h="16838"/>
          <w:pgMar w:top="1440" w:right="1701"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164"/>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lang w:val="en-US" w:eastAsia="zh-CN"/>
        </w:rPr>
      </w:pPr>
      <w:r>
        <w:rPr>
          <w:rFonts w:hint="default" w:ascii="Times New Roman" w:hAnsi="Times New Roman" w:eastAsia="微软雅黑" w:cs="Times New Roman"/>
          <w:b w:val="0"/>
          <w:bCs w:val="0"/>
          <w:sz w:val="21"/>
          <w:szCs w:val="21"/>
          <w:highlight w:val="none"/>
          <w:lang w:val="en-US" w:eastAsia="zh-CN"/>
        </w:rPr>
        <w:t>图5-2  水土保持措施施工进度横道图</w:t>
      </w:r>
    </w:p>
    <w:tbl>
      <w:tblPr>
        <w:tblStyle w:val="88"/>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65"/>
        <w:gridCol w:w="1158"/>
        <w:gridCol w:w="2065"/>
        <w:gridCol w:w="518"/>
        <w:gridCol w:w="519"/>
        <w:gridCol w:w="519"/>
        <w:gridCol w:w="550"/>
        <w:gridCol w:w="538"/>
        <w:gridCol w:w="558"/>
        <w:gridCol w:w="521"/>
        <w:gridCol w:w="519"/>
        <w:gridCol w:w="519"/>
        <w:gridCol w:w="519"/>
        <w:gridCol w:w="519"/>
        <w:gridCol w:w="519"/>
        <w:gridCol w:w="519"/>
        <w:gridCol w:w="519"/>
        <w:gridCol w:w="519"/>
        <w:gridCol w:w="550"/>
        <w:gridCol w:w="541"/>
        <w:gridCol w:w="60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82" w:type="pct"/>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0"/>
                <w:rFonts w:hint="default" w:ascii="Times New Roman" w:hAnsi="Times New Roman" w:cs="Times New Roman"/>
                <w:b w:val="0"/>
                <w:bCs w:val="0"/>
                <w:sz w:val="21"/>
                <w:szCs w:val="21"/>
                <w:highlight w:val="none"/>
                <w:lang w:bidi="ar"/>
              </w:rPr>
            </w:pPr>
            <w:bookmarkStart w:id="360" w:name="_6_水土保持监测计划"/>
            <w:bookmarkEnd w:id="360"/>
            <w:bookmarkStart w:id="361" w:name="_6.3监测重点与监测内容"/>
            <w:bookmarkEnd w:id="361"/>
            <w:bookmarkStart w:id="362" w:name="_6__水土保持监测计划"/>
            <w:bookmarkEnd w:id="362"/>
            <w:bookmarkStart w:id="363" w:name="_Toc93231916"/>
            <w:bookmarkStart w:id="364" w:name="_Toc85682006"/>
            <w:bookmarkStart w:id="365" w:name="_Toc84903210"/>
            <w:bookmarkStart w:id="366" w:name="_Toc85905628"/>
            <w:bookmarkStart w:id="367" w:name="_Toc93231836"/>
            <w:bookmarkStart w:id="368" w:name="_Toc72112426"/>
            <w:bookmarkStart w:id="369" w:name="_Toc93562140"/>
            <w:bookmarkStart w:id="370" w:name="_Toc84903337"/>
            <w:bookmarkStart w:id="371" w:name="_Toc71770259"/>
            <w:bookmarkStart w:id="372" w:name="_Toc84902445"/>
            <w:bookmarkStart w:id="373" w:name="_Toc71019341"/>
            <w:bookmarkStart w:id="374" w:name="_Toc85905548"/>
            <w:bookmarkStart w:id="375" w:name="_Toc72031795"/>
            <w:bookmarkStart w:id="376" w:name="_Toc70480594"/>
            <w:bookmarkStart w:id="377" w:name="_Toc70670638"/>
            <w:bookmarkStart w:id="378" w:name="_Toc85681768"/>
            <w:bookmarkStart w:id="379" w:name="_Toc72119376"/>
            <w:bookmarkStart w:id="380" w:name="_Toc71019233"/>
            <w:bookmarkStart w:id="381" w:name="_Toc85683229"/>
            <w:bookmarkStart w:id="382" w:name="_Toc70480696"/>
            <w:bookmarkStart w:id="383" w:name="_Toc84903281"/>
            <w:bookmarkStart w:id="384" w:name="_Toc71963315"/>
            <w:bookmarkStart w:id="385" w:name="_Toc85682086"/>
            <w:bookmarkStart w:id="386" w:name="_Toc84902848"/>
            <w:bookmarkStart w:id="387" w:name="_Toc63847048"/>
            <w:r>
              <w:rPr>
                <w:rStyle w:val="560"/>
                <w:rFonts w:hint="default" w:ascii="Times New Roman" w:hAnsi="Times New Roman" w:cs="Times New Roman"/>
                <w:b w:val="0"/>
                <w:bCs w:val="0"/>
                <w:sz w:val="21"/>
                <w:szCs w:val="21"/>
                <w:highlight w:val="none"/>
                <w:lang w:bidi="ar"/>
              </w:rPr>
              <w:t>防治分区</w:t>
            </w:r>
          </w:p>
        </w:tc>
        <w:tc>
          <w:tcPr>
            <w:tcW w:w="409" w:type="pct"/>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0"/>
                <w:rFonts w:hint="default" w:ascii="Times New Roman" w:hAnsi="Times New Roman" w:cs="Times New Roman"/>
                <w:b w:val="0"/>
                <w:bCs w:val="0"/>
                <w:sz w:val="21"/>
                <w:szCs w:val="21"/>
                <w:highlight w:val="none"/>
                <w:lang w:bidi="ar"/>
              </w:rPr>
            </w:pPr>
            <w:r>
              <w:rPr>
                <w:rStyle w:val="560"/>
                <w:rFonts w:hint="default" w:ascii="Times New Roman" w:hAnsi="Times New Roman" w:cs="Times New Roman"/>
                <w:b w:val="0"/>
                <w:bCs w:val="0"/>
                <w:sz w:val="21"/>
                <w:szCs w:val="21"/>
                <w:highlight w:val="none"/>
                <w:lang w:bidi="ar"/>
              </w:rPr>
              <w:t>措施分类</w:t>
            </w:r>
          </w:p>
        </w:tc>
        <w:tc>
          <w:tcPr>
            <w:tcW w:w="729" w:type="pct"/>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0"/>
                <w:rFonts w:hint="default" w:ascii="Times New Roman" w:hAnsi="Times New Roman" w:cs="Times New Roman"/>
                <w:b w:val="0"/>
                <w:bCs w:val="0"/>
                <w:sz w:val="21"/>
                <w:szCs w:val="21"/>
                <w:highlight w:val="none"/>
                <w:lang w:bidi="ar"/>
              </w:rPr>
            </w:pPr>
            <w:r>
              <w:rPr>
                <w:rStyle w:val="560"/>
                <w:rFonts w:hint="default" w:ascii="Times New Roman" w:hAnsi="Times New Roman" w:cs="Times New Roman"/>
                <w:b w:val="0"/>
                <w:bCs w:val="0"/>
                <w:sz w:val="21"/>
                <w:szCs w:val="21"/>
                <w:highlight w:val="none"/>
                <w:lang w:bidi="ar"/>
              </w:rPr>
              <w:t>措施名称</w:t>
            </w:r>
          </w:p>
        </w:tc>
        <w:tc>
          <w:tcPr>
            <w:tcW w:w="1130" w:type="pct"/>
            <w:gridSpan w:val="6"/>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0"/>
                <w:rFonts w:hint="default" w:ascii="Times New Roman" w:hAnsi="Times New Roman" w:cs="Times New Roman"/>
                <w:sz w:val="21"/>
                <w:szCs w:val="21"/>
                <w:highlight w:val="none"/>
                <w:lang w:bidi="ar"/>
              </w:rPr>
            </w:pPr>
            <w:r>
              <w:rPr>
                <w:rStyle w:val="560"/>
                <w:rFonts w:hint="default" w:ascii="Times New Roman" w:hAnsi="Times New Roman" w:cs="Times New Roman"/>
                <w:sz w:val="21"/>
                <w:szCs w:val="21"/>
                <w:highlight w:val="none"/>
                <w:lang w:bidi="ar"/>
              </w:rPr>
              <w:t>202</w:t>
            </w:r>
            <w:r>
              <w:rPr>
                <w:rStyle w:val="560"/>
                <w:rFonts w:hint="eastAsia" w:ascii="Times New Roman" w:hAnsi="Times New Roman" w:eastAsia="仿宋_GB2312" w:cs="Times New Roman"/>
                <w:sz w:val="21"/>
                <w:szCs w:val="21"/>
                <w:highlight w:val="none"/>
                <w:lang w:val="en-US" w:eastAsia="zh-CN" w:bidi="ar"/>
              </w:rPr>
              <w:t>3</w:t>
            </w:r>
            <w:r>
              <w:rPr>
                <w:rStyle w:val="560"/>
                <w:rFonts w:hint="default" w:ascii="Times New Roman" w:hAnsi="Times New Roman" w:cs="Times New Roman"/>
                <w:sz w:val="21"/>
                <w:szCs w:val="21"/>
                <w:highlight w:val="none"/>
                <w:lang w:bidi="ar"/>
              </w:rPr>
              <w:t>年</w:t>
            </w:r>
          </w:p>
        </w:tc>
        <w:tc>
          <w:tcPr>
            <w:tcW w:w="2248" w:type="pct"/>
            <w:gridSpan w:val="12"/>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0"/>
                <w:rFonts w:hint="default" w:ascii="Times New Roman" w:hAnsi="Times New Roman" w:cs="Times New Roman"/>
                <w:sz w:val="21"/>
                <w:szCs w:val="21"/>
                <w:highlight w:val="none"/>
                <w:lang w:bidi="ar"/>
              </w:rPr>
            </w:pPr>
            <w:r>
              <w:rPr>
                <w:rStyle w:val="560"/>
                <w:rFonts w:hint="default" w:ascii="Times New Roman" w:hAnsi="Times New Roman" w:cs="Times New Roman"/>
                <w:sz w:val="21"/>
                <w:szCs w:val="21"/>
                <w:highlight w:val="none"/>
                <w:lang w:bidi="ar"/>
              </w:rPr>
              <w:t>202</w:t>
            </w:r>
            <w:r>
              <w:rPr>
                <w:rStyle w:val="560"/>
                <w:rFonts w:hint="eastAsia" w:ascii="Times New Roman" w:hAnsi="Times New Roman" w:eastAsia="仿宋_GB2312" w:cs="Times New Roman"/>
                <w:sz w:val="21"/>
                <w:szCs w:val="21"/>
                <w:highlight w:val="none"/>
                <w:lang w:val="en-US" w:eastAsia="zh-CN" w:bidi="ar"/>
              </w:rPr>
              <w:t>4</w:t>
            </w:r>
            <w:r>
              <w:rPr>
                <w:rStyle w:val="560"/>
                <w:rFonts w:hint="default" w:ascii="Times New Roman" w:hAnsi="Times New Roman" w:cs="Times New Roman"/>
                <w:sz w:val="21"/>
                <w:szCs w:val="21"/>
                <w:highlight w:val="none"/>
                <w:lang w:bidi="ar"/>
              </w:rPr>
              <w:t>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82" w:type="pct"/>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409" w:type="pct"/>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729" w:type="pct"/>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bidi="ar"/>
              </w:rPr>
            </w:pPr>
            <w:r>
              <w:rPr>
                <w:rFonts w:hint="eastAsia" w:ascii="Times New Roman" w:hAnsi="Times New Roman" w:eastAsia="仿宋_GB2312" w:cs="Times New Roman"/>
                <w:color w:val="000000"/>
                <w:sz w:val="21"/>
                <w:szCs w:val="21"/>
                <w:highlight w:val="none"/>
                <w:lang w:val="en-US" w:eastAsia="zh-CN" w:bidi="ar"/>
              </w:rPr>
              <w:t>7</w:t>
            </w:r>
          </w:p>
        </w:tc>
        <w:tc>
          <w:tcPr>
            <w:tcW w:w="183"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bidi="ar"/>
              </w:rPr>
            </w:pPr>
            <w:r>
              <w:rPr>
                <w:rFonts w:hint="eastAsia" w:ascii="Times New Roman" w:hAnsi="Times New Roman" w:eastAsia="仿宋_GB2312" w:cs="Times New Roman"/>
                <w:color w:val="000000"/>
                <w:sz w:val="21"/>
                <w:szCs w:val="21"/>
                <w:highlight w:val="none"/>
                <w:lang w:val="en-US" w:eastAsia="zh-CN" w:bidi="ar"/>
              </w:rPr>
              <w:t>8</w:t>
            </w:r>
          </w:p>
        </w:tc>
        <w:tc>
          <w:tcPr>
            <w:tcW w:w="183"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bidi="ar"/>
              </w:rPr>
            </w:pPr>
            <w:r>
              <w:rPr>
                <w:rFonts w:hint="eastAsia" w:ascii="Times New Roman" w:hAnsi="Times New Roman" w:eastAsia="仿宋_GB2312" w:cs="Times New Roman"/>
                <w:color w:val="000000"/>
                <w:sz w:val="21"/>
                <w:szCs w:val="21"/>
                <w:highlight w:val="none"/>
                <w:lang w:val="en-US" w:eastAsia="zh-CN" w:bidi="ar"/>
              </w:rPr>
              <w:t>9</w:t>
            </w:r>
          </w:p>
        </w:tc>
        <w:tc>
          <w:tcPr>
            <w:tcW w:w="194"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bidi="ar"/>
              </w:rPr>
            </w:pPr>
            <w:r>
              <w:rPr>
                <w:rFonts w:hint="eastAsia" w:ascii="Times New Roman" w:hAnsi="Times New Roman" w:eastAsia="仿宋_GB2312" w:cs="Times New Roman"/>
                <w:color w:val="000000"/>
                <w:sz w:val="21"/>
                <w:szCs w:val="21"/>
                <w:highlight w:val="none"/>
                <w:lang w:val="en-US" w:eastAsia="zh-CN" w:bidi="ar"/>
              </w:rPr>
              <w:t>10</w:t>
            </w:r>
          </w:p>
        </w:tc>
        <w:tc>
          <w:tcPr>
            <w:tcW w:w="190"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eastAsia" w:ascii="Times New Roman" w:hAnsi="Times New Roman" w:eastAsia="仿宋_GB2312" w:cs="Times New Roman"/>
                <w:color w:val="000000"/>
                <w:sz w:val="21"/>
                <w:szCs w:val="21"/>
                <w:highlight w:val="none"/>
                <w:lang w:val="en-US" w:eastAsia="zh-CN"/>
              </w:rPr>
              <w:t>11</w:t>
            </w:r>
          </w:p>
        </w:tc>
        <w:tc>
          <w:tcPr>
            <w:tcW w:w="194"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eastAsia" w:ascii="Times New Roman" w:hAnsi="Times New Roman" w:eastAsia="仿宋_GB2312" w:cs="Times New Roman"/>
                <w:color w:val="000000"/>
                <w:sz w:val="21"/>
                <w:szCs w:val="21"/>
                <w:highlight w:val="none"/>
                <w:lang w:val="en-US" w:eastAsia="zh-CN"/>
              </w:rPr>
              <w:t>12</w:t>
            </w:r>
          </w:p>
        </w:tc>
        <w:tc>
          <w:tcPr>
            <w:tcW w:w="184"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eastAsia" w:ascii="Times New Roman" w:hAnsi="Times New Roman" w:eastAsia="仿宋_GB2312" w:cs="Times New Roman"/>
                <w:color w:val="000000"/>
                <w:sz w:val="21"/>
                <w:szCs w:val="21"/>
                <w:highlight w:val="none"/>
                <w:lang w:val="en-US" w:eastAsia="zh-CN"/>
              </w:rPr>
            </w:pPr>
            <w:r>
              <w:rPr>
                <w:rFonts w:hint="eastAsia" w:ascii="Times New Roman" w:hAnsi="Times New Roman" w:eastAsia="仿宋_GB2312" w:cs="Times New Roman"/>
                <w:color w:val="000000"/>
                <w:sz w:val="21"/>
                <w:szCs w:val="21"/>
                <w:highlight w:val="none"/>
                <w:lang w:val="en-US" w:eastAsia="zh-CN"/>
              </w:rPr>
              <w:t>1</w:t>
            </w:r>
          </w:p>
        </w:tc>
        <w:tc>
          <w:tcPr>
            <w:tcW w:w="183"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eastAsia" w:ascii="Times New Roman" w:hAnsi="Times New Roman" w:eastAsia="仿宋_GB2312" w:cs="Times New Roman"/>
                <w:color w:val="000000"/>
                <w:sz w:val="21"/>
                <w:szCs w:val="21"/>
                <w:highlight w:val="none"/>
                <w:lang w:val="en-US" w:eastAsia="zh-CN"/>
              </w:rPr>
            </w:pPr>
            <w:r>
              <w:rPr>
                <w:rFonts w:hint="eastAsia" w:ascii="Times New Roman" w:hAnsi="Times New Roman" w:eastAsia="仿宋_GB2312" w:cs="Times New Roman"/>
                <w:color w:val="000000"/>
                <w:sz w:val="21"/>
                <w:szCs w:val="21"/>
                <w:highlight w:val="none"/>
                <w:lang w:val="en-US" w:eastAsia="zh-CN"/>
              </w:rPr>
              <w:t>2</w:t>
            </w:r>
          </w:p>
        </w:tc>
        <w:tc>
          <w:tcPr>
            <w:tcW w:w="183"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eastAsia" w:ascii="Times New Roman" w:hAnsi="Times New Roman" w:eastAsia="仿宋_GB2312" w:cs="Times New Roman"/>
                <w:color w:val="000000"/>
                <w:sz w:val="21"/>
                <w:szCs w:val="21"/>
                <w:highlight w:val="none"/>
                <w:lang w:val="en-US" w:eastAsia="zh-CN"/>
              </w:rPr>
            </w:pPr>
            <w:r>
              <w:rPr>
                <w:rFonts w:hint="eastAsia" w:ascii="Times New Roman" w:hAnsi="Times New Roman" w:eastAsia="仿宋_GB2312" w:cs="Times New Roman"/>
                <w:color w:val="000000"/>
                <w:sz w:val="21"/>
                <w:szCs w:val="21"/>
                <w:highlight w:val="none"/>
                <w:lang w:val="en-US" w:eastAsia="zh-CN"/>
              </w:rPr>
              <w:t>3</w:t>
            </w:r>
          </w:p>
        </w:tc>
        <w:tc>
          <w:tcPr>
            <w:tcW w:w="183"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eastAsia" w:ascii="Times New Roman" w:hAnsi="Times New Roman" w:eastAsia="仿宋_GB2312" w:cs="Times New Roman"/>
                <w:color w:val="000000"/>
                <w:sz w:val="21"/>
                <w:szCs w:val="21"/>
                <w:highlight w:val="none"/>
                <w:lang w:val="en-US" w:eastAsia="zh-CN"/>
              </w:rPr>
            </w:pPr>
            <w:r>
              <w:rPr>
                <w:rFonts w:hint="eastAsia" w:ascii="Times New Roman" w:hAnsi="Times New Roman" w:eastAsia="仿宋_GB2312" w:cs="Times New Roman"/>
                <w:color w:val="000000"/>
                <w:sz w:val="21"/>
                <w:szCs w:val="21"/>
                <w:highlight w:val="none"/>
                <w:lang w:val="en-US" w:eastAsia="zh-CN"/>
              </w:rPr>
              <w:t>4</w:t>
            </w:r>
          </w:p>
        </w:tc>
        <w:tc>
          <w:tcPr>
            <w:tcW w:w="183"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eastAsia" w:ascii="Times New Roman" w:hAnsi="Times New Roman" w:eastAsia="仿宋_GB2312" w:cs="Times New Roman"/>
                <w:color w:val="000000"/>
                <w:sz w:val="21"/>
                <w:szCs w:val="21"/>
                <w:highlight w:val="none"/>
                <w:lang w:val="en-US" w:eastAsia="zh-CN"/>
              </w:rPr>
            </w:pPr>
            <w:r>
              <w:rPr>
                <w:rFonts w:hint="eastAsia" w:ascii="Times New Roman" w:hAnsi="Times New Roman" w:eastAsia="仿宋_GB2312" w:cs="Times New Roman"/>
                <w:color w:val="000000"/>
                <w:sz w:val="21"/>
                <w:szCs w:val="21"/>
                <w:highlight w:val="none"/>
                <w:lang w:val="en-US" w:eastAsia="zh-CN"/>
              </w:rPr>
              <w:t>5</w:t>
            </w:r>
          </w:p>
        </w:tc>
        <w:tc>
          <w:tcPr>
            <w:tcW w:w="183"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eastAsia" w:ascii="Times New Roman" w:hAnsi="Times New Roman" w:eastAsia="仿宋_GB2312" w:cs="Times New Roman"/>
                <w:color w:val="000000"/>
                <w:sz w:val="21"/>
                <w:szCs w:val="21"/>
                <w:highlight w:val="none"/>
                <w:lang w:val="en-US" w:eastAsia="zh-CN"/>
              </w:rPr>
            </w:pPr>
            <w:r>
              <w:rPr>
                <w:rFonts w:hint="eastAsia" w:ascii="Times New Roman" w:hAnsi="Times New Roman" w:eastAsia="仿宋_GB2312" w:cs="Times New Roman"/>
                <w:color w:val="000000"/>
                <w:sz w:val="21"/>
                <w:szCs w:val="21"/>
                <w:highlight w:val="none"/>
                <w:lang w:val="en-US" w:eastAsia="zh-CN"/>
              </w:rPr>
              <w:t>6</w:t>
            </w:r>
          </w:p>
        </w:tc>
        <w:tc>
          <w:tcPr>
            <w:tcW w:w="183"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eastAsia" w:ascii="Times New Roman" w:hAnsi="Times New Roman" w:eastAsia="仿宋_GB2312" w:cs="Times New Roman"/>
                <w:color w:val="000000"/>
                <w:sz w:val="21"/>
                <w:szCs w:val="21"/>
                <w:highlight w:val="none"/>
                <w:lang w:val="en-US" w:eastAsia="zh-CN"/>
              </w:rPr>
            </w:pPr>
            <w:r>
              <w:rPr>
                <w:rFonts w:hint="eastAsia" w:ascii="Times New Roman" w:hAnsi="Times New Roman" w:eastAsia="仿宋_GB2312" w:cs="Times New Roman"/>
                <w:color w:val="000000"/>
                <w:sz w:val="21"/>
                <w:szCs w:val="21"/>
                <w:highlight w:val="none"/>
                <w:lang w:val="en-US" w:eastAsia="zh-CN"/>
              </w:rPr>
              <w:t>7</w:t>
            </w:r>
          </w:p>
        </w:tc>
        <w:tc>
          <w:tcPr>
            <w:tcW w:w="183"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eastAsia" w:ascii="Times New Roman" w:hAnsi="Times New Roman" w:eastAsia="仿宋_GB2312" w:cs="Times New Roman"/>
                <w:color w:val="000000"/>
                <w:sz w:val="21"/>
                <w:szCs w:val="21"/>
                <w:highlight w:val="none"/>
                <w:lang w:val="en-US" w:eastAsia="zh-CN"/>
              </w:rPr>
            </w:pPr>
            <w:r>
              <w:rPr>
                <w:rFonts w:hint="eastAsia" w:ascii="Times New Roman" w:hAnsi="Times New Roman" w:eastAsia="仿宋_GB2312" w:cs="Times New Roman"/>
                <w:color w:val="000000"/>
                <w:sz w:val="21"/>
                <w:szCs w:val="21"/>
                <w:highlight w:val="none"/>
                <w:lang w:val="en-US" w:eastAsia="zh-CN"/>
              </w:rPr>
              <w:t>8</w:t>
            </w:r>
          </w:p>
        </w:tc>
        <w:tc>
          <w:tcPr>
            <w:tcW w:w="183"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eastAsia" w:ascii="Times New Roman" w:hAnsi="Times New Roman" w:eastAsia="仿宋_GB2312" w:cs="Times New Roman"/>
                <w:color w:val="000000"/>
                <w:sz w:val="21"/>
                <w:szCs w:val="21"/>
                <w:highlight w:val="none"/>
                <w:lang w:val="en-US" w:eastAsia="zh-CN"/>
              </w:rPr>
            </w:pPr>
            <w:r>
              <w:rPr>
                <w:rFonts w:hint="eastAsia" w:ascii="Times New Roman" w:hAnsi="Times New Roman" w:eastAsia="仿宋_GB2312" w:cs="Times New Roman"/>
                <w:color w:val="000000"/>
                <w:sz w:val="21"/>
                <w:szCs w:val="21"/>
                <w:highlight w:val="none"/>
                <w:lang w:val="en-US" w:eastAsia="zh-CN"/>
              </w:rPr>
              <w:t>9</w:t>
            </w:r>
          </w:p>
        </w:tc>
        <w:tc>
          <w:tcPr>
            <w:tcW w:w="194"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eastAsia" w:ascii="Times New Roman" w:hAnsi="Times New Roman" w:eastAsia="仿宋_GB2312" w:cs="Times New Roman"/>
                <w:color w:val="000000"/>
                <w:sz w:val="21"/>
                <w:szCs w:val="21"/>
                <w:highlight w:val="none"/>
                <w:lang w:val="en-US" w:eastAsia="zh-CN"/>
              </w:rPr>
              <w:t>10</w:t>
            </w:r>
          </w:p>
        </w:tc>
        <w:tc>
          <w:tcPr>
            <w:tcW w:w="191"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eastAsia" w:ascii="Times New Roman" w:hAnsi="Times New Roman" w:eastAsia="仿宋_GB2312" w:cs="Times New Roman"/>
                <w:color w:val="000000"/>
                <w:sz w:val="21"/>
                <w:szCs w:val="21"/>
                <w:highlight w:val="none"/>
                <w:lang w:val="en-US" w:eastAsia="zh-CN"/>
              </w:rPr>
              <w:t>11</w:t>
            </w:r>
          </w:p>
        </w:tc>
        <w:tc>
          <w:tcPr>
            <w:tcW w:w="206" w:type="pc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eastAsia" w:ascii="Times New Roman" w:hAnsi="Times New Roman" w:eastAsia="仿宋_GB2312" w:cs="Times New Roman"/>
                <w:color w:val="000000"/>
                <w:sz w:val="21"/>
                <w:szCs w:val="21"/>
                <w:highlight w:val="none"/>
                <w:lang w:val="en-US" w:eastAsia="zh-CN"/>
              </w:rPr>
              <w:t>12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 w:hRule="atLeast"/>
          <w:jc w:val="center"/>
        </w:trPr>
        <w:tc>
          <w:tcPr>
            <w:tcW w:w="482" w:type="pct"/>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lang w:bidi="ar"/>
              </w:rPr>
              <w:t>工程建设区</w:t>
            </w:r>
          </w:p>
        </w:tc>
        <w:tc>
          <w:tcPr>
            <w:tcW w:w="1138" w:type="pct"/>
            <w:gridSpan w:val="2"/>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1"/>
                <w:rFonts w:hint="default" w:ascii="Times New Roman" w:hAnsi="Times New Roman" w:cs="Times New Roman"/>
                <w:sz w:val="21"/>
                <w:szCs w:val="21"/>
                <w:highlight w:val="none"/>
                <w:lang w:bidi="ar"/>
              </w:rPr>
            </w:pPr>
            <w:r>
              <w:rPr>
                <w:rFonts w:hint="default" w:ascii="Times New Roman" w:hAnsi="Times New Roman" w:eastAsia="仿宋_GB2312" w:cs="Times New Roman"/>
                <w:color w:val="000000"/>
                <w:sz w:val="21"/>
                <w:szCs w:val="21"/>
                <w:highlight w:val="none"/>
                <w:lang w:bidi="ar"/>
              </w:rPr>
              <w:t>主体工程</w:t>
            </w:r>
          </w:p>
        </w:tc>
        <w:tc>
          <w:tcPr>
            <w:tcW w:w="183" w:type="pct"/>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1"/>
                <w:szCs w:val="21"/>
                <w:highlight w:val="none"/>
              </w:rPr>
            </w:pPr>
          </w:p>
        </w:tc>
        <w:tc>
          <w:tcPr>
            <w:tcW w:w="183" w:type="pct"/>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1"/>
                <w:szCs w:val="21"/>
                <w:highlight w:val="none"/>
              </w:rPr>
            </w:pPr>
          </w:p>
        </w:tc>
        <w:tc>
          <w:tcPr>
            <w:tcW w:w="183" w:type="pct"/>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1"/>
                <w:szCs w:val="21"/>
                <w:highlight w:val="none"/>
              </w:rPr>
            </w:pPr>
          </w:p>
        </w:tc>
        <w:tc>
          <w:tcPr>
            <w:tcW w:w="194" w:type="pct"/>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1"/>
                <w:szCs w:val="21"/>
                <w:highlight w:val="none"/>
              </w:rPr>
            </w:pPr>
          </w:p>
        </w:tc>
        <w:tc>
          <w:tcPr>
            <w:tcW w:w="190" w:type="pct"/>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4" w:type="pct"/>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4" w:type="pct"/>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183" w:type="pct"/>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4" w:type="pct"/>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1" w:type="pct"/>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206" w:type="pct"/>
            <w:tcBorders>
              <w:bottom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 w:hRule="atLeast"/>
          <w:jc w:val="center"/>
        </w:trPr>
        <w:tc>
          <w:tcPr>
            <w:tcW w:w="482" w:type="pct"/>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1138" w:type="pct"/>
            <w:gridSpan w:val="2"/>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183" w:type="pct"/>
            <w:tcBorders>
              <w:top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1"/>
                <w:szCs w:val="21"/>
                <w:highlight w:val="none"/>
              </w:rPr>
            </w:pPr>
          </w:p>
        </w:tc>
        <w:tc>
          <w:tcPr>
            <w:tcW w:w="183" w:type="pct"/>
            <w:tcBorders>
              <w:top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1"/>
                <w:szCs w:val="21"/>
                <w:highlight w:val="none"/>
              </w:rPr>
            </w:pPr>
          </w:p>
        </w:tc>
        <w:tc>
          <w:tcPr>
            <w:tcW w:w="183" w:type="pct"/>
            <w:tcBorders>
              <w:top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1"/>
                <w:szCs w:val="21"/>
                <w:highlight w:val="none"/>
              </w:rPr>
            </w:pPr>
          </w:p>
        </w:tc>
        <w:tc>
          <w:tcPr>
            <w:tcW w:w="194" w:type="pct"/>
            <w:tcBorders>
              <w:top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cs="Times New Roman"/>
                <w:sz w:val="21"/>
                <w:szCs w:val="21"/>
                <w:highlight w:val="none"/>
              </w:rPr>
            </w:pPr>
          </w:p>
        </w:tc>
        <w:tc>
          <w:tcPr>
            <w:tcW w:w="190" w:type="pct"/>
            <w:tcBorders>
              <w:top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4" w:type="pct"/>
            <w:tcBorders>
              <w:top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4" w:type="pct"/>
            <w:tcBorders>
              <w:top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single" w:color="4F81BD" w:themeColor="accent1" w:sz="12" w:space="0"/>
              <w:bottom w:val="single" w:color="000000" w:themeColor="text1"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single" w:color="4F81BD" w:themeColor="accent1" w:sz="12" w:space="0"/>
              <w:bottom w:val="single" w:color="000000" w:themeColor="text1"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single" w:color="4F81BD" w:themeColor="accent1" w:sz="12" w:space="0"/>
              <w:bottom w:val="single" w:color="000000" w:themeColor="text1"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single" w:color="4F81BD" w:themeColor="accent1" w:sz="12" w:space="0"/>
              <w:bottom w:val="single" w:color="000000" w:themeColor="text1"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single" w:color="4F81BD" w:themeColor="accent1" w:sz="12" w:space="0"/>
              <w:bottom w:val="single" w:color="000000" w:themeColor="text1"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183" w:type="pct"/>
            <w:tcBorders>
              <w:top w:val="single" w:color="4F81BD" w:themeColor="accent1" w:sz="12" w:space="0"/>
              <w:bottom w:val="single" w:color="000000" w:themeColor="text1"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4" w:type="pct"/>
            <w:tcBorders>
              <w:top w:val="single" w:color="4F81BD" w:themeColor="accent1" w:sz="12" w:space="0"/>
              <w:bottom w:val="single" w:color="000000" w:themeColor="text1"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1" w:type="pct"/>
            <w:tcBorders>
              <w:top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206" w:type="pct"/>
            <w:tcBorders>
              <w:top w:val="single" w:color="4F81BD" w:themeColor="accent1"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 w:hRule="atLeast"/>
          <w:jc w:val="center"/>
        </w:trPr>
        <w:tc>
          <w:tcPr>
            <w:tcW w:w="482" w:type="pct"/>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409" w:type="pct"/>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r>
              <w:rPr>
                <w:rFonts w:hint="default" w:ascii="Times New Roman" w:hAnsi="Times New Roman" w:eastAsia="仿宋_GB2312" w:cs="Times New Roman"/>
                <w:color w:val="000000"/>
                <w:sz w:val="21"/>
                <w:szCs w:val="21"/>
                <w:highlight w:val="none"/>
                <w:lang w:bidi="ar"/>
              </w:rPr>
              <w:t>工程措施</w:t>
            </w:r>
          </w:p>
        </w:tc>
        <w:tc>
          <w:tcPr>
            <w:tcW w:w="729" w:type="pct"/>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i w:val="0"/>
                <w:iCs w:val="0"/>
                <w:color w:val="000000"/>
                <w:kern w:val="2"/>
                <w:sz w:val="21"/>
                <w:szCs w:val="21"/>
                <w:highlight w:val="none"/>
                <w:u w:val="none"/>
                <w:lang w:val="en-US" w:eastAsia="zh-CN" w:bidi="ar"/>
              </w:rPr>
            </w:pPr>
            <w:r>
              <w:rPr>
                <w:rStyle w:val="561"/>
                <w:rFonts w:hint="eastAsia" w:ascii="Times New Roman" w:hAnsi="Times New Roman" w:eastAsia="仿宋_GB2312" w:cs="Times New Roman"/>
                <w:sz w:val="21"/>
                <w:szCs w:val="21"/>
                <w:highlight w:val="none"/>
                <w:lang w:val="en-US" w:eastAsia="zh-CN" w:bidi="ar"/>
              </w:rPr>
              <w:t>雨水管线、雨水口</w:t>
            </w:r>
          </w:p>
        </w:tc>
        <w:tc>
          <w:tcPr>
            <w:tcW w:w="183"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83"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83"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94"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90"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94"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84"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83"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83"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83" w:type="pct"/>
            <w:tcBorders>
              <w:top w:val="single" w:color="000000" w:themeColor="text1" w:sz="6" w:space="0"/>
              <w:bottom w:val="dashed" w:color="4BACC6" w:themeColor="accent5" w:sz="12" w:space="0"/>
              <w:right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83" w:type="pct"/>
            <w:tcBorders>
              <w:top w:val="single" w:color="000000" w:themeColor="text1" w:sz="6" w:space="0"/>
              <w:left w:val="nil"/>
              <w:bottom w:val="dashed" w:color="4BACC6" w:themeColor="accent5" w:sz="12" w:space="0"/>
              <w:right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83" w:type="pct"/>
            <w:tcBorders>
              <w:top w:val="single" w:color="000000" w:themeColor="text1" w:sz="6" w:space="0"/>
              <w:left w:val="nil"/>
              <w:bottom w:val="dashed" w:color="4BACC6" w:themeColor="accent5" w:sz="12" w:space="0"/>
              <w:right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83" w:type="pct"/>
            <w:tcBorders>
              <w:top w:val="single" w:color="000000" w:themeColor="text1" w:sz="6" w:space="0"/>
              <w:left w:val="nil"/>
              <w:bottom w:val="dashed" w:color="4BACC6" w:themeColor="accent5" w:sz="12" w:space="0"/>
              <w:right w:val="single" w:color="000000" w:themeColor="text1"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83" w:type="pct"/>
            <w:tcBorders>
              <w:top w:val="single" w:color="000000" w:themeColor="text1" w:sz="4" w:space="0"/>
              <w:left w:val="single" w:color="000000" w:themeColor="text1" w:sz="4" w:space="0"/>
              <w:bottom w:val="nil"/>
              <w:right w:val="single" w:color="000000" w:themeColor="text1"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
              </w:rPr>
            </w:pPr>
          </w:p>
        </w:tc>
        <w:tc>
          <w:tcPr>
            <w:tcW w:w="183" w:type="pct"/>
            <w:tcBorders>
              <w:top w:val="single" w:color="000000" w:themeColor="text1" w:sz="4" w:space="0"/>
              <w:left w:val="single" w:color="000000" w:themeColor="text1" w:sz="4" w:space="0"/>
              <w:bottom w:val="nil"/>
              <w:right w:val="single" w:color="000000" w:themeColor="text1"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94" w:type="pct"/>
            <w:tcBorders>
              <w:top w:val="single" w:color="000000" w:themeColor="text1" w:sz="4" w:space="0"/>
              <w:left w:val="single" w:color="000000" w:themeColor="text1" w:sz="4" w:space="0"/>
              <w:bottom w:val="nil"/>
              <w:right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91" w:type="pct"/>
            <w:tcBorders>
              <w:left w:val="single" w:color="auto" w:sz="6" w:space="0"/>
              <w:bottom w:val="nil"/>
              <w:right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206" w:type="pct"/>
            <w:tcBorders>
              <w:left w:val="single" w:color="auto" w:sz="6" w:space="0"/>
              <w:bottom w:val="nil"/>
              <w:right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 w:hRule="atLeast"/>
          <w:jc w:val="center"/>
        </w:trPr>
        <w:tc>
          <w:tcPr>
            <w:tcW w:w="482" w:type="pct"/>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409" w:type="pct"/>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729" w:type="pct"/>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1"/>
                <w:rFonts w:hint="default" w:ascii="Times New Roman" w:hAnsi="Times New Roman" w:cs="Times New Roman"/>
                <w:sz w:val="21"/>
                <w:szCs w:val="21"/>
                <w:highlight w:val="none"/>
                <w:lang w:bidi="ar"/>
              </w:rPr>
            </w:pPr>
          </w:p>
        </w:tc>
        <w:tc>
          <w:tcPr>
            <w:tcW w:w="183" w:type="pct"/>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83" w:type="pct"/>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83" w:type="pct"/>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94" w:type="pct"/>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90" w:type="pct"/>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94" w:type="pct"/>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84" w:type="pct"/>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83" w:type="pct"/>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83" w:type="pct"/>
            <w:tcBorders>
              <w:top w:val="nil"/>
              <w:bottom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83" w:type="pct"/>
            <w:tcBorders>
              <w:top w:val="dashed" w:color="4BACC6" w:themeColor="accent5" w:sz="12" w:space="0"/>
              <w:bottom w:val="single" w:color="auto" w:sz="6" w:space="0"/>
              <w:right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83" w:type="pct"/>
            <w:tcBorders>
              <w:top w:val="dashed" w:color="4BACC6" w:themeColor="accent5" w:sz="12" w:space="0"/>
              <w:left w:val="nil"/>
              <w:bottom w:val="single" w:color="auto" w:sz="6" w:space="0"/>
              <w:right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83" w:type="pct"/>
            <w:tcBorders>
              <w:top w:val="dashed" w:color="4BACC6" w:themeColor="accent5" w:sz="12" w:space="0"/>
              <w:left w:val="nil"/>
              <w:bottom w:val="single" w:color="auto" w:sz="6" w:space="0"/>
              <w:right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83" w:type="pct"/>
            <w:tcBorders>
              <w:top w:val="dashed" w:color="4BACC6" w:themeColor="accent5" w:sz="12" w:space="0"/>
              <w:left w:val="nil"/>
              <w:bottom w:val="single" w:color="auto" w:sz="6" w:space="0"/>
              <w:right w:val="single" w:color="000000" w:themeColor="text1"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83" w:type="pct"/>
            <w:tcBorders>
              <w:top w:val="nil"/>
              <w:left w:val="single" w:color="000000" w:themeColor="text1" w:sz="4" w:space="0"/>
              <w:right w:val="single" w:color="000000" w:themeColor="text1"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
              </w:rPr>
            </w:pPr>
          </w:p>
        </w:tc>
        <w:tc>
          <w:tcPr>
            <w:tcW w:w="183" w:type="pct"/>
            <w:tcBorders>
              <w:top w:val="nil"/>
              <w:left w:val="single" w:color="000000" w:themeColor="text1" w:sz="4" w:space="0"/>
              <w:right w:val="single" w:color="000000" w:themeColor="text1"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94" w:type="pct"/>
            <w:tcBorders>
              <w:top w:val="nil"/>
              <w:left w:val="single" w:color="000000" w:themeColor="text1" w:sz="4" w:space="0"/>
              <w:right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91" w:type="pct"/>
            <w:tcBorders>
              <w:top w:val="nil"/>
              <w:left w:val="single" w:color="auto" w:sz="6" w:space="0"/>
              <w:right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206" w:type="pct"/>
            <w:tcBorders>
              <w:top w:val="nil"/>
              <w:left w:val="single" w:color="auto" w:sz="6" w:space="0"/>
              <w:right w:val="single" w:color="auto" w:sz="6"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 w:hRule="atLeast"/>
          <w:jc w:val="center"/>
        </w:trPr>
        <w:tc>
          <w:tcPr>
            <w:tcW w:w="482" w:type="pct"/>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409" w:type="pct"/>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729" w:type="pct"/>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1"/>
                <w:rFonts w:hint="default" w:ascii="Times New Roman" w:hAnsi="Times New Roman" w:cs="Times New Roman"/>
                <w:sz w:val="21"/>
                <w:szCs w:val="21"/>
                <w:highlight w:val="none"/>
                <w:lang w:bidi="ar"/>
              </w:rPr>
            </w:pPr>
            <w:r>
              <w:rPr>
                <w:rStyle w:val="561"/>
                <w:rFonts w:hint="default" w:ascii="Times New Roman" w:hAnsi="Times New Roman" w:cs="Times New Roman"/>
                <w:sz w:val="21"/>
                <w:szCs w:val="21"/>
                <w:highlight w:val="none"/>
                <w:lang w:bidi="ar"/>
              </w:rPr>
              <w:t>全面整地</w:t>
            </w:r>
          </w:p>
        </w:tc>
        <w:tc>
          <w:tcPr>
            <w:tcW w:w="183" w:type="pct"/>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4" w:type="pct"/>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0" w:type="pct"/>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4" w:type="pct"/>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4" w:type="pct"/>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single" w:color="auto" w:sz="6" w:space="0"/>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dashed" w:color="4BACC6" w:themeColor="accent5"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183"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4"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1"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206"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 w:hRule="atLeast"/>
          <w:jc w:val="center"/>
        </w:trPr>
        <w:tc>
          <w:tcPr>
            <w:tcW w:w="482" w:type="pct"/>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409" w:type="pct"/>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729" w:type="pct"/>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1"/>
                <w:rFonts w:hint="default" w:ascii="Times New Roman" w:hAnsi="Times New Roman" w:cs="Times New Roman"/>
                <w:sz w:val="21"/>
                <w:szCs w:val="21"/>
                <w:highlight w:val="none"/>
                <w:lang w:bidi="ar"/>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4"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0"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4"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4"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dashed" w:color="4BACC6" w:themeColor="accent5"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4"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1"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206"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 w:hRule="atLeast"/>
          <w:jc w:val="center"/>
        </w:trPr>
        <w:tc>
          <w:tcPr>
            <w:tcW w:w="482" w:type="pct"/>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409" w:type="pct"/>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729" w:type="pct"/>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1"/>
                <w:rFonts w:hint="default" w:ascii="Times New Roman" w:hAnsi="Times New Roman" w:cs="Times New Roman"/>
                <w:sz w:val="21"/>
                <w:szCs w:val="21"/>
                <w:highlight w:val="none"/>
                <w:lang w:bidi="ar"/>
              </w:rPr>
            </w:pPr>
            <w:r>
              <w:rPr>
                <w:rStyle w:val="561"/>
                <w:rFonts w:hint="default" w:ascii="Times New Roman" w:hAnsi="Times New Roman" w:cs="Times New Roman"/>
                <w:sz w:val="21"/>
                <w:szCs w:val="21"/>
                <w:highlight w:val="none"/>
                <w:lang w:bidi="ar"/>
              </w:rPr>
              <w:t>绿化用土回覆</w:t>
            </w:r>
          </w:p>
        </w:tc>
        <w:tc>
          <w:tcPr>
            <w:tcW w:w="183"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4"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0"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4"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4"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dashed" w:color="4BACC6" w:themeColor="accent5"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183"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4"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1"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206"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 w:hRule="atLeast"/>
          <w:jc w:val="center"/>
        </w:trPr>
        <w:tc>
          <w:tcPr>
            <w:tcW w:w="482" w:type="pct"/>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409" w:type="pct"/>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729" w:type="pct"/>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1"/>
                <w:rFonts w:hint="default" w:ascii="Times New Roman" w:hAnsi="Times New Roman" w:cs="Times New Roman"/>
                <w:sz w:val="21"/>
                <w:szCs w:val="21"/>
                <w:highlight w:val="none"/>
                <w:lang w:bidi="ar"/>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4"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0"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4"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4"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dashed" w:color="4BACC6" w:themeColor="accent5"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4"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1"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206"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 w:hRule="atLeast"/>
          <w:jc w:val="center"/>
        </w:trPr>
        <w:tc>
          <w:tcPr>
            <w:tcW w:w="482" w:type="pct"/>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409" w:type="pct"/>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r>
              <w:rPr>
                <w:rFonts w:hint="default" w:ascii="Times New Roman" w:hAnsi="Times New Roman" w:eastAsia="仿宋_GB2312" w:cs="Times New Roman"/>
                <w:color w:val="000000"/>
                <w:sz w:val="21"/>
                <w:szCs w:val="21"/>
                <w:highlight w:val="none"/>
                <w:lang w:bidi="ar"/>
              </w:rPr>
              <w:t>植物措施</w:t>
            </w:r>
          </w:p>
        </w:tc>
        <w:tc>
          <w:tcPr>
            <w:tcW w:w="729" w:type="pct"/>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1"/>
                <w:rFonts w:hint="default" w:ascii="Times New Roman" w:hAnsi="Times New Roman" w:cs="Times New Roman"/>
                <w:sz w:val="21"/>
                <w:szCs w:val="21"/>
                <w:highlight w:val="none"/>
                <w:lang w:bidi="ar"/>
              </w:rPr>
            </w:pPr>
            <w:r>
              <w:rPr>
                <w:rStyle w:val="561"/>
                <w:rFonts w:hint="default" w:ascii="Times New Roman" w:hAnsi="Times New Roman" w:cs="Times New Roman"/>
                <w:sz w:val="21"/>
                <w:szCs w:val="21"/>
                <w:highlight w:val="none"/>
                <w:lang w:bidi="ar"/>
              </w:rPr>
              <w:t>绿化</w:t>
            </w:r>
          </w:p>
        </w:tc>
        <w:tc>
          <w:tcPr>
            <w:tcW w:w="183"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4"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0"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4"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4"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83"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dotDotDash" w:color="00B050" w:sz="18"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183" w:type="pct"/>
            <w:tcBorders>
              <w:bottom w:val="dotDotDash" w:color="00B050" w:sz="18"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4"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1"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206" w:type="pct"/>
            <w:tcBorders>
              <w:bottom w:val="nil"/>
              <w:right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 w:hRule="atLeast"/>
          <w:jc w:val="center"/>
        </w:trPr>
        <w:tc>
          <w:tcPr>
            <w:tcW w:w="482" w:type="pct"/>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409" w:type="pct"/>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729" w:type="pct"/>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Style w:val="561"/>
                <w:rFonts w:hint="default" w:ascii="Times New Roman" w:hAnsi="Times New Roman" w:cs="Times New Roman"/>
                <w:sz w:val="21"/>
                <w:szCs w:val="21"/>
                <w:highlight w:val="none"/>
                <w:lang w:bidi="ar"/>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4"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0"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4"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4"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dotDotDash" w:color="00B050" w:sz="18"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83" w:type="pct"/>
            <w:tcBorders>
              <w:top w:val="dotDotDash" w:color="00B050" w:sz="18"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4"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1"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206" w:type="pct"/>
            <w:tcBorders>
              <w:top w:val="nil"/>
              <w:right w:val="single" w:color="auto" w:sz="12"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1" w:hRule="atLeast"/>
          <w:jc w:val="center"/>
        </w:trPr>
        <w:tc>
          <w:tcPr>
            <w:tcW w:w="482" w:type="pct"/>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409" w:type="pct"/>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lang w:bidi="ar"/>
              </w:rPr>
              <w:t>临时措施</w:t>
            </w:r>
          </w:p>
        </w:tc>
        <w:tc>
          <w:tcPr>
            <w:tcW w:w="729" w:type="pct"/>
            <w:vMerge w:val="restart"/>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spacing w:val="6"/>
                <w:sz w:val="21"/>
                <w:szCs w:val="21"/>
                <w:lang w:val="en-US" w:eastAsia="zh-CN"/>
              </w:rPr>
              <w:t>密目网苫盖</w:t>
            </w:r>
          </w:p>
        </w:tc>
        <w:tc>
          <w:tcPr>
            <w:tcW w:w="183"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83"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83" w:type="pct"/>
            <w:tcBorders>
              <w:bottom w:val="double" w:color="F79646" w:themeColor="accent6"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94" w:type="pct"/>
            <w:tcBorders>
              <w:bottom w:val="double" w:color="F79646" w:themeColor="accent6"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90" w:type="pct"/>
            <w:tcBorders>
              <w:bottom w:val="double" w:color="F79646" w:themeColor="accent6"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94" w:type="pct"/>
            <w:tcBorders>
              <w:bottom w:val="double" w:color="F79646" w:themeColor="accent6"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4" w:type="pct"/>
            <w:tcBorders>
              <w:bottom w:val="double" w:color="F79646" w:themeColor="accent6"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double" w:color="F79646" w:themeColor="accent6"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double" w:color="F79646" w:themeColor="accent6"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double" w:color="F79646" w:themeColor="accent6"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double" w:color="F79646" w:themeColor="accent6"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4"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1"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206" w:type="pct"/>
            <w:tcBorders>
              <w:bottom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 w:hRule="atLeast"/>
          <w:jc w:val="center"/>
        </w:trPr>
        <w:tc>
          <w:tcPr>
            <w:tcW w:w="482" w:type="pct"/>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409" w:type="pct"/>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729" w:type="pct"/>
            <w:vMerge w:val="continue"/>
            <w:tcBorders>
              <w:tl2br w:val="nil"/>
              <w:tr2bl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83" w:type="pct"/>
            <w:tcBorders>
              <w:top w:val="double" w:color="F79646" w:themeColor="accent6"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94" w:type="pct"/>
            <w:tcBorders>
              <w:top w:val="double" w:color="F79646" w:themeColor="accent6"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90" w:type="pct"/>
            <w:tcBorders>
              <w:top w:val="double" w:color="F79646" w:themeColor="accent6"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94" w:type="pct"/>
            <w:tcBorders>
              <w:top w:val="double" w:color="F79646" w:themeColor="accent6"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4" w:type="pct"/>
            <w:tcBorders>
              <w:top w:val="double" w:color="F79646" w:themeColor="accent6"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double" w:color="F79646" w:themeColor="accent6"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double" w:color="F79646" w:themeColor="accent6"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double" w:color="F79646" w:themeColor="accent6"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double" w:color="F79646" w:themeColor="accent6" w:sz="4" w:space="0"/>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83"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4"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91"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206" w:type="pct"/>
            <w:tcBorders>
              <w:top w:val="nil"/>
            </w:tcBorders>
            <w:noWrap w:val="0"/>
            <w:vAlign w:val="center"/>
          </w:tcPr>
          <w:p>
            <w:pPr>
              <w:pStyle w:val="169"/>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bl>
    <w:p>
      <w:pPr>
        <w:pageBreakBefore w:val="0"/>
        <w:kinsoku/>
        <w:wordWrap/>
        <w:bidi w:val="0"/>
        <w:rPr>
          <w:rFonts w:hint="default" w:ascii="Times New Roman" w:hAnsi="Times New Roman" w:eastAsia="仿宋_GB2312" w:cs="Times New Roman"/>
          <w:szCs w:val="21"/>
          <w:highlight w:val="none"/>
        </w:rPr>
      </w:pPr>
    </w:p>
    <w:p>
      <w:pPr>
        <w:pageBreakBefore w:val="0"/>
        <w:kinsoku/>
        <w:wordWrap/>
        <w:bidi w:val="0"/>
        <w:rPr>
          <w:rFonts w:hint="default" w:ascii="Times New Roman" w:hAnsi="Times New Roman" w:eastAsia="仿宋_GB2312" w:cs="Times New Roman"/>
          <w:szCs w:val="21"/>
          <w:highlight w:val="none"/>
        </w:rPr>
      </w:pPr>
    </w:p>
    <w:tbl>
      <w:tblPr>
        <w:tblStyle w:val="8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88"/>
        <w:gridCol w:w="1288"/>
        <w:gridCol w:w="1288"/>
        <w:gridCol w:w="1288"/>
        <w:gridCol w:w="1288"/>
        <w:gridCol w:w="1289"/>
        <w:gridCol w:w="1289"/>
        <w:gridCol w:w="1289"/>
        <w:gridCol w:w="1289"/>
        <w:gridCol w:w="1289"/>
        <w:gridCol w:w="12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8" w:type="dxa"/>
            <w:vMerge w:val="restart"/>
            <w:vAlign w:val="center"/>
          </w:tcPr>
          <w:p>
            <w:pPr>
              <w:pageBreakBefore w:val="0"/>
              <w:kinsoku/>
              <w:wordWrap/>
              <w:bidi w:val="0"/>
              <w:jc w:val="center"/>
              <w:rPr>
                <w:rFonts w:hint="default" w:ascii="Times New Roman" w:hAnsi="Times New Roman" w:eastAsia="仿宋_GB2312" w:cs="Times New Roman"/>
                <w:highlight w:val="none"/>
                <w:vertAlign w:val="baseline"/>
              </w:rPr>
            </w:pPr>
            <w:r>
              <w:rPr>
                <w:rFonts w:hint="default" w:ascii="Times New Roman" w:hAnsi="Times New Roman" w:eastAsia="仿宋_GB2312" w:cs="Times New Roman"/>
                <w:szCs w:val="21"/>
                <w:highlight w:val="none"/>
              </w:rPr>
              <w:t>主体工程</w:t>
            </w:r>
          </w:p>
        </w:tc>
        <w:tc>
          <w:tcPr>
            <w:tcW w:w="1288" w:type="dxa"/>
            <w:tcBorders>
              <w:bottom w:val="single" w:color="4F81BD" w:themeColor="accent1" w:sz="12" w:space="0"/>
            </w:tcBorders>
            <w:vAlign w:val="center"/>
          </w:tcPr>
          <w:p>
            <w:pPr>
              <w:pageBreakBefore w:val="0"/>
              <w:kinsoku/>
              <w:wordWrap/>
              <w:bidi w:val="0"/>
              <w:jc w:val="center"/>
              <w:rPr>
                <w:rFonts w:hint="default" w:ascii="Times New Roman" w:hAnsi="Times New Roman" w:eastAsia="仿宋_GB2312" w:cs="Times New Roman"/>
                <w:highlight w:val="none"/>
                <w:vertAlign w:val="baseline"/>
              </w:rPr>
            </w:pPr>
          </w:p>
        </w:tc>
        <w:tc>
          <w:tcPr>
            <w:tcW w:w="1288" w:type="dxa"/>
            <w:vAlign w:val="center"/>
          </w:tcPr>
          <w:p>
            <w:pPr>
              <w:pageBreakBefore w:val="0"/>
              <w:kinsoku/>
              <w:wordWrap/>
              <w:bidi w:val="0"/>
              <w:jc w:val="center"/>
              <w:rPr>
                <w:rFonts w:hint="default" w:ascii="Times New Roman" w:hAnsi="Times New Roman" w:eastAsia="仿宋_GB2312" w:cs="Times New Roman"/>
                <w:highlight w:val="none"/>
                <w:vertAlign w:val="baseline"/>
              </w:rPr>
            </w:pPr>
          </w:p>
        </w:tc>
        <w:tc>
          <w:tcPr>
            <w:tcW w:w="1288" w:type="dxa"/>
            <w:vMerge w:val="restart"/>
            <w:vAlign w:val="center"/>
          </w:tcPr>
          <w:p>
            <w:pPr>
              <w:pageBreakBefore w:val="0"/>
              <w:kinsoku/>
              <w:wordWrap/>
              <w:bidi w:val="0"/>
              <w:jc w:val="center"/>
              <w:rPr>
                <w:rFonts w:hint="default" w:ascii="Times New Roman" w:hAnsi="Times New Roman" w:eastAsia="仿宋_GB2312" w:cs="Times New Roman"/>
                <w:highlight w:val="none"/>
                <w:vertAlign w:val="baseline"/>
              </w:rPr>
            </w:pPr>
            <w:r>
              <w:rPr>
                <w:rFonts w:hint="default" w:ascii="Times New Roman" w:hAnsi="Times New Roman" w:eastAsia="仿宋_GB2312" w:cs="Times New Roman"/>
                <w:szCs w:val="21"/>
                <w:highlight w:val="none"/>
              </w:rPr>
              <w:t>工程措施</w:t>
            </w:r>
          </w:p>
        </w:tc>
        <w:tc>
          <w:tcPr>
            <w:tcW w:w="1288" w:type="dxa"/>
            <w:tcBorders>
              <w:bottom w:val="dashed" w:color="4BACC6" w:themeColor="accent5" w:sz="12" w:space="0"/>
            </w:tcBorders>
            <w:vAlign w:val="center"/>
          </w:tcPr>
          <w:p>
            <w:pPr>
              <w:pageBreakBefore w:val="0"/>
              <w:kinsoku/>
              <w:wordWrap/>
              <w:bidi w:val="0"/>
              <w:jc w:val="center"/>
              <w:rPr>
                <w:rFonts w:hint="default" w:ascii="Times New Roman" w:hAnsi="Times New Roman" w:eastAsia="仿宋_GB2312" w:cs="Times New Roman"/>
                <w:highlight w:val="none"/>
                <w:vertAlign w:val="baseline"/>
              </w:rPr>
            </w:pPr>
          </w:p>
        </w:tc>
        <w:tc>
          <w:tcPr>
            <w:tcW w:w="1289" w:type="dxa"/>
            <w:vAlign w:val="center"/>
          </w:tcPr>
          <w:p>
            <w:pPr>
              <w:pageBreakBefore w:val="0"/>
              <w:kinsoku/>
              <w:wordWrap/>
              <w:bidi w:val="0"/>
              <w:jc w:val="center"/>
              <w:rPr>
                <w:rFonts w:hint="default" w:ascii="Times New Roman" w:hAnsi="Times New Roman" w:eastAsia="仿宋_GB2312" w:cs="Times New Roman"/>
                <w:highlight w:val="none"/>
                <w:vertAlign w:val="baseline"/>
              </w:rPr>
            </w:pPr>
          </w:p>
        </w:tc>
        <w:tc>
          <w:tcPr>
            <w:tcW w:w="1289" w:type="dxa"/>
            <w:vMerge w:val="restart"/>
            <w:vAlign w:val="center"/>
          </w:tcPr>
          <w:p>
            <w:pPr>
              <w:pageBreakBefore w:val="0"/>
              <w:kinsoku/>
              <w:wordWrap/>
              <w:bidi w:val="0"/>
              <w:jc w:val="center"/>
              <w:rPr>
                <w:rFonts w:hint="default" w:ascii="Times New Roman" w:hAnsi="Times New Roman" w:eastAsia="仿宋_GB2312" w:cs="Times New Roman"/>
                <w:highlight w:val="none"/>
                <w:vertAlign w:val="baseline"/>
              </w:rPr>
            </w:pPr>
            <w:r>
              <w:rPr>
                <w:rFonts w:hint="default" w:ascii="Times New Roman" w:hAnsi="Times New Roman" w:eastAsia="仿宋_GB2312" w:cs="Times New Roman"/>
                <w:szCs w:val="21"/>
                <w:highlight w:val="none"/>
              </w:rPr>
              <w:t>植物措施</w:t>
            </w:r>
          </w:p>
        </w:tc>
        <w:tc>
          <w:tcPr>
            <w:tcW w:w="1289" w:type="dxa"/>
            <w:tcBorders>
              <w:bottom w:val="dotDash" w:color="92D050" w:sz="18" w:space="0"/>
            </w:tcBorders>
            <w:vAlign w:val="center"/>
          </w:tcPr>
          <w:p>
            <w:pPr>
              <w:pageBreakBefore w:val="0"/>
              <w:kinsoku/>
              <w:wordWrap/>
              <w:bidi w:val="0"/>
              <w:jc w:val="center"/>
              <w:rPr>
                <w:rFonts w:hint="default" w:ascii="Times New Roman" w:hAnsi="Times New Roman" w:eastAsia="仿宋_GB2312" w:cs="Times New Roman"/>
                <w:highlight w:val="none"/>
                <w:vertAlign w:val="baseline"/>
              </w:rPr>
            </w:pPr>
          </w:p>
        </w:tc>
        <w:tc>
          <w:tcPr>
            <w:tcW w:w="1289" w:type="dxa"/>
            <w:vAlign w:val="center"/>
          </w:tcPr>
          <w:p>
            <w:pPr>
              <w:pageBreakBefore w:val="0"/>
              <w:kinsoku/>
              <w:wordWrap/>
              <w:bidi w:val="0"/>
              <w:jc w:val="center"/>
              <w:rPr>
                <w:rFonts w:hint="default" w:ascii="Times New Roman" w:hAnsi="Times New Roman" w:eastAsia="仿宋_GB2312" w:cs="Times New Roman"/>
                <w:highlight w:val="none"/>
                <w:vertAlign w:val="baseline"/>
              </w:rPr>
            </w:pPr>
          </w:p>
        </w:tc>
        <w:tc>
          <w:tcPr>
            <w:tcW w:w="1289" w:type="dxa"/>
            <w:vMerge w:val="restart"/>
            <w:vAlign w:val="center"/>
          </w:tcPr>
          <w:p>
            <w:pPr>
              <w:pageBreakBefore w:val="0"/>
              <w:kinsoku/>
              <w:wordWrap/>
              <w:bidi w:val="0"/>
              <w:jc w:val="center"/>
              <w:rPr>
                <w:rFonts w:hint="default" w:ascii="Times New Roman" w:hAnsi="Times New Roman" w:eastAsia="仿宋_GB2312" w:cs="Times New Roman"/>
                <w:highlight w:val="none"/>
                <w:vertAlign w:val="baseline"/>
              </w:rPr>
            </w:pPr>
            <w:r>
              <w:rPr>
                <w:rFonts w:hint="default" w:ascii="Times New Roman" w:hAnsi="Times New Roman" w:eastAsia="仿宋_GB2312" w:cs="Times New Roman"/>
                <w:szCs w:val="21"/>
                <w:highlight w:val="none"/>
              </w:rPr>
              <w:t>临时措施</w:t>
            </w:r>
          </w:p>
        </w:tc>
        <w:tc>
          <w:tcPr>
            <w:tcW w:w="1289" w:type="dxa"/>
            <w:tcBorders>
              <w:bottom w:val="double" w:color="F79646" w:themeColor="accent6" w:sz="6" w:space="0"/>
            </w:tcBorders>
            <w:vAlign w:val="center"/>
          </w:tcPr>
          <w:p>
            <w:pPr>
              <w:pageBreakBefore w:val="0"/>
              <w:kinsoku/>
              <w:wordWrap/>
              <w:bidi w:val="0"/>
              <w:jc w:val="center"/>
              <w:rPr>
                <w:rFonts w:hint="default" w:ascii="Times New Roman" w:hAnsi="Times New Roman" w:eastAsia="仿宋_GB2312" w:cs="Times New Roman"/>
                <w:highlight w:val="none"/>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8" w:type="dxa"/>
            <w:vMerge w:val="continue"/>
            <w:vAlign w:val="center"/>
          </w:tcPr>
          <w:p>
            <w:pPr>
              <w:pageBreakBefore w:val="0"/>
              <w:kinsoku/>
              <w:wordWrap/>
              <w:bidi w:val="0"/>
              <w:jc w:val="center"/>
              <w:rPr>
                <w:rFonts w:hint="default" w:ascii="Times New Roman" w:hAnsi="Times New Roman" w:eastAsia="仿宋_GB2312" w:cs="Times New Roman"/>
                <w:highlight w:val="none"/>
                <w:vertAlign w:val="baseline"/>
              </w:rPr>
            </w:pPr>
          </w:p>
        </w:tc>
        <w:tc>
          <w:tcPr>
            <w:tcW w:w="1288" w:type="dxa"/>
            <w:tcBorders>
              <w:top w:val="single" w:color="4F81BD" w:themeColor="accent1" w:sz="12" w:space="0"/>
            </w:tcBorders>
            <w:vAlign w:val="center"/>
          </w:tcPr>
          <w:p>
            <w:pPr>
              <w:pageBreakBefore w:val="0"/>
              <w:kinsoku/>
              <w:wordWrap/>
              <w:bidi w:val="0"/>
              <w:jc w:val="center"/>
              <w:rPr>
                <w:rFonts w:hint="default" w:ascii="Times New Roman" w:hAnsi="Times New Roman" w:eastAsia="仿宋_GB2312" w:cs="Times New Roman"/>
                <w:highlight w:val="none"/>
                <w:vertAlign w:val="baseline"/>
              </w:rPr>
            </w:pPr>
          </w:p>
        </w:tc>
        <w:tc>
          <w:tcPr>
            <w:tcW w:w="1288" w:type="dxa"/>
            <w:vAlign w:val="center"/>
          </w:tcPr>
          <w:p>
            <w:pPr>
              <w:pageBreakBefore w:val="0"/>
              <w:kinsoku/>
              <w:wordWrap/>
              <w:bidi w:val="0"/>
              <w:jc w:val="center"/>
              <w:rPr>
                <w:rFonts w:hint="default" w:ascii="Times New Roman" w:hAnsi="Times New Roman" w:eastAsia="仿宋_GB2312" w:cs="Times New Roman"/>
                <w:highlight w:val="none"/>
                <w:vertAlign w:val="baseline"/>
              </w:rPr>
            </w:pPr>
          </w:p>
        </w:tc>
        <w:tc>
          <w:tcPr>
            <w:tcW w:w="1288" w:type="dxa"/>
            <w:vMerge w:val="continue"/>
            <w:vAlign w:val="center"/>
          </w:tcPr>
          <w:p>
            <w:pPr>
              <w:pageBreakBefore w:val="0"/>
              <w:kinsoku/>
              <w:wordWrap/>
              <w:bidi w:val="0"/>
              <w:jc w:val="center"/>
              <w:rPr>
                <w:rFonts w:hint="default" w:ascii="Times New Roman" w:hAnsi="Times New Roman" w:eastAsia="仿宋_GB2312" w:cs="Times New Roman"/>
                <w:highlight w:val="none"/>
                <w:vertAlign w:val="baseline"/>
              </w:rPr>
            </w:pPr>
          </w:p>
        </w:tc>
        <w:tc>
          <w:tcPr>
            <w:tcW w:w="1288" w:type="dxa"/>
            <w:tcBorders>
              <w:top w:val="dashed" w:color="4BACC6" w:themeColor="accent5" w:sz="12" w:space="0"/>
            </w:tcBorders>
            <w:vAlign w:val="center"/>
          </w:tcPr>
          <w:p>
            <w:pPr>
              <w:pageBreakBefore w:val="0"/>
              <w:kinsoku/>
              <w:wordWrap/>
              <w:bidi w:val="0"/>
              <w:jc w:val="center"/>
              <w:rPr>
                <w:rFonts w:hint="default" w:ascii="Times New Roman" w:hAnsi="Times New Roman" w:eastAsia="仿宋_GB2312" w:cs="Times New Roman"/>
                <w:highlight w:val="none"/>
                <w:vertAlign w:val="baseline"/>
              </w:rPr>
            </w:pPr>
          </w:p>
        </w:tc>
        <w:tc>
          <w:tcPr>
            <w:tcW w:w="1289" w:type="dxa"/>
            <w:vAlign w:val="center"/>
          </w:tcPr>
          <w:p>
            <w:pPr>
              <w:pageBreakBefore w:val="0"/>
              <w:kinsoku/>
              <w:wordWrap/>
              <w:bidi w:val="0"/>
              <w:jc w:val="center"/>
              <w:rPr>
                <w:rFonts w:hint="default" w:ascii="Times New Roman" w:hAnsi="Times New Roman" w:eastAsia="仿宋_GB2312" w:cs="Times New Roman"/>
                <w:highlight w:val="none"/>
                <w:vertAlign w:val="baseline"/>
              </w:rPr>
            </w:pPr>
          </w:p>
        </w:tc>
        <w:tc>
          <w:tcPr>
            <w:tcW w:w="1289" w:type="dxa"/>
            <w:vMerge w:val="continue"/>
            <w:vAlign w:val="center"/>
          </w:tcPr>
          <w:p>
            <w:pPr>
              <w:pageBreakBefore w:val="0"/>
              <w:kinsoku/>
              <w:wordWrap/>
              <w:bidi w:val="0"/>
              <w:jc w:val="center"/>
              <w:rPr>
                <w:rFonts w:hint="default" w:ascii="Times New Roman" w:hAnsi="Times New Roman" w:eastAsia="仿宋_GB2312" w:cs="Times New Roman"/>
                <w:highlight w:val="none"/>
                <w:vertAlign w:val="baseline"/>
              </w:rPr>
            </w:pPr>
          </w:p>
        </w:tc>
        <w:tc>
          <w:tcPr>
            <w:tcW w:w="1289" w:type="dxa"/>
            <w:tcBorders>
              <w:top w:val="dotDash" w:color="92D050" w:sz="18" w:space="0"/>
            </w:tcBorders>
            <w:vAlign w:val="center"/>
          </w:tcPr>
          <w:p>
            <w:pPr>
              <w:pageBreakBefore w:val="0"/>
              <w:kinsoku/>
              <w:wordWrap/>
              <w:bidi w:val="0"/>
              <w:jc w:val="center"/>
              <w:rPr>
                <w:rFonts w:hint="default" w:ascii="Times New Roman" w:hAnsi="Times New Roman" w:eastAsia="仿宋_GB2312" w:cs="Times New Roman"/>
                <w:highlight w:val="none"/>
                <w:vertAlign w:val="baseline"/>
              </w:rPr>
            </w:pPr>
          </w:p>
        </w:tc>
        <w:tc>
          <w:tcPr>
            <w:tcW w:w="1289" w:type="dxa"/>
            <w:vAlign w:val="center"/>
          </w:tcPr>
          <w:p>
            <w:pPr>
              <w:pageBreakBefore w:val="0"/>
              <w:kinsoku/>
              <w:wordWrap/>
              <w:bidi w:val="0"/>
              <w:jc w:val="center"/>
              <w:rPr>
                <w:rFonts w:hint="default" w:ascii="Times New Roman" w:hAnsi="Times New Roman" w:eastAsia="仿宋_GB2312" w:cs="Times New Roman"/>
                <w:highlight w:val="none"/>
                <w:vertAlign w:val="baseline"/>
              </w:rPr>
            </w:pPr>
          </w:p>
        </w:tc>
        <w:tc>
          <w:tcPr>
            <w:tcW w:w="1289" w:type="dxa"/>
            <w:vMerge w:val="continue"/>
            <w:vAlign w:val="center"/>
          </w:tcPr>
          <w:p>
            <w:pPr>
              <w:pageBreakBefore w:val="0"/>
              <w:kinsoku/>
              <w:wordWrap/>
              <w:bidi w:val="0"/>
              <w:jc w:val="center"/>
              <w:rPr>
                <w:rFonts w:hint="default" w:ascii="Times New Roman" w:hAnsi="Times New Roman" w:eastAsia="仿宋_GB2312" w:cs="Times New Roman"/>
                <w:highlight w:val="none"/>
                <w:vertAlign w:val="baseline"/>
              </w:rPr>
            </w:pPr>
          </w:p>
        </w:tc>
        <w:tc>
          <w:tcPr>
            <w:tcW w:w="1289" w:type="dxa"/>
            <w:tcBorders>
              <w:top w:val="double" w:color="F79646" w:themeColor="accent6" w:sz="6" w:space="0"/>
            </w:tcBorders>
            <w:vAlign w:val="center"/>
          </w:tcPr>
          <w:p>
            <w:pPr>
              <w:pageBreakBefore w:val="0"/>
              <w:kinsoku/>
              <w:wordWrap/>
              <w:bidi w:val="0"/>
              <w:jc w:val="center"/>
              <w:rPr>
                <w:rFonts w:hint="default" w:ascii="Times New Roman" w:hAnsi="Times New Roman" w:eastAsia="仿宋_GB2312" w:cs="Times New Roman"/>
                <w:highlight w:val="none"/>
                <w:vertAlign w:val="baseline"/>
              </w:rPr>
            </w:pPr>
          </w:p>
        </w:tc>
      </w:tr>
    </w:tbl>
    <w:p>
      <w:pPr>
        <w:pStyle w:val="169"/>
        <w:pageBreakBefore w:val="0"/>
        <w:kinsoku/>
        <w:wordWrap/>
        <w:bidi w:val="0"/>
        <w:jc w:val="both"/>
        <w:rPr>
          <w:rFonts w:hint="default" w:ascii="Times New Roman" w:hAnsi="Times New Roman" w:eastAsia="仿宋_GB2312" w:cs="Times New Roman"/>
          <w:highlight w:val="none"/>
        </w:rPr>
      </w:pPr>
    </w:p>
    <w:p>
      <w:pPr>
        <w:pageBreakBefore w:val="0"/>
        <w:kinsoku/>
        <w:wordWrap/>
        <w:bidi w:val="0"/>
        <w:rPr>
          <w:rFonts w:hint="default" w:ascii="Times New Roman" w:hAnsi="Times New Roman" w:eastAsia="仿宋_GB2312" w:cs="Times New Roman"/>
          <w:highlight w:val="none"/>
        </w:rPr>
      </w:pPr>
    </w:p>
    <w:p>
      <w:pPr>
        <w:pStyle w:val="153"/>
        <w:pageBreakBefore w:val="0"/>
        <w:kinsoku/>
        <w:wordWrap/>
        <w:bidi w:val="0"/>
        <w:rPr>
          <w:rFonts w:hint="default" w:ascii="Times New Roman" w:hAnsi="Times New Roman" w:cs="Times New Roman"/>
        </w:rPr>
        <w:sectPr>
          <w:pgSz w:w="16838" w:h="11906" w:orient="landscape"/>
          <w:pgMar w:top="1440" w:right="1440" w:bottom="144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4"/>
        <w:bidi w:val="0"/>
        <w:rPr>
          <w:rFonts w:hint="default" w:ascii="Times New Roman" w:hAnsi="Times New Roman" w:cs="Times New Roman"/>
        </w:rPr>
      </w:pPr>
      <w:bookmarkStart w:id="388" w:name="_Toc28421"/>
      <w:bookmarkStart w:id="389" w:name="_Toc14361"/>
      <w:bookmarkStart w:id="390" w:name="_Toc23941"/>
      <w:r>
        <w:rPr>
          <w:rFonts w:hint="default" w:ascii="Times New Roman" w:hAnsi="Times New Roman" w:cs="Times New Roman"/>
        </w:rPr>
        <w:t>6水土保持监测</w:t>
      </w:r>
      <w:bookmarkEnd w:id="388"/>
      <w:bookmarkEnd w:id="389"/>
      <w:bookmarkEnd w:id="390"/>
    </w:p>
    <w:p>
      <w:pPr>
        <w:pStyle w:val="5"/>
        <w:bidi w:val="0"/>
        <w:rPr>
          <w:rFonts w:hint="default" w:ascii="Times New Roman" w:hAnsi="Times New Roman" w:cs="Times New Roman"/>
        </w:rPr>
      </w:pPr>
      <w:bookmarkStart w:id="391" w:name="_6.1__监测依据"/>
      <w:bookmarkEnd w:id="391"/>
      <w:bookmarkStart w:id="392" w:name="_Toc24992"/>
      <w:bookmarkStart w:id="393" w:name="_Toc319652091"/>
      <w:bookmarkStart w:id="394" w:name="_Toc8494"/>
      <w:bookmarkStart w:id="395" w:name="_Toc16938"/>
      <w:r>
        <w:rPr>
          <w:rFonts w:hint="default" w:ascii="Times New Roman" w:hAnsi="Times New Roman" w:cs="Times New Roman"/>
        </w:rPr>
        <w:t>6.1范围和时段</w:t>
      </w:r>
      <w:bookmarkEnd w:id="392"/>
      <w:bookmarkEnd w:id="393"/>
      <w:bookmarkEnd w:id="394"/>
      <w:bookmarkEnd w:id="395"/>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6.1.1监测范围</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szCs w:val="24"/>
        </w:rPr>
        <w:t>根据《生产建设项目水土保持技术标准》</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50433-2018</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、《生产建设项目水土保持监测与评价标准》</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GB/T 51240-2018</w:t>
      </w:r>
      <w:r>
        <w:rPr>
          <w:rFonts w:hint="default" w:ascii="Times New Roman" w:hAnsi="Times New Roman" w:eastAsia="仿宋_GB2312" w:cs="Times New Roman"/>
          <w:sz w:val="24"/>
          <w:szCs w:val="24"/>
          <w:lang w:eastAsia="zh-CN"/>
        </w:rPr>
        <w:t>）</w:t>
      </w:r>
      <w:r>
        <w:rPr>
          <w:rFonts w:hint="eastAsia" w:eastAsia="仿宋_GB2312" w:cs="Times New Roman"/>
          <w:sz w:val="24"/>
          <w:szCs w:val="24"/>
          <w:lang w:val="en-US" w:eastAsia="zh-CN"/>
        </w:rPr>
        <w:t>等有关规定</w:t>
      </w:r>
      <w:r>
        <w:rPr>
          <w:rFonts w:hint="default" w:ascii="Times New Roman" w:hAnsi="Times New Roman" w:eastAsia="仿宋_GB2312" w:cs="Times New Roman"/>
          <w:sz w:val="24"/>
          <w:szCs w:val="24"/>
        </w:rPr>
        <w:t>，</w:t>
      </w:r>
      <w:r>
        <w:rPr>
          <w:rFonts w:hint="eastAsia" w:eastAsia="仿宋_GB2312" w:cs="Times New Roman"/>
          <w:sz w:val="24"/>
          <w:szCs w:val="24"/>
          <w:lang w:val="en-US" w:eastAsia="zh-CN"/>
        </w:rPr>
        <w:t>水土保持</w:t>
      </w:r>
      <w:r>
        <w:rPr>
          <w:rFonts w:hint="default" w:ascii="Times New Roman" w:hAnsi="Times New Roman" w:eastAsia="仿宋_GB2312" w:cs="Times New Roman"/>
          <w:sz w:val="24"/>
          <w:szCs w:val="24"/>
        </w:rPr>
        <w:t>监测范围</w:t>
      </w:r>
      <w:r>
        <w:rPr>
          <w:rFonts w:hint="eastAsia" w:eastAsia="仿宋_GB2312" w:cs="Times New Roman"/>
          <w:sz w:val="24"/>
          <w:szCs w:val="24"/>
          <w:lang w:val="en-US" w:eastAsia="zh-CN"/>
        </w:rPr>
        <w:t>应</w:t>
      </w:r>
      <w:r>
        <w:rPr>
          <w:rFonts w:hint="default" w:ascii="Times New Roman" w:hAnsi="Times New Roman" w:eastAsia="仿宋_GB2312" w:cs="Times New Roman"/>
          <w:sz w:val="24"/>
          <w:szCs w:val="24"/>
        </w:rPr>
        <w:t>为</w:t>
      </w:r>
      <w:r>
        <w:rPr>
          <w:rFonts w:hint="eastAsia" w:eastAsia="仿宋_GB2312" w:cs="Times New Roman"/>
          <w:sz w:val="24"/>
          <w:szCs w:val="24"/>
          <w:lang w:val="en-US" w:eastAsia="zh-CN"/>
        </w:rPr>
        <w:t>水行政主管部门行政许可决定书明确的</w:t>
      </w:r>
      <w:r>
        <w:rPr>
          <w:rFonts w:hint="default" w:ascii="Times New Roman" w:hAnsi="Times New Roman" w:eastAsia="仿宋_GB2312" w:cs="Times New Roman"/>
          <w:sz w:val="24"/>
          <w:szCs w:val="24"/>
        </w:rPr>
        <w:t>水土流失防治责任范围</w:t>
      </w:r>
      <w:r>
        <w:rPr>
          <w:rFonts w:hint="eastAsia" w:eastAsia="仿宋_GB2312" w:cs="Times New Roman"/>
          <w:sz w:val="24"/>
          <w:szCs w:val="24"/>
          <w:lang w:eastAsia="zh-CN"/>
        </w:rPr>
        <w:t>。</w:t>
      </w:r>
      <w:r>
        <w:rPr>
          <w:rFonts w:hint="default" w:ascii="Times New Roman" w:hAnsi="Times New Roman" w:eastAsia="仿宋_GB2312" w:cs="Times New Roman"/>
          <w:sz w:val="24"/>
          <w:szCs w:val="24"/>
          <w:lang w:val="en-US" w:eastAsia="zh-CN"/>
        </w:rPr>
        <w:t>长春国际物流经济开发区新兴建材产业园区建设</w:t>
      </w:r>
      <w:r>
        <w:rPr>
          <w:rFonts w:hint="default" w:ascii="Times New Roman" w:hAnsi="Times New Roman" w:eastAsia="仿宋_GB2312" w:cs="Times New Roman"/>
          <w:color w:val="auto"/>
          <w:sz w:val="24"/>
          <w:szCs w:val="24"/>
          <w:lang w:eastAsia="zh-CN"/>
        </w:rPr>
        <w:t>项目</w:t>
      </w:r>
      <w:r>
        <w:rPr>
          <w:rFonts w:hint="eastAsia" w:eastAsia="仿宋_GB2312" w:cs="Times New Roman"/>
          <w:sz w:val="24"/>
          <w:szCs w:val="24"/>
          <w:highlight w:val="none"/>
          <w:lang w:val="en-US" w:eastAsia="zh-CN"/>
        </w:rPr>
        <w:t>B地块</w:t>
      </w:r>
      <w:r>
        <w:rPr>
          <w:rFonts w:hint="default" w:ascii="Times New Roman" w:hAnsi="Times New Roman" w:eastAsia="仿宋_GB2312" w:cs="Times New Roman"/>
          <w:sz w:val="24"/>
          <w:szCs w:val="24"/>
          <w:highlight w:val="none"/>
          <w:lang w:val="en-US" w:eastAsia="zh-CN"/>
        </w:rPr>
        <w:t>占地面积为</w:t>
      </w:r>
      <w:r>
        <w:rPr>
          <w:rFonts w:hint="eastAsia" w:eastAsia="仿宋_GB2312" w:cs="Times New Roman"/>
          <w:sz w:val="24"/>
          <w:szCs w:val="24"/>
          <w:highlight w:val="none"/>
          <w:lang w:val="en-US" w:eastAsia="zh-CN"/>
        </w:rPr>
        <w:t>19.98</w:t>
      </w:r>
      <w:r>
        <w:rPr>
          <w:rFonts w:hint="default" w:ascii="Times New Roman" w:hAnsi="Times New Roman" w:eastAsia="仿宋_GB2312" w:cs="Times New Roman"/>
          <w:sz w:val="24"/>
          <w:szCs w:val="24"/>
          <w:highlight w:val="none"/>
        </w:rPr>
        <w:t>hm²</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rPr>
        <w:t>确定</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监测范围面积</w:t>
      </w:r>
      <w:r>
        <w:rPr>
          <w:rFonts w:hint="eastAsia" w:eastAsia="仿宋_GB2312" w:cs="Times New Roman"/>
          <w:sz w:val="24"/>
          <w:szCs w:val="24"/>
          <w:lang w:val="en-US" w:eastAsia="zh-CN"/>
        </w:rPr>
        <w:t>19.98</w:t>
      </w:r>
      <w:r>
        <w:rPr>
          <w:rFonts w:hint="default" w:ascii="Times New Roman" w:hAnsi="Times New Roman" w:eastAsia="仿宋_GB2312" w:cs="Times New Roman"/>
          <w:sz w:val="24"/>
          <w:szCs w:val="24"/>
        </w:rPr>
        <w:t>hm²</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color w:val="auto"/>
          <w:sz w:val="24"/>
        </w:rPr>
        <w:t>据工程建设过程中所造成的水土流失数量、分布及治理措施，将工程</w:t>
      </w:r>
      <w:r>
        <w:rPr>
          <w:rFonts w:hint="default" w:ascii="Times New Roman" w:hAnsi="Times New Roman" w:eastAsia="仿宋_GB2312" w:cs="Times New Roman"/>
          <w:color w:val="auto"/>
          <w:sz w:val="24"/>
          <w:lang w:eastAsia="zh-CN"/>
        </w:rPr>
        <w:t>建设区</w:t>
      </w:r>
      <w:r>
        <w:rPr>
          <w:rFonts w:hint="default" w:ascii="Times New Roman" w:hAnsi="Times New Roman" w:eastAsia="仿宋_GB2312" w:cs="Times New Roman"/>
          <w:color w:val="auto"/>
          <w:sz w:val="24"/>
          <w:lang w:val="en-US" w:eastAsia="zh-CN"/>
        </w:rPr>
        <w:t>作为重点</w:t>
      </w:r>
      <w:r>
        <w:rPr>
          <w:rFonts w:hint="default" w:ascii="Times New Roman" w:hAnsi="Times New Roman" w:eastAsia="仿宋_GB2312" w:cs="Times New Roman"/>
          <w:color w:val="auto"/>
          <w:sz w:val="24"/>
        </w:rPr>
        <w:t>监测</w:t>
      </w:r>
      <w:r>
        <w:rPr>
          <w:rFonts w:hint="default" w:ascii="Times New Roman" w:hAnsi="Times New Roman" w:eastAsia="仿宋_GB2312" w:cs="Times New Roman"/>
          <w:color w:val="auto"/>
          <w:sz w:val="24"/>
          <w:lang w:eastAsia="zh-CN"/>
        </w:rPr>
        <w:t>区域</w:t>
      </w:r>
      <w:r>
        <w:rPr>
          <w:rFonts w:hint="default" w:ascii="Times New Roman" w:hAnsi="Times New Roman" w:eastAsia="仿宋_GB2312" w:cs="Times New Roman"/>
          <w:color w:val="auto"/>
          <w:sz w:val="24"/>
        </w:rPr>
        <w:t>。</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6.1.2监测时段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bookmarkStart w:id="396" w:name="_Toc319652092"/>
      <w:r>
        <w:rPr>
          <w:rFonts w:hint="default" w:ascii="Times New Roman" w:hAnsi="Times New Roman" w:eastAsia="仿宋_GB2312" w:cs="Times New Roman"/>
          <w:color w:val="auto"/>
          <w:sz w:val="24"/>
          <w:szCs w:val="24"/>
        </w:rPr>
        <w:t>根据</w:t>
      </w:r>
      <w:r>
        <w:rPr>
          <w:rFonts w:hint="default" w:ascii="Times New Roman" w:hAnsi="Times New Roman" w:eastAsia="仿宋_GB2312" w:cs="Times New Roman"/>
          <w:bCs/>
          <w:iCs/>
          <w:color w:val="auto"/>
          <w:sz w:val="24"/>
          <w:szCs w:val="24"/>
        </w:rPr>
        <w:t>《生产建设项目水土保持技术标准》（GB50433-2018）、《水土保持监测技术规程》（SL277-2002）、《生产建设项目水土保持监测与评价标准》GB/T51240-2018）</w:t>
      </w:r>
      <w:r>
        <w:rPr>
          <w:rFonts w:hint="eastAsia" w:eastAsia="仿宋_GB2312" w:cs="Times New Roman"/>
          <w:bCs/>
          <w:iCs/>
          <w:color w:val="auto"/>
          <w:sz w:val="24"/>
          <w:szCs w:val="24"/>
          <w:lang w:val="en-US" w:eastAsia="zh-CN"/>
        </w:rPr>
        <w:t>和</w:t>
      </w:r>
      <w:r>
        <w:rPr>
          <w:rFonts w:hint="default" w:ascii="Times New Roman" w:hAnsi="Times New Roman" w:eastAsia="仿宋_GB2312" w:cs="Times New Roman"/>
          <w:color w:val="auto"/>
          <w:sz w:val="24"/>
          <w:szCs w:val="24"/>
        </w:rPr>
        <w:t>《水利部办公厅关于进一步加强生产建设项目水土保持监测工作的通知》（办水保</w:t>
      </w:r>
      <w:r>
        <w:rPr>
          <w:rFonts w:hint="default" w:ascii="Times New Roman" w:hAnsi="Times New Roman" w:cs="Times New Roman"/>
          <w:color w:val="auto"/>
          <w:sz w:val="24"/>
          <w:szCs w:val="24"/>
        </w:rPr>
        <w:t>﹝</w:t>
      </w:r>
      <w:r>
        <w:rPr>
          <w:rFonts w:hint="default" w:ascii="Times New Roman" w:hAnsi="Times New Roman" w:eastAsia="仿宋_GB2312" w:cs="Times New Roman"/>
          <w:color w:val="auto"/>
          <w:sz w:val="24"/>
          <w:szCs w:val="24"/>
        </w:rPr>
        <w:t>2020</w:t>
      </w:r>
      <w:r>
        <w:rPr>
          <w:rFonts w:hint="default" w:ascii="Times New Roman" w:hAnsi="Times New Roman" w:cs="Times New Roman"/>
          <w:color w:val="auto"/>
          <w:sz w:val="24"/>
          <w:szCs w:val="24"/>
        </w:rPr>
        <w:t>﹞</w:t>
      </w:r>
      <w:r>
        <w:rPr>
          <w:rFonts w:hint="default" w:ascii="Times New Roman" w:hAnsi="Times New Roman" w:eastAsia="仿宋_GB2312" w:cs="Times New Roman"/>
          <w:color w:val="auto"/>
          <w:sz w:val="24"/>
          <w:szCs w:val="24"/>
        </w:rPr>
        <w:t>161号）</w:t>
      </w:r>
      <w:r>
        <w:rPr>
          <w:rFonts w:hint="eastAsia" w:eastAsia="仿宋_GB2312" w:cs="Times New Roman"/>
          <w:color w:val="auto"/>
          <w:sz w:val="24"/>
          <w:szCs w:val="24"/>
          <w:lang w:val="en-US" w:eastAsia="zh-CN"/>
        </w:rPr>
        <w:t>等相关规定</w:t>
      </w:r>
      <w:r>
        <w:rPr>
          <w:rFonts w:hint="default" w:ascii="Times New Roman" w:hAnsi="Times New Roman" w:eastAsia="仿宋_GB2312" w:cs="Times New Roman"/>
          <w:color w:val="auto"/>
          <w:sz w:val="24"/>
          <w:szCs w:val="24"/>
        </w:rPr>
        <w:t>，该项工程为建设类项目，结合建设工期和工程特点，确定该项工程水土保持监测时段为施工准备期前开始至设计水平年。根据水土流失预测结果，水土流失监测集中在项目施工期。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eastAsia="仿宋_GB2312" w:cs="Times New Roman"/>
          <w:sz w:val="24"/>
          <w:szCs w:val="24"/>
          <w:lang w:val="en-US" w:eastAsia="zh-CN"/>
        </w:rPr>
        <w:t>本期项目</w:t>
      </w:r>
      <w:r>
        <w:rPr>
          <w:rFonts w:hint="eastAsia" w:eastAsia="仿宋_GB2312" w:cs="Times New Roman"/>
          <w:sz w:val="24"/>
          <w:szCs w:val="24"/>
          <w:lang w:val="en-US" w:eastAsia="zh-CN"/>
        </w:rPr>
        <w:t>计划</w:t>
      </w:r>
      <w:r>
        <w:rPr>
          <w:rFonts w:hint="default" w:ascii="Times New Roman" w:hAnsi="Times New Roman" w:eastAsia="仿宋_GB2312" w:cs="Times New Roman"/>
          <w:sz w:val="24"/>
          <w:szCs w:val="24"/>
        </w:rPr>
        <w:t>于</w:t>
      </w:r>
      <w:r>
        <w:rPr>
          <w:rFonts w:hint="eastAsia" w:eastAsia="仿宋_GB2312" w:cs="Times New Roman"/>
          <w:sz w:val="24"/>
          <w:szCs w:val="24"/>
          <w:lang w:eastAsia="zh-CN"/>
        </w:rPr>
        <w:t>2023年7月</w:t>
      </w:r>
      <w:r>
        <w:rPr>
          <w:rFonts w:hint="default" w:ascii="Times New Roman" w:hAnsi="Times New Roman" w:eastAsia="仿宋_GB2312" w:cs="Times New Roman"/>
          <w:sz w:val="24"/>
          <w:szCs w:val="24"/>
        </w:rPr>
        <w:t>开工</w:t>
      </w:r>
      <w:r>
        <w:rPr>
          <w:rFonts w:hint="default" w:ascii="Times New Roman" w:hAnsi="Times New Roman" w:eastAsia="仿宋_GB2312" w:cs="Times New Roman"/>
          <w:sz w:val="24"/>
          <w:szCs w:val="24"/>
          <w:lang w:val="en-US" w:eastAsia="zh-CN"/>
        </w:rPr>
        <w:t>建设</w:t>
      </w:r>
      <w:r>
        <w:rPr>
          <w:rFonts w:hint="default" w:ascii="Times New Roman" w:hAnsi="Times New Roman" w:eastAsia="仿宋_GB2312" w:cs="Times New Roman"/>
          <w:sz w:val="24"/>
          <w:szCs w:val="24"/>
        </w:rPr>
        <w:t>，</w:t>
      </w:r>
      <w:r>
        <w:rPr>
          <w:rFonts w:hint="eastAsia" w:eastAsia="仿宋_GB2312" w:cs="Times New Roman"/>
          <w:sz w:val="24"/>
          <w:szCs w:val="24"/>
          <w:lang w:val="en-US" w:eastAsia="zh-CN"/>
        </w:rPr>
        <w:t>计划</w:t>
      </w:r>
      <w:r>
        <w:rPr>
          <w:rFonts w:hint="default" w:ascii="Times New Roman" w:hAnsi="Times New Roman" w:eastAsia="仿宋_GB2312" w:cs="Times New Roman"/>
          <w:sz w:val="24"/>
          <w:szCs w:val="24"/>
          <w:lang w:val="en-US" w:eastAsia="zh-CN"/>
        </w:rPr>
        <w:t>于</w:t>
      </w:r>
      <w:r>
        <w:rPr>
          <w:rFonts w:hint="eastAsia" w:eastAsia="仿宋_GB2312" w:cs="Times New Roman"/>
          <w:sz w:val="24"/>
          <w:szCs w:val="24"/>
          <w:lang w:val="en-US" w:eastAsia="zh-CN"/>
        </w:rPr>
        <w:t>2024年12月</w:t>
      </w:r>
      <w:r>
        <w:rPr>
          <w:rFonts w:hint="default" w:ascii="Times New Roman" w:hAnsi="Times New Roman" w:eastAsia="仿宋_GB2312" w:cs="Times New Roman"/>
          <w:sz w:val="24"/>
          <w:szCs w:val="24"/>
          <w:lang w:val="en-US" w:eastAsia="zh-CN"/>
        </w:rPr>
        <w:t>完工，设计水平年为</w:t>
      </w:r>
      <w:r>
        <w:rPr>
          <w:rFonts w:hint="eastAsia" w:eastAsia="仿宋_GB2312" w:cs="Times New Roman"/>
          <w:sz w:val="24"/>
          <w:szCs w:val="24"/>
          <w:lang w:val="en-US" w:eastAsia="zh-CN"/>
        </w:rPr>
        <w:t>2025</w:t>
      </w:r>
      <w:r>
        <w:rPr>
          <w:rFonts w:hint="default" w:ascii="Times New Roman" w:hAnsi="Times New Roman" w:eastAsia="仿宋_GB2312" w:cs="Times New Roman"/>
          <w:sz w:val="24"/>
          <w:szCs w:val="24"/>
          <w:lang w:val="en-US" w:eastAsia="zh-CN"/>
        </w:rPr>
        <w:t>年。</w:t>
      </w:r>
      <w:r>
        <w:rPr>
          <w:rFonts w:hint="eastAsia" w:eastAsia="仿宋_GB2312" w:cs="Times New Roman"/>
          <w:sz w:val="24"/>
          <w:szCs w:val="24"/>
          <w:lang w:val="en-US" w:eastAsia="zh-CN"/>
        </w:rPr>
        <w:t>经咨询水行政主管部门，</w:t>
      </w:r>
      <w:r>
        <w:rPr>
          <w:rFonts w:hint="default" w:ascii="Times New Roman" w:hAnsi="Times New Roman" w:eastAsia="仿宋_GB2312" w:cs="Times New Roman"/>
          <w:sz w:val="24"/>
          <w:szCs w:val="24"/>
          <w:lang w:val="en-US" w:eastAsia="zh-CN"/>
        </w:rPr>
        <w:t>本方案确定项目</w:t>
      </w:r>
      <w:r>
        <w:rPr>
          <w:rFonts w:hint="default" w:ascii="Times New Roman" w:hAnsi="Times New Roman" w:eastAsia="仿宋_GB2312" w:cs="Times New Roman"/>
          <w:color w:val="auto"/>
          <w:sz w:val="24"/>
          <w:szCs w:val="24"/>
        </w:rPr>
        <w:t>总的监测时段为</w:t>
      </w:r>
      <w:r>
        <w:rPr>
          <w:rFonts w:hint="eastAsia" w:eastAsia="仿宋_GB2312" w:cs="Times New Roman"/>
          <w:sz w:val="24"/>
          <w:szCs w:val="24"/>
          <w:lang w:val="en-US" w:eastAsia="zh-CN"/>
        </w:rPr>
        <w:t>2023年7月</w:t>
      </w:r>
      <w:r>
        <w:rPr>
          <w:rFonts w:hint="default" w:ascii="Times New Roman" w:hAnsi="Times New Roman" w:eastAsia="仿宋_GB2312" w:cs="Times New Roman"/>
          <w:sz w:val="24"/>
          <w:szCs w:val="24"/>
          <w:lang w:val="en-US" w:eastAsia="zh-CN"/>
        </w:rPr>
        <w:t>-202</w:t>
      </w:r>
      <w:r>
        <w:rPr>
          <w:rFonts w:hint="eastAsia" w:eastAsia="仿宋_GB2312" w:cs="Times New Roman"/>
          <w:sz w:val="24"/>
          <w:szCs w:val="24"/>
          <w:lang w:val="en-US" w:eastAsia="zh-CN"/>
        </w:rPr>
        <w:t>5</w:t>
      </w:r>
      <w:r>
        <w:rPr>
          <w:rFonts w:hint="default" w:ascii="Times New Roman" w:hAnsi="Times New Roman" w:eastAsia="仿宋_GB2312" w:cs="Times New Roman"/>
          <w:sz w:val="24"/>
          <w:szCs w:val="24"/>
          <w:lang w:val="en-US" w:eastAsia="zh-CN"/>
        </w:rPr>
        <w:t>年12月。</w:t>
      </w:r>
    </w:p>
    <w:p>
      <w:pPr>
        <w:pStyle w:val="5"/>
        <w:bidi w:val="0"/>
        <w:rPr>
          <w:rFonts w:hint="default" w:ascii="Times New Roman" w:hAnsi="Times New Roman" w:cs="Times New Roman"/>
        </w:rPr>
      </w:pPr>
      <w:bookmarkStart w:id="397" w:name="_Toc18571"/>
      <w:bookmarkStart w:id="398" w:name="_Toc4690"/>
      <w:bookmarkStart w:id="399" w:name="_Toc24784"/>
      <w:r>
        <w:rPr>
          <w:rFonts w:hint="default" w:ascii="Times New Roman" w:hAnsi="Times New Roman" w:cs="Times New Roman"/>
        </w:rPr>
        <w:t>6.2内容和方法</w:t>
      </w:r>
      <w:bookmarkEnd w:id="396"/>
      <w:bookmarkEnd w:id="397"/>
      <w:bookmarkEnd w:id="398"/>
      <w:bookmarkEnd w:id="399"/>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6.2.1监测内容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rPr>
        <w:t>根据</w:t>
      </w:r>
      <w:r>
        <w:rPr>
          <w:rFonts w:hint="eastAsia" w:eastAsia="仿宋_GB2312" w:cs="Times New Roman"/>
          <w:color w:val="auto"/>
          <w:sz w:val="24"/>
          <w:lang w:val="en-US" w:eastAsia="zh-CN"/>
        </w:rPr>
        <w:t>水土保持技术标准规范、</w:t>
      </w:r>
      <w:r>
        <w:rPr>
          <w:rFonts w:hint="default" w:ascii="Times New Roman" w:hAnsi="Times New Roman" w:eastAsia="仿宋_GB2312" w:cs="Times New Roman"/>
          <w:color w:val="auto"/>
          <w:sz w:val="24"/>
        </w:rPr>
        <w:t>《水利部办公厅关于进一步加强生产建设项目水土保持监测工作的通知》（办水保</w:t>
      </w:r>
      <w:r>
        <w:rPr>
          <w:rFonts w:hint="default" w:ascii="Times New Roman" w:hAnsi="Times New Roman" w:cs="Times New Roman"/>
          <w:color w:val="auto"/>
          <w:sz w:val="24"/>
        </w:rPr>
        <w:t>﹝</w:t>
      </w:r>
      <w:r>
        <w:rPr>
          <w:rFonts w:hint="default" w:ascii="Times New Roman" w:hAnsi="Times New Roman" w:eastAsia="仿宋_GB2312" w:cs="Times New Roman"/>
          <w:color w:val="auto"/>
          <w:sz w:val="24"/>
        </w:rPr>
        <w:t>2020</w:t>
      </w:r>
      <w:r>
        <w:rPr>
          <w:rFonts w:hint="default" w:ascii="Times New Roman" w:hAnsi="Times New Roman" w:cs="Times New Roman"/>
          <w:color w:val="auto"/>
          <w:sz w:val="24"/>
        </w:rPr>
        <w:t>﹞</w:t>
      </w:r>
      <w:r>
        <w:rPr>
          <w:rFonts w:hint="default" w:ascii="Times New Roman" w:hAnsi="Times New Roman" w:eastAsia="仿宋_GB2312" w:cs="Times New Roman"/>
          <w:color w:val="auto"/>
          <w:sz w:val="24"/>
        </w:rPr>
        <w:t>161号）</w:t>
      </w:r>
      <w:r>
        <w:rPr>
          <w:rFonts w:hint="eastAsia" w:eastAsia="仿宋_GB2312" w:cs="Times New Roman"/>
          <w:color w:val="auto"/>
          <w:sz w:val="24"/>
          <w:lang w:val="en-US" w:eastAsia="zh-CN"/>
        </w:rPr>
        <w:t>以及</w:t>
      </w:r>
      <w:r>
        <w:rPr>
          <w:rFonts w:hint="default" w:ascii="Times New Roman" w:hAnsi="Times New Roman" w:eastAsia="仿宋_GB2312" w:cs="Times New Roman"/>
          <w:snapToGrid w:val="0"/>
          <w:color w:val="auto"/>
          <w:sz w:val="24"/>
          <w:szCs w:val="24"/>
        </w:rPr>
        <w:t>《生产建设项目水土保持方案管理办法》（水利部令第53号）</w:t>
      </w:r>
      <w:r>
        <w:rPr>
          <w:rFonts w:hint="eastAsia" w:eastAsia="仿宋_GB2312" w:cs="Times New Roman"/>
          <w:color w:val="auto"/>
          <w:sz w:val="24"/>
          <w:lang w:val="en-US" w:eastAsia="zh-CN"/>
        </w:rPr>
        <w:t>等有关规定</w:t>
      </w:r>
      <w:r>
        <w:rPr>
          <w:rFonts w:hint="default" w:ascii="Times New Roman" w:hAnsi="Times New Roman" w:eastAsia="仿宋_GB2312" w:cs="Times New Roman"/>
          <w:color w:val="auto"/>
          <w:sz w:val="24"/>
        </w:rPr>
        <w:t>，水土保持监测内容为</w:t>
      </w:r>
      <w:r>
        <w:rPr>
          <w:rFonts w:hint="default" w:ascii="Times New Roman" w:hAnsi="Times New Roman" w:eastAsia="仿宋_GB2312" w:cs="Times New Roman"/>
          <w:bCs/>
          <w:color w:val="auto"/>
          <w:sz w:val="24"/>
        </w:rPr>
        <w:t>水土流失自然影响因素监测、扰动土地情况监测、水土流失状况监测、水土流失防治成效和水土流失危害监测。具体监测内容如下：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（1）本底值监测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_GB2312" w:cs="Times New Roman"/>
          <w:sz w:val="24"/>
          <w:highlight w:val="none"/>
          <w:lang w:val="en-US" w:eastAsia="zh-CN"/>
        </w:rPr>
      </w:pPr>
      <w:r>
        <w:rPr>
          <w:rFonts w:hint="eastAsia" w:eastAsia="仿宋_GB2312" w:cs="Times New Roman"/>
          <w:sz w:val="24"/>
          <w:highlight w:val="none"/>
          <w:lang w:val="en-US" w:eastAsia="zh-CN"/>
        </w:rPr>
        <w:t>项目应当按规定在施工准备期前进行本底值监测。</w:t>
      </w:r>
      <w:r>
        <w:rPr>
          <w:rFonts w:hint="default" w:ascii="Times New Roman" w:hAnsi="Times New Roman" w:eastAsia="仿宋_GB2312" w:cs="Times New Roman"/>
          <w:sz w:val="24"/>
          <w:highlight w:val="none"/>
        </w:rPr>
        <w:t>工程施工准备期前，结合项目区的实际情况，对水土保持监测范围的地形地貌、地面组成物质、植被、气象、水文、土地利用现状、水土保持措施与质量、水土流失状况等基本情况进行调查，掌握项目建设前水土流失背景状况。</w:t>
      </w:r>
      <w:r>
        <w:rPr>
          <w:rFonts w:hint="eastAsia" w:eastAsia="仿宋_GB2312" w:cs="Times New Roman"/>
          <w:sz w:val="24"/>
          <w:highlight w:val="none"/>
          <w:lang w:val="en-US" w:eastAsia="zh-CN"/>
        </w:rPr>
        <w:t>本项目为补充监测，</w:t>
      </w:r>
      <w:r>
        <w:rPr>
          <w:rFonts w:hint="eastAsia" w:eastAsia="仿宋_GB2312" w:cs="Times New Roman"/>
          <w:bCs/>
          <w:color w:val="auto"/>
          <w:kern w:val="0"/>
          <w:sz w:val="24"/>
          <w:lang w:val="en-US" w:eastAsia="zh-CN"/>
        </w:rPr>
        <w:t>主要采取</w:t>
      </w:r>
      <w:r>
        <w:rPr>
          <w:rFonts w:hint="default" w:ascii="Times New Roman" w:hAnsi="Times New Roman" w:eastAsia="仿宋_GB2312" w:cs="Times New Roman"/>
          <w:bCs/>
          <w:color w:val="auto"/>
          <w:kern w:val="0"/>
          <w:sz w:val="24"/>
        </w:rPr>
        <w:t>历史遥感影像分析、现场调查、资料查阅等方法，对未开展水土保持监测期间的水土流失及水土保持状况进行分析评价</w:t>
      </w:r>
      <w:r>
        <w:rPr>
          <w:rFonts w:hint="eastAsia" w:ascii="Times New Roman" w:hAnsi="Times New Roman" w:eastAsia="仿宋_GB2312" w:cs="Times New Roman"/>
          <w:bCs/>
          <w:color w:val="auto"/>
          <w:kern w:val="0"/>
          <w:sz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（2）水土流失影响因素监测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水土流失影响因素监测应包括：施工期间的气象水文、地形地貌、地表组成物质、植被等自然影响因素；项目建设对原地表、水土保持设施、植被的占压和损毁情况；项目征占地和水土流失防治责任范围变化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（3）扰动土地情况监测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重点监测项目建设对原地表、植被的占压和损毁情况，项目征占地和水土流失防治责任范围变化情况等。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（4）水土流失状况监测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水土流失状况监测应包括：水土流失类型、形式、面积、分布及强度；重点监测实际造成的水土流失面积、分布、土壤流失量及变化情况等。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（5）水土流失防治成效监测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水土流失防治成效监测应重点监测实际采取水土保持工程、植物和临时措施的位置、数量，以及实施水土保持措施前后的防治效果对比情况等。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（6）水土流失危害监测</w:t>
      </w:r>
    </w:p>
    <w:p>
      <w:pPr>
        <w:pStyle w:val="164"/>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0C0C0C"/>
          <w:kern w:val="0"/>
          <w:sz w:val="24"/>
          <w:szCs w:val="24"/>
          <w:highlight w:val="none"/>
        </w:rPr>
        <w:t>重点监测水土流失对主体工程、周边重要设施等造成的影响及危害等。主要包括：对主体工程造成危害的方式、数量和程度。</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6.2.2监测方法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水利部办公厅关于进一步加强生产建设项目水土保持监测工作的通知》（办水保﹝2020﹞161号），水土保持监测方法包括卫星遥感、无人机遥感、地面观测、实地调查量测、查阅资料等。监测方法采用无人机遥感监测、地面观测、实地调查量测相结合的监测方法。</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lang w:val="en-US" w:eastAsia="zh-CN"/>
        </w:rPr>
        <w:t>6.2.2.1实地调查量测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对主要水土流失因子、区段水土保持防治效益和基本状况、植物措施实施效果主要采用调查监测方法获取数据。防治责任范围内调查内容主要包括：</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（1）土地扰动面积和程度、水土流失面积变化情况、水土流失程度变化情况、水土流失治理面积、林草覆盖度采用设计资料分析，结合实地勘测及调查进行监测。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（2）对工程挖方、填方数量，挖深及堆放高度、临时堆土数量及堆放面积采用查阅设计文件的方法。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（3）水土流失防治措施数量和质量；林草措施成活率、保存率、生长情况及覆盖度；防护工程的稳定性、完好程度和运行情况、各项防治措施保土效果采用实地样方调查的方法进行监测。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（4）工程建设对项目区及周边地区可能造成的危害，对经济、社会发展的影响等评价采用实地调查法，并结合实地量测等方法进行。</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lang w:val="en-US" w:eastAsia="zh-CN"/>
        </w:rPr>
        <w:t>6.2.2.2定位监测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该项工程水土保持监测主要针对项目区水土流失量的变化、水土流失程度变化和拦渣保土量等指标进行定点、定位的地面观测。在监测点，根据监测内容及要求布设监测小区，定时观测和典型采样相结合，获取数据。用观测结果与同类型区平均流失量及允许流失量分析比较来验证水土保持工程布局及设计的合理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侵蚀沟法：重点监测边坡的水蚀量测，量测坡面形成初期的坡度、坡长、地面组成物质、容重等，典型场次降雨或多降雨后侵蚀沟的体积，计算得出沟蚀量。具体是在监测重点地段对选定坡面上的侵蚀沟数量、深度、长度进行量算。将小区沟蚀量加上面蚀量从而求得边坡的土壤水蚀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测钎法：在选定的坡面上，将φ0.5cm～φ1.0cm，长50cm～100cm的测钎按相距1m×1m纵横各3排垂直插入坡面，测钎顶端与坡面齐平，并在顶端上涂上红漆，编号记录。每次暴雨后和汛期终了、大风过后以及时段末，观测测钎顶端露出地面的高度，计算土壤侵蚀深度和土壤侵蚀量。</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lang w:val="en-US" w:eastAsia="zh-CN"/>
        </w:rPr>
        <w:t>6.2.2.3无人机遥感监测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通过无人机进行施工过程中遥感影像收集。遥感影像空间分辨率不低于2.5m。遥感监测内容应包括下列内容：土壤侵蚀因子：包括植被、地形和地面组成物质等影响土壤侵蚀的自然因子，以及修路等人为活动；土壤侵蚀状况：包括类型、强度、分布及其危害等；水土流失防治现状：包括水土保持措施的数量和质量。遥感监测应在施工前开展1次，施工期每年不少于1次，施工后监测一次。遥感监测精度应达到以下要求：遥感影像空间分辨率应不低于2.5m；遥感监测流程、质量要求、成果汇总等满足《水土保持遥感监测技术规范》（SL592—2012）要求；点型项目扰动面积监测精度不小于95%。最后，通过影像分析，确定项目区的扰动范围、工程措施和植被措施布置情况。</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6.2.3监测频次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根据《生产建设项目水土保持监测与评价标准》（GB/T51240-2018），</w:t>
      </w:r>
      <w:r>
        <w:rPr>
          <w:rFonts w:hint="default" w:ascii="Times New Roman" w:hAnsi="Times New Roman" w:eastAsia="仿宋_GB2312" w:cs="Times New Roman"/>
          <w:sz w:val="24"/>
          <w:szCs w:val="24"/>
          <w:lang w:eastAsia="zh-CN"/>
        </w:rPr>
        <w:t>本期工程</w:t>
      </w:r>
      <w:r>
        <w:rPr>
          <w:rFonts w:hint="default" w:ascii="Times New Roman" w:hAnsi="Times New Roman" w:eastAsia="仿宋_GB2312" w:cs="Times New Roman"/>
          <w:sz w:val="24"/>
          <w:szCs w:val="24"/>
        </w:rPr>
        <w:t>水土保持监测主要采用实地调查量测、地面观测和遥感监测相结合的方法。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1</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水土流失影响因素监测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地形地貌状况整个监测期监测1次；地表物质施工准备期和设计水平年各监测1次；植被状况在施工准备期前测定1次；气象因子每月1次。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2</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扰动土地情况监测每月监测1次。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水土流失状况监测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水土流失状况应至少每月监测1次，发生强降水等情况后及时加测，视施工情况加测。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水土流失防治成效监测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水土流失防治成效每季度监测1次，其中临时措施至少每月监测1次。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水土流失危害监测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水土流失危害事件发生后1周内完成监测工作。</w:t>
      </w:r>
    </w:p>
    <w:p>
      <w:pPr>
        <w:pStyle w:val="5"/>
        <w:bidi w:val="0"/>
        <w:rPr>
          <w:rFonts w:hint="default" w:ascii="Times New Roman" w:hAnsi="Times New Roman" w:cs="Times New Roman"/>
        </w:rPr>
      </w:pPr>
      <w:bookmarkStart w:id="400" w:name="_Toc5244"/>
      <w:bookmarkStart w:id="401" w:name="_Toc20865"/>
      <w:bookmarkStart w:id="402" w:name="_Toc28808"/>
      <w:r>
        <w:rPr>
          <w:rFonts w:hint="default" w:ascii="Times New Roman" w:hAnsi="Times New Roman" w:cs="Times New Roman"/>
        </w:rPr>
        <w:t>6.3点位布设</w:t>
      </w:r>
      <w:bookmarkEnd w:id="400"/>
      <w:bookmarkEnd w:id="401"/>
      <w:bookmarkEnd w:id="402"/>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bookmarkStart w:id="403" w:name="_Toc319652093"/>
      <w:bookmarkStart w:id="404" w:name="_Toc8112"/>
      <w:bookmarkStart w:id="405" w:name="_Toc32515"/>
      <w:r>
        <w:rPr>
          <w:rFonts w:hint="default" w:ascii="Times New Roman" w:hAnsi="Times New Roman" w:eastAsia="仿宋_GB2312" w:cs="Times New Roman"/>
          <w:sz w:val="24"/>
          <w:szCs w:val="24"/>
        </w:rPr>
        <w:t>水土保持监测范围为水土流失防治责任范围。各单元的水土流失量的监测采用地面观测法，施工期监测点布设主要考虑动土强度大，施工持续时间较长，但施工期当中有一个相对稳定、不受扰动的时段，有利于对施工产生的土壤侵蚀的监测；</w:t>
      </w:r>
      <w:r>
        <w:rPr>
          <w:rFonts w:hint="default" w:ascii="Times New Roman" w:hAnsi="Times New Roman" w:eastAsia="仿宋_GB2312" w:cs="Times New Roman"/>
          <w:bCs/>
          <w:color w:val="auto"/>
          <w:sz w:val="24"/>
          <w:szCs w:val="24"/>
          <w:lang w:eastAsia="zh-CN"/>
        </w:rPr>
        <w:t>本期项目</w:t>
      </w:r>
      <w:r>
        <w:rPr>
          <w:rFonts w:hint="default" w:ascii="Times New Roman" w:hAnsi="Times New Roman" w:eastAsia="仿宋_GB2312" w:cs="Times New Roman"/>
          <w:bCs/>
          <w:color w:val="auto"/>
          <w:sz w:val="24"/>
          <w:szCs w:val="24"/>
        </w:rPr>
        <w:t>布设</w:t>
      </w:r>
      <w:r>
        <w:rPr>
          <w:rFonts w:hint="default" w:ascii="Times New Roman" w:hAnsi="Times New Roman" w:eastAsia="仿宋_GB2312" w:cs="Times New Roman"/>
          <w:bCs/>
          <w:color w:val="auto"/>
          <w:sz w:val="24"/>
          <w:szCs w:val="24"/>
          <w:lang w:val="en-US" w:eastAsia="zh-CN"/>
        </w:rPr>
        <w:t>1</w:t>
      </w:r>
      <w:r>
        <w:rPr>
          <w:rFonts w:hint="default" w:ascii="Times New Roman" w:hAnsi="Times New Roman" w:eastAsia="仿宋_GB2312" w:cs="Times New Roman"/>
          <w:bCs/>
          <w:color w:val="auto"/>
          <w:sz w:val="24"/>
          <w:szCs w:val="24"/>
        </w:rPr>
        <w:t>个监测点，为项工程</w:t>
      </w:r>
      <w:r>
        <w:rPr>
          <w:rFonts w:hint="default" w:ascii="Times New Roman" w:hAnsi="Times New Roman" w:eastAsia="仿宋_GB2312" w:cs="Times New Roman"/>
          <w:bCs/>
          <w:color w:val="auto"/>
          <w:sz w:val="24"/>
          <w:szCs w:val="24"/>
          <w:lang w:val="en-US" w:eastAsia="zh-CN"/>
        </w:rPr>
        <w:t>建</w:t>
      </w:r>
      <w:r>
        <w:rPr>
          <w:rFonts w:hint="default" w:ascii="Times New Roman" w:hAnsi="Times New Roman" w:eastAsia="仿宋_GB2312" w:cs="Times New Roman"/>
          <w:color w:val="auto"/>
          <w:sz w:val="24"/>
        </w:rPr>
        <w:t>设区</w:t>
      </w:r>
      <w:r>
        <w:rPr>
          <w:rFonts w:hint="eastAsia" w:eastAsia="仿宋_GB2312" w:cs="Times New Roman"/>
          <w:color w:val="auto"/>
          <w:sz w:val="24"/>
          <w:lang w:val="en-US" w:eastAsia="zh-CN"/>
        </w:rPr>
        <w:t>临时堆土区</w:t>
      </w:r>
      <w:r>
        <w:rPr>
          <w:rFonts w:hint="default" w:ascii="Times New Roman" w:hAnsi="Times New Roman" w:eastAsia="仿宋_GB2312" w:cs="Times New Roman"/>
          <w:bCs/>
          <w:color w:val="auto"/>
          <w:sz w:val="24"/>
          <w:szCs w:val="24"/>
        </w:rPr>
        <w:t>。</w:t>
      </w: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表6-</w:t>
      </w:r>
      <w:r>
        <w:rPr>
          <w:rFonts w:hint="default" w:ascii="Times New Roman" w:hAnsi="Times New Roman" w:eastAsia="微软雅黑" w:cs="Times New Roman"/>
          <w:lang w:val="en-US" w:eastAsia="zh-CN"/>
        </w:rPr>
        <w:t>1</w:t>
      </w:r>
      <w:r>
        <w:rPr>
          <w:rFonts w:hint="default" w:ascii="Times New Roman" w:hAnsi="Times New Roman" w:eastAsia="微软雅黑" w:cs="Times New Roman"/>
        </w:rPr>
        <w:t xml:space="preserve">  监测点位一览表</w:t>
      </w:r>
    </w:p>
    <w:tbl>
      <w:tblPr>
        <w:tblStyle w:val="556"/>
        <w:tblW w:w="4998" w:type="pct"/>
        <w:jc w:val="center"/>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Layout w:type="autofit"/>
        <w:tblCellMar>
          <w:top w:w="0" w:type="dxa"/>
          <w:left w:w="0" w:type="dxa"/>
          <w:bottom w:w="0" w:type="dxa"/>
          <w:right w:w="0" w:type="dxa"/>
        </w:tblCellMar>
      </w:tblPr>
      <w:tblGrid>
        <w:gridCol w:w="1266"/>
        <w:gridCol w:w="1083"/>
        <w:gridCol w:w="2606"/>
        <w:gridCol w:w="1709"/>
        <w:gridCol w:w="1741"/>
      </w:tblGrid>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493" w:hRule="atLeast"/>
          <w:jc w:val="center"/>
        </w:trPr>
        <w:tc>
          <w:tcPr>
            <w:tcW w:w="75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lang w:eastAsia="zh-CN"/>
              </w:rPr>
            </w:pPr>
            <w:r>
              <w:rPr>
                <w:rFonts w:hint="default" w:ascii="Times New Roman" w:hAnsi="Times New Roman" w:eastAsia="仿宋_GB2312" w:cs="Times New Roman"/>
                <w:spacing w:val="3"/>
                <w:sz w:val="20"/>
                <w:szCs w:val="20"/>
                <w:lang w:val="en-US" w:eastAsia="zh-CN"/>
              </w:rPr>
              <w:t>监测单元</w:t>
            </w:r>
          </w:p>
        </w:tc>
        <w:tc>
          <w:tcPr>
            <w:tcW w:w="64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8"/>
                <w:sz w:val="20"/>
                <w:szCs w:val="20"/>
                <w:lang w:val="en-US" w:eastAsia="zh-CN"/>
              </w:rPr>
            </w:pPr>
            <w:r>
              <w:rPr>
                <w:rFonts w:hint="default" w:ascii="Times New Roman" w:hAnsi="Times New Roman" w:eastAsia="仿宋_GB2312" w:cs="Times New Roman"/>
                <w:spacing w:val="8"/>
                <w:sz w:val="20"/>
                <w:szCs w:val="20"/>
                <w:lang w:val="en-US" w:eastAsia="zh-CN"/>
              </w:rPr>
              <w:t>监测点数</w:t>
            </w:r>
          </w:p>
        </w:tc>
        <w:tc>
          <w:tcPr>
            <w:tcW w:w="155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spacing w:val="8"/>
                <w:sz w:val="20"/>
                <w:szCs w:val="20"/>
                <w:lang w:val="en-US" w:eastAsia="zh-CN"/>
              </w:rPr>
              <w:t>监测内容</w:t>
            </w:r>
          </w:p>
        </w:tc>
        <w:tc>
          <w:tcPr>
            <w:tcW w:w="101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spacing w:val="4"/>
                <w:sz w:val="20"/>
                <w:szCs w:val="20"/>
              </w:rPr>
              <w:t>位</w:t>
            </w:r>
            <w:r>
              <w:rPr>
                <w:rFonts w:hint="default" w:ascii="Times New Roman" w:hAnsi="Times New Roman" w:eastAsia="仿宋_GB2312" w:cs="Times New Roman"/>
                <w:spacing w:val="3"/>
                <w:sz w:val="20"/>
                <w:szCs w:val="20"/>
              </w:rPr>
              <w:t>置</w:t>
            </w:r>
          </w:p>
        </w:tc>
        <w:tc>
          <w:tcPr>
            <w:tcW w:w="103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spacing w:val="8"/>
                <w:sz w:val="20"/>
                <w:szCs w:val="20"/>
              </w:rPr>
              <w:t>监</w:t>
            </w:r>
            <w:r>
              <w:rPr>
                <w:rFonts w:hint="default" w:ascii="Times New Roman" w:hAnsi="Times New Roman" w:eastAsia="仿宋_GB2312" w:cs="Times New Roman"/>
                <w:spacing w:val="5"/>
                <w:sz w:val="20"/>
                <w:szCs w:val="20"/>
              </w:rPr>
              <w:t>测方法</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493" w:hRule="atLeast"/>
          <w:jc w:val="center"/>
        </w:trPr>
        <w:tc>
          <w:tcPr>
            <w:tcW w:w="75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9"/>
                <w:sz w:val="20"/>
                <w:szCs w:val="20"/>
              </w:rPr>
              <w:t>工</w:t>
            </w:r>
            <w:r>
              <w:rPr>
                <w:rFonts w:hint="default" w:ascii="Times New Roman" w:hAnsi="Times New Roman" w:eastAsia="仿宋_GB2312" w:cs="Times New Roman"/>
                <w:spacing w:val="6"/>
                <w:sz w:val="20"/>
                <w:szCs w:val="20"/>
              </w:rPr>
              <w:t>程建设区</w:t>
            </w:r>
          </w:p>
        </w:tc>
        <w:tc>
          <w:tcPr>
            <w:tcW w:w="64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4"/>
                <w:kern w:val="2"/>
                <w:sz w:val="20"/>
                <w:szCs w:val="20"/>
                <w:lang w:val="en-US" w:eastAsia="zh-CN" w:bidi="ar-SA"/>
              </w:rPr>
            </w:pPr>
            <w:r>
              <w:rPr>
                <w:rFonts w:hint="default" w:ascii="Times New Roman" w:hAnsi="Times New Roman" w:eastAsia="仿宋_GB2312" w:cs="Times New Roman"/>
                <w:spacing w:val="4"/>
                <w:sz w:val="20"/>
                <w:szCs w:val="20"/>
                <w:lang w:val="en-US" w:eastAsia="zh-CN"/>
              </w:rPr>
              <w:t>1</w:t>
            </w:r>
          </w:p>
        </w:tc>
        <w:tc>
          <w:tcPr>
            <w:tcW w:w="1550" w:type="pct"/>
            <w:tcBorders>
              <w:tl2br w:val="nil"/>
              <w:tr2bl w:val="nil"/>
            </w:tcBorders>
            <w:vAlign w:val="center"/>
          </w:tcPr>
          <w:p>
            <w:pPr>
              <w:pStyle w:val="203"/>
              <w:pageBreakBefore w:val="0"/>
              <w:tabs>
                <w:tab w:val="left" w:pos="6510"/>
              </w:tabs>
              <w:kinsoku/>
              <w:wordWrap/>
              <w:autoSpaceDE w:val="0"/>
              <w:autoSpaceDN w:val="0"/>
              <w:bidi w:val="0"/>
              <w:adjustRightInd w:val="0"/>
              <w:snapToGrid w:val="0"/>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color w:val="auto"/>
                <w:sz w:val="20"/>
                <w:szCs w:val="20"/>
                <w:lang w:eastAsia="zh-CN"/>
              </w:rPr>
              <w:t>水</w:t>
            </w:r>
            <w:r>
              <w:rPr>
                <w:rFonts w:hint="default" w:ascii="Times New Roman" w:hAnsi="Times New Roman" w:eastAsia="仿宋_GB2312" w:cs="Times New Roman"/>
                <w:color w:val="auto"/>
                <w:sz w:val="20"/>
                <w:szCs w:val="20"/>
              </w:rPr>
              <w:t>土流失状况监测及水土流失防治效果监测</w:t>
            </w:r>
          </w:p>
        </w:tc>
        <w:tc>
          <w:tcPr>
            <w:tcW w:w="101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spacing w:val="5"/>
                <w:sz w:val="20"/>
                <w:szCs w:val="20"/>
              </w:rPr>
              <w:t>绿化</w:t>
            </w:r>
            <w:r>
              <w:rPr>
                <w:rFonts w:hint="default" w:ascii="Times New Roman" w:hAnsi="Times New Roman" w:eastAsia="仿宋_GB2312" w:cs="Times New Roman"/>
                <w:spacing w:val="5"/>
                <w:sz w:val="20"/>
                <w:szCs w:val="20"/>
                <w:lang w:val="en-US" w:eastAsia="zh-CN"/>
              </w:rPr>
              <w:t>区域</w:t>
            </w:r>
          </w:p>
        </w:tc>
        <w:tc>
          <w:tcPr>
            <w:tcW w:w="103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spacing w:val="3"/>
                <w:sz w:val="20"/>
                <w:szCs w:val="20"/>
              </w:rPr>
              <w:t>实地调查量测</w:t>
            </w:r>
            <w:r>
              <w:rPr>
                <w:rFonts w:hint="default" w:ascii="Times New Roman" w:hAnsi="Times New Roman" w:eastAsia="仿宋_GB2312" w:cs="Times New Roman"/>
                <w:spacing w:val="2"/>
                <w:sz w:val="20"/>
                <w:szCs w:val="20"/>
              </w:rPr>
              <w:t>、</w:t>
            </w:r>
            <w:r>
              <w:rPr>
                <w:rFonts w:hint="default" w:ascii="Times New Roman" w:hAnsi="Times New Roman" w:eastAsia="仿宋_GB2312" w:cs="Times New Roman"/>
                <w:spacing w:val="7"/>
                <w:sz w:val="20"/>
                <w:szCs w:val="20"/>
              </w:rPr>
              <w:t>地面观</w:t>
            </w:r>
            <w:r>
              <w:rPr>
                <w:rFonts w:hint="default" w:ascii="Times New Roman" w:hAnsi="Times New Roman" w:eastAsia="仿宋_GB2312" w:cs="Times New Roman"/>
                <w:spacing w:val="6"/>
                <w:sz w:val="20"/>
                <w:szCs w:val="20"/>
              </w:rPr>
              <w:t>测</w:t>
            </w:r>
          </w:p>
        </w:tc>
      </w:tr>
    </w:tbl>
    <w:p>
      <w:pPr>
        <w:pStyle w:val="5"/>
        <w:bidi w:val="0"/>
        <w:rPr>
          <w:rFonts w:hint="default" w:ascii="Times New Roman" w:hAnsi="Times New Roman" w:cs="Times New Roman"/>
        </w:rPr>
      </w:pPr>
      <w:bookmarkStart w:id="406" w:name="_Toc14384"/>
      <w:r>
        <w:rPr>
          <w:rFonts w:hint="default" w:ascii="Times New Roman" w:hAnsi="Times New Roman" w:cs="Times New Roman"/>
        </w:rPr>
        <w:t>6.4</w:t>
      </w:r>
      <w:bookmarkEnd w:id="403"/>
      <w:r>
        <w:rPr>
          <w:rFonts w:hint="default" w:ascii="Times New Roman" w:hAnsi="Times New Roman" w:cs="Times New Roman"/>
        </w:rPr>
        <w:t>实施条件和成果</w:t>
      </w:r>
      <w:bookmarkEnd w:id="404"/>
      <w:bookmarkEnd w:id="405"/>
      <w:bookmarkEnd w:id="406"/>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6.4.1监测设备</w:t>
      </w:r>
    </w:p>
    <w:p>
      <w:pPr>
        <w:pageBreakBefore w:val="0"/>
        <w:kinsoku/>
        <w:wordWrap/>
        <w:bidi w:val="0"/>
        <w:spacing w:line="360" w:lineRule="auto"/>
        <w:ind w:firstLine="480" w:firstLineChars="200"/>
        <w:rPr>
          <w:rFonts w:hint="default" w:ascii="Times New Roman" w:hAnsi="Times New Roman" w:cs="Times New Roman"/>
          <w:highlight w:val="none"/>
        </w:rPr>
      </w:pPr>
      <w:r>
        <w:rPr>
          <w:rFonts w:hint="default" w:ascii="Times New Roman" w:hAnsi="Times New Roman" w:eastAsia="仿宋_GB2312" w:cs="Times New Roman"/>
          <w:sz w:val="24"/>
          <w:highlight w:val="none"/>
        </w:rPr>
        <w:t>依据项目实施进度和项目的实际情况，在各个监测点设置临时监测场，便于进行定点观测。按监测内容和监测方法的要求。监测设施和设备见表6-</w:t>
      </w:r>
      <w:r>
        <w:rPr>
          <w:rFonts w:hint="default" w:ascii="Times New Roman" w:hAnsi="Times New Roman" w:eastAsia="仿宋_GB2312" w:cs="Times New Roman"/>
          <w:sz w:val="24"/>
          <w:highlight w:val="none"/>
          <w:lang w:val="en-US" w:eastAsia="zh-CN"/>
        </w:rPr>
        <w:t>2</w:t>
      </w:r>
      <w:r>
        <w:rPr>
          <w:rFonts w:hint="default" w:ascii="Times New Roman" w:hAnsi="Times New Roman" w:eastAsia="仿宋_GB2312" w:cs="Times New Roman"/>
          <w:sz w:val="24"/>
          <w:highlight w:val="none"/>
        </w:rPr>
        <w:t>。</w:t>
      </w: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表6-</w:t>
      </w:r>
      <w:r>
        <w:rPr>
          <w:rFonts w:hint="default" w:ascii="Times New Roman" w:hAnsi="Times New Roman" w:eastAsia="微软雅黑" w:cs="Times New Roman"/>
          <w:lang w:val="en-US" w:eastAsia="zh-CN"/>
        </w:rPr>
        <w:t xml:space="preserve">2  </w:t>
      </w:r>
      <w:r>
        <w:rPr>
          <w:rFonts w:hint="default" w:ascii="Times New Roman" w:hAnsi="Times New Roman" w:eastAsia="微软雅黑" w:cs="Times New Roman"/>
        </w:rPr>
        <w:t>监测设施、设备及消耗性材料汇总表</w:t>
      </w:r>
    </w:p>
    <w:tbl>
      <w:tblPr>
        <w:tblStyle w:val="556"/>
        <w:tblW w:w="4998" w:type="pct"/>
        <w:jc w:val="center"/>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Layout w:type="autofit"/>
        <w:tblCellMar>
          <w:top w:w="0" w:type="dxa"/>
          <w:left w:w="0" w:type="dxa"/>
          <w:bottom w:w="0" w:type="dxa"/>
          <w:right w:w="0" w:type="dxa"/>
        </w:tblCellMar>
      </w:tblPr>
      <w:tblGrid>
        <w:gridCol w:w="1584"/>
        <w:gridCol w:w="3604"/>
        <w:gridCol w:w="1594"/>
        <w:gridCol w:w="1623"/>
      </w:tblGrid>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序号</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7"/>
                <w:sz w:val="21"/>
                <w:szCs w:val="21"/>
              </w:rPr>
              <w:t>监测设施与设备</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单</w:t>
            </w:r>
            <w:r>
              <w:rPr>
                <w:rFonts w:hint="default" w:ascii="Times New Roman" w:hAnsi="Times New Roman" w:eastAsia="仿宋_GB2312" w:cs="Times New Roman"/>
                <w:sz w:val="21"/>
                <w:szCs w:val="21"/>
              </w:rPr>
              <w:t>位</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数量</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01"/>
                <w:position w:val="1"/>
                <w:sz w:val="21"/>
                <w:szCs w:val="21"/>
              </w:rPr>
              <w:t>一</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消耗性材料</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1</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8"/>
                <w:sz w:val="21"/>
                <w:szCs w:val="21"/>
              </w:rPr>
              <w:t>取</w:t>
            </w:r>
            <w:r>
              <w:rPr>
                <w:rFonts w:hint="default" w:ascii="Times New Roman" w:hAnsi="Times New Roman" w:eastAsia="仿宋_GB2312" w:cs="Times New Roman"/>
                <w:spacing w:val="7"/>
                <w:sz w:val="21"/>
                <w:szCs w:val="21"/>
              </w:rPr>
              <w:t>样玻璃仪器</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个</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1"/>
                <w:sz w:val="21"/>
                <w:szCs w:val="21"/>
              </w:rPr>
              <w:t>3</w:t>
            </w:r>
            <w:r>
              <w:rPr>
                <w:rFonts w:hint="default" w:ascii="Times New Roman" w:hAnsi="Times New Roman" w:eastAsia="仿宋_GB2312" w:cs="Times New Roman"/>
                <w:sz w:val="21"/>
                <w:szCs w:val="21"/>
              </w:rPr>
              <w:t>0</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2</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蒸发皿</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个</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3</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8"/>
                <w:sz w:val="21"/>
                <w:szCs w:val="21"/>
              </w:rPr>
              <w:t>取</w:t>
            </w:r>
            <w:r>
              <w:rPr>
                <w:rFonts w:hint="default" w:ascii="Times New Roman" w:hAnsi="Times New Roman" w:eastAsia="仿宋_GB2312" w:cs="Times New Roman"/>
                <w:spacing w:val="5"/>
                <w:sz w:val="21"/>
                <w:szCs w:val="21"/>
              </w:rPr>
              <w:t>样工具</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套</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1"/>
                <w:sz w:val="21"/>
                <w:szCs w:val="21"/>
              </w:rPr>
              <w:t>4</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围栏网</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m</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200</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5</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标志绳</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m</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200</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6</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2"/>
                <w:sz w:val="21"/>
                <w:szCs w:val="21"/>
              </w:rPr>
              <w:t>测钎</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个</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eastAsia="zh-CN" w:bidi="ar-SA"/>
              </w:rPr>
            </w:pPr>
            <w:r>
              <w:rPr>
                <w:rFonts w:hint="default" w:eastAsia="仿宋_GB2312" w:cs="Times New Roman"/>
                <w:sz w:val="21"/>
                <w:szCs w:val="21"/>
                <w:lang w:eastAsia="zh-CN"/>
              </w:rPr>
              <w:t>10</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7</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6"/>
                <w:sz w:val="21"/>
                <w:szCs w:val="21"/>
              </w:rPr>
              <w:t>标志</w:t>
            </w:r>
            <w:r>
              <w:rPr>
                <w:rFonts w:hint="default" w:ascii="Times New Roman" w:hAnsi="Times New Roman" w:eastAsia="仿宋_GB2312" w:cs="Times New Roman"/>
                <w:spacing w:val="5"/>
                <w:sz w:val="21"/>
                <w:szCs w:val="21"/>
              </w:rPr>
              <w:t>牌</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个</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8</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3"/>
                <w:sz w:val="21"/>
                <w:szCs w:val="21"/>
              </w:rPr>
              <w:t>皮尺</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lang w:val="en-US" w:eastAsia="zh-CN"/>
              </w:rPr>
              <w:t>把</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1"/>
                <w:sz w:val="21"/>
                <w:szCs w:val="21"/>
                <w:lang w:val="en-US" w:eastAsia="zh-CN"/>
              </w:rPr>
              <w:t>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9</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钢卷尺</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把</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lang w:val="en-US"/>
              </w:rPr>
            </w:pPr>
            <w:r>
              <w:rPr>
                <w:rFonts w:hint="default" w:ascii="Times New Roman" w:hAnsi="Times New Roman" w:eastAsia="仿宋_GB2312" w:cs="Times New Roman"/>
                <w:spacing w:val="1"/>
                <w:sz w:val="21"/>
                <w:szCs w:val="21"/>
                <w:lang w:val="en-US" w:eastAsia="zh-CN"/>
              </w:rPr>
              <w:t>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rPr>
            </w:pPr>
            <w:r>
              <w:rPr>
                <w:rFonts w:hint="default" w:ascii="Times New Roman" w:hAnsi="Times New Roman" w:eastAsia="仿宋_GB2312" w:cs="Times New Roman"/>
                <w:i w:val="0"/>
                <w:iCs w:val="0"/>
                <w:color w:val="auto"/>
                <w:kern w:val="0"/>
                <w:sz w:val="21"/>
                <w:szCs w:val="21"/>
                <w:u w:val="none"/>
                <w:lang w:val="en-US" w:eastAsia="zh-CN" w:bidi="ar"/>
              </w:rPr>
              <w:t>二</w:t>
            </w:r>
          </w:p>
        </w:tc>
        <w:tc>
          <w:tcPr>
            <w:tcW w:w="2143" w:type="pct"/>
            <w:tcBorders>
              <w:tl2br w:val="nil"/>
              <w:tr2bl w:val="nil"/>
            </w:tcBorders>
            <w:noWrap w:val="0"/>
            <w:vAlign w:val="center"/>
          </w:tcPr>
          <w:p>
            <w:pPr>
              <w:keepNext w:val="0"/>
              <w:keepLines w:val="0"/>
              <w:widowControl/>
              <w:suppressLineNumbers w:val="0"/>
              <w:autoSpaceDE w:val="0"/>
              <w:autoSpaceDN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color w:val="000000"/>
                <w:kern w:val="0"/>
                <w:sz w:val="20"/>
                <w:szCs w:val="20"/>
                <w:lang w:val="en-US" w:eastAsia="zh-CN" w:bidi="ar"/>
              </w:rPr>
              <w:t>监测设施和设备</w:t>
            </w:r>
            <w:r>
              <w:rPr>
                <w:rFonts w:hint="default" w:ascii="Times New Roman" w:hAnsi="Times New Roman" w:eastAsia="仿宋_GB2312" w:cs="Times New Roman"/>
                <w:i w:val="0"/>
                <w:iCs w:val="0"/>
                <w:color w:val="auto"/>
                <w:kern w:val="0"/>
                <w:sz w:val="21"/>
                <w:szCs w:val="21"/>
                <w:u w:val="none"/>
                <w:lang w:val="en-US" w:eastAsia="zh-CN" w:bidi="ar"/>
              </w:rPr>
              <w:t>（</w:t>
            </w:r>
            <w:r>
              <w:rPr>
                <w:rFonts w:hint="default" w:ascii="Times New Roman" w:hAnsi="Times New Roman" w:eastAsia="仿宋_GB2312" w:cs="Times New Roman"/>
                <w:color w:val="000000"/>
                <w:kern w:val="0"/>
                <w:sz w:val="20"/>
                <w:szCs w:val="20"/>
                <w:lang w:val="en-US" w:eastAsia="zh-CN" w:bidi="ar"/>
              </w:rPr>
              <w:t>按</w:t>
            </w:r>
            <w:r>
              <w:rPr>
                <w:rFonts w:hint="default" w:ascii="Times New Roman" w:hAnsi="Times New Roman" w:eastAsia="宋体" w:cs="Times New Roman"/>
                <w:color w:val="000000"/>
                <w:kern w:val="0"/>
                <w:sz w:val="20"/>
                <w:szCs w:val="20"/>
                <w:lang w:val="en-US" w:eastAsia="zh-CN" w:bidi="ar"/>
              </w:rPr>
              <w:t>20</w:t>
            </w:r>
            <w:r>
              <w:rPr>
                <w:rFonts w:hint="default" w:ascii="Times New Roman" w:hAnsi="Times New Roman" w:eastAsia="仿宋_GB2312" w:cs="Times New Roman"/>
                <w:color w:val="000000"/>
                <w:kern w:val="0"/>
                <w:sz w:val="20"/>
                <w:szCs w:val="20"/>
                <w:lang w:val="en-US" w:eastAsia="zh-CN" w:bidi="ar"/>
              </w:rPr>
              <w:t>％折</w:t>
            </w:r>
            <w:r>
              <w:rPr>
                <w:rFonts w:hint="default" w:ascii="Times New Roman" w:hAnsi="Times New Roman" w:eastAsia="仿宋_GB2312" w:cs="Times New Roman"/>
                <w:i w:val="0"/>
                <w:iCs w:val="0"/>
                <w:color w:val="auto"/>
                <w:kern w:val="0"/>
                <w:sz w:val="21"/>
                <w:szCs w:val="21"/>
                <w:u w:val="none"/>
                <w:lang w:val="en-US" w:eastAsia="zh-CN" w:bidi="ar"/>
              </w:rPr>
              <w:t>）</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1</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电子天平</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台</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2</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比重计</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个</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3</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2"/>
                <w:sz w:val="21"/>
                <w:szCs w:val="21"/>
              </w:rPr>
              <w:t>烘</w:t>
            </w:r>
            <w:r>
              <w:rPr>
                <w:rFonts w:hint="default" w:ascii="Times New Roman" w:hAnsi="Times New Roman" w:eastAsia="仿宋_GB2312" w:cs="Times New Roman"/>
                <w:spacing w:val="1"/>
                <w:sz w:val="21"/>
                <w:szCs w:val="21"/>
              </w:rPr>
              <w:t>箱</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台</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1"/>
                <w:sz w:val="21"/>
                <w:szCs w:val="21"/>
              </w:rPr>
              <w:t>4</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pacing w:val="5"/>
                <w:kern w:val="2"/>
                <w:sz w:val="21"/>
                <w:szCs w:val="21"/>
                <w:lang w:val="en-US" w:eastAsia="zh-CN" w:bidi="ar-SA"/>
              </w:rPr>
            </w:pPr>
            <w:r>
              <w:rPr>
                <w:rFonts w:hint="default" w:ascii="Times New Roman" w:hAnsi="Times New Roman" w:eastAsia="仿宋_GB2312" w:cs="Times New Roman"/>
                <w:spacing w:val="5"/>
                <w:sz w:val="21"/>
                <w:szCs w:val="21"/>
                <w:lang w:val="en-US" w:eastAsia="zh-CN"/>
              </w:rPr>
              <w:t>土壤水分快速测定仪</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台</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lang w:val="en-US" w:eastAsia="zh-CN"/>
              </w:rPr>
              <w:t>2</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5</w:t>
            </w:r>
          </w:p>
        </w:tc>
        <w:tc>
          <w:tcPr>
            <w:tcW w:w="2143" w:type="pct"/>
            <w:tcBorders>
              <w:tl2br w:val="nil"/>
              <w:tr2bl w:val="nil"/>
            </w:tcBorders>
            <w:noWrap w:val="0"/>
            <w:vAlign w:val="center"/>
          </w:tcPr>
          <w:p>
            <w:pPr>
              <w:keepNext w:val="0"/>
              <w:keepLines w:val="0"/>
              <w:widowControl/>
              <w:suppressLineNumbers w:val="0"/>
              <w:autoSpaceDE w:val="0"/>
              <w:autoSpaceDN w:val="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color w:val="000000"/>
                <w:kern w:val="0"/>
                <w:sz w:val="20"/>
                <w:szCs w:val="20"/>
                <w:lang w:val="en-US" w:eastAsia="zh-CN" w:bidi="ar"/>
              </w:rPr>
              <w:t>植被高度观测仪（测高仪）</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台</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6</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pacing w:val="5"/>
                <w:sz w:val="21"/>
                <w:szCs w:val="21"/>
                <w:lang w:val="en-US" w:eastAsia="zh-CN"/>
              </w:rPr>
              <w:t>坡度仪</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个</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7</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GPS</w:t>
            </w:r>
            <w:r>
              <w:rPr>
                <w:rFonts w:hint="default" w:ascii="Times New Roman" w:hAnsi="Times New Roman" w:eastAsia="仿宋_GB2312" w:cs="Times New Roman"/>
                <w:spacing w:val="10"/>
                <w:sz w:val="21"/>
                <w:szCs w:val="21"/>
              </w:rPr>
              <w:t>定位仪</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套</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8</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无人机</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个</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90"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9</w:t>
            </w:r>
          </w:p>
        </w:tc>
        <w:tc>
          <w:tcPr>
            <w:tcW w:w="2143" w:type="pct"/>
            <w:tcBorders>
              <w:tl2br w:val="nil"/>
              <w:tr2bl w:val="nil"/>
            </w:tcBorders>
            <w:noWrap w:val="0"/>
            <w:vAlign w:val="center"/>
          </w:tcPr>
          <w:p>
            <w:pPr>
              <w:keepNext w:val="0"/>
              <w:keepLines w:val="0"/>
              <w:widowControl/>
              <w:suppressLineNumbers w:val="0"/>
              <w:autoSpaceDE w:val="0"/>
              <w:autoSpaceDN w:val="0"/>
              <w:jc w:val="center"/>
              <w:rPr>
                <w:rFonts w:hint="default" w:ascii="Times New Roman" w:hAnsi="Times New Roman" w:eastAsia="仿宋_GB2312" w:cs="Times New Roman"/>
                <w:spacing w:val="5"/>
                <w:sz w:val="21"/>
                <w:szCs w:val="21"/>
                <w:lang w:val="en-US" w:eastAsia="zh-CN"/>
              </w:rPr>
            </w:pPr>
            <w:r>
              <w:rPr>
                <w:rFonts w:hint="default" w:ascii="Times New Roman" w:hAnsi="Times New Roman" w:eastAsia="仿宋_GB2312" w:cs="Times New Roman"/>
                <w:color w:val="000000"/>
                <w:kern w:val="0"/>
                <w:sz w:val="20"/>
                <w:szCs w:val="20"/>
                <w:lang w:val="en-US" w:eastAsia="zh-CN" w:bidi="ar"/>
              </w:rPr>
              <w:t>风向风速自测仪</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台</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val="en-US" w:eastAsia="zh-CN"/>
              </w:rPr>
              <w:t>1</w:t>
            </w:r>
            <w:r>
              <w:rPr>
                <w:rFonts w:hint="default" w:eastAsia="仿宋_GB2312" w:cs="Times New Roman"/>
                <w:sz w:val="21"/>
                <w:szCs w:val="21"/>
                <w:lang w:eastAsia="zh-CN"/>
              </w:rPr>
              <w:t>0</w:t>
            </w:r>
          </w:p>
        </w:tc>
        <w:tc>
          <w:tcPr>
            <w:tcW w:w="2143" w:type="pct"/>
            <w:tcBorders>
              <w:tl2br w:val="nil"/>
              <w:tr2bl w:val="nil"/>
            </w:tcBorders>
            <w:noWrap w:val="0"/>
            <w:vAlign w:val="center"/>
          </w:tcPr>
          <w:p>
            <w:pPr>
              <w:keepNext w:val="0"/>
              <w:keepLines w:val="0"/>
              <w:widowControl/>
              <w:suppressLineNumbers w:val="0"/>
              <w:autoSpaceDE w:val="0"/>
              <w:autoSpaceDN w:val="0"/>
              <w:jc w:val="center"/>
              <w:rPr>
                <w:rFonts w:hint="default" w:ascii="Times New Roman" w:hAnsi="Times New Roman" w:eastAsia="仿宋_GB2312" w:cs="Times New Roman"/>
                <w:color w:val="000000"/>
                <w:kern w:val="0"/>
                <w:sz w:val="20"/>
                <w:szCs w:val="20"/>
                <w:lang w:val="en-US" w:eastAsia="zh-CN" w:bidi="ar"/>
              </w:rPr>
            </w:pPr>
            <w:r>
              <w:rPr>
                <w:rFonts w:hint="default" w:ascii="Times New Roman" w:hAnsi="Times New Roman" w:eastAsia="仿宋_GB2312" w:cs="Times New Roman"/>
                <w:color w:val="000000"/>
                <w:kern w:val="0"/>
                <w:sz w:val="20"/>
                <w:szCs w:val="20"/>
                <w:lang w:val="en-US" w:eastAsia="zh-CN" w:bidi="ar"/>
              </w:rPr>
              <w:t>径流泥沙自测仪</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台</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r>
    </w:tbl>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6.4.2监测人员配置及人工</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水土保持监测人工包括外业和内业两部分人工。外业内容包括水土保持定位监测勘察、自然状况及生态环境变化调查、水土保持防护效果调查；内业内容包括编制监测实施方案、化验分析、编制监测季度报告表、编制监测总结报告、图件绘制等。监测人员按3人配置，其中总监测工程师1名、监测工程师1名、监测员1名。各项工作内容所需人工及计算方法见表6-</w:t>
      </w:r>
      <w:r>
        <w:rPr>
          <w:rFonts w:hint="default" w:ascii="Times New Roman" w:hAnsi="Times New Roman" w:eastAsia="仿宋_GB2312" w:cs="Times New Roman"/>
          <w:sz w:val="24"/>
          <w:highlight w:val="none"/>
          <w:lang w:val="en-US" w:eastAsia="zh-CN"/>
        </w:rPr>
        <w:t>3</w:t>
      </w:r>
      <w:r>
        <w:rPr>
          <w:rFonts w:hint="default" w:ascii="Times New Roman" w:hAnsi="Times New Roman" w:eastAsia="仿宋_GB2312" w:cs="Times New Roman"/>
          <w:sz w:val="24"/>
          <w:highlight w:val="none"/>
        </w:rPr>
        <w:t>。</w:t>
      </w: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highlight w:val="none"/>
        </w:rPr>
      </w:pPr>
      <w:r>
        <w:rPr>
          <w:rFonts w:hint="default" w:ascii="Times New Roman" w:hAnsi="Times New Roman" w:eastAsia="微软雅黑" w:cs="Times New Roman"/>
          <w:highlight w:val="none"/>
        </w:rPr>
        <w:t>表6-</w:t>
      </w:r>
      <w:r>
        <w:rPr>
          <w:rFonts w:hint="default" w:ascii="Times New Roman" w:hAnsi="Times New Roman" w:eastAsia="微软雅黑" w:cs="Times New Roman"/>
          <w:highlight w:val="none"/>
          <w:lang w:val="en-US" w:eastAsia="zh-CN"/>
        </w:rPr>
        <w:t xml:space="preserve">3  </w:t>
      </w:r>
      <w:r>
        <w:rPr>
          <w:rFonts w:hint="default" w:ascii="Times New Roman" w:hAnsi="Times New Roman" w:eastAsia="微软雅黑" w:cs="Times New Roman"/>
          <w:highlight w:val="none"/>
        </w:rPr>
        <w:t>水土保持监测人工汇总表</w:t>
      </w:r>
    </w:p>
    <w:tbl>
      <w:tblPr>
        <w:tblStyle w:val="556"/>
        <w:tblW w:w="5023" w:type="pct"/>
        <w:jc w:val="center"/>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Layout w:type="autofit"/>
        <w:tblCellMar>
          <w:top w:w="0" w:type="dxa"/>
          <w:left w:w="0" w:type="dxa"/>
          <w:bottom w:w="0" w:type="dxa"/>
          <w:right w:w="0" w:type="dxa"/>
        </w:tblCellMar>
      </w:tblPr>
      <w:tblGrid>
        <w:gridCol w:w="899"/>
        <w:gridCol w:w="3485"/>
        <w:gridCol w:w="1155"/>
        <w:gridCol w:w="2908"/>
      </w:tblGrid>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序号</w:t>
            </w:r>
          </w:p>
        </w:tc>
        <w:tc>
          <w:tcPr>
            <w:tcW w:w="34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8"/>
                <w:sz w:val="21"/>
                <w:szCs w:val="21"/>
              </w:rPr>
              <w:t>项</w:t>
            </w:r>
            <w:r>
              <w:rPr>
                <w:rFonts w:hint="default" w:ascii="Times New Roman" w:hAnsi="Times New Roman" w:eastAsia="仿宋_GB2312" w:cs="Times New Roman"/>
                <w:spacing w:val="5"/>
                <w:sz w:val="21"/>
                <w:szCs w:val="21"/>
              </w:rPr>
              <w:t>目名称</w:t>
            </w:r>
          </w:p>
        </w:tc>
        <w:tc>
          <w:tcPr>
            <w:tcW w:w="11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position w:val="3"/>
                <w:sz w:val="21"/>
                <w:szCs w:val="21"/>
              </w:rPr>
              <w:t>人</w:t>
            </w:r>
            <w:r>
              <w:rPr>
                <w:rFonts w:hint="default" w:ascii="Times New Roman" w:hAnsi="Times New Roman" w:eastAsia="仿宋_GB2312" w:cs="Times New Roman"/>
                <w:spacing w:val="4"/>
                <w:position w:val="3"/>
                <w:sz w:val="21"/>
                <w:szCs w:val="21"/>
              </w:rPr>
              <w:t>工(工日)</w:t>
            </w:r>
          </w:p>
        </w:tc>
        <w:tc>
          <w:tcPr>
            <w:tcW w:w="2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计算方</w:t>
            </w:r>
            <w:r>
              <w:rPr>
                <w:rFonts w:hint="default" w:ascii="Times New Roman" w:hAnsi="Times New Roman" w:eastAsia="仿宋_GB2312" w:cs="Times New Roman"/>
                <w:spacing w:val="5"/>
                <w:sz w:val="21"/>
                <w:szCs w:val="21"/>
              </w:rPr>
              <w:t>法</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01"/>
                <w:position w:val="1"/>
                <w:sz w:val="21"/>
                <w:szCs w:val="21"/>
              </w:rPr>
              <w:t>一</w:t>
            </w:r>
          </w:p>
        </w:tc>
        <w:tc>
          <w:tcPr>
            <w:tcW w:w="34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外</w:t>
            </w:r>
            <w:r>
              <w:rPr>
                <w:rFonts w:hint="default" w:ascii="Times New Roman" w:hAnsi="Times New Roman" w:eastAsia="仿宋_GB2312" w:cs="Times New Roman"/>
                <w:spacing w:val="5"/>
                <w:sz w:val="21"/>
                <w:szCs w:val="21"/>
              </w:rPr>
              <w:t>业工作</w:t>
            </w:r>
          </w:p>
        </w:tc>
        <w:tc>
          <w:tcPr>
            <w:tcW w:w="11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eastAsia" w:eastAsia="仿宋_GB2312" w:cs="Times New Roman"/>
                <w:spacing w:val="-3"/>
                <w:sz w:val="21"/>
                <w:szCs w:val="21"/>
                <w:lang w:val="en-US" w:eastAsia="zh-CN"/>
              </w:rPr>
              <w:t>186</w:t>
            </w:r>
          </w:p>
        </w:tc>
        <w:tc>
          <w:tcPr>
            <w:tcW w:w="2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c>
          <w:tcPr>
            <w:tcW w:w="34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背</w:t>
            </w:r>
            <w:r>
              <w:rPr>
                <w:rFonts w:hint="default" w:ascii="Times New Roman" w:hAnsi="Times New Roman" w:eastAsia="仿宋_GB2312" w:cs="Times New Roman"/>
                <w:spacing w:val="5"/>
                <w:sz w:val="21"/>
                <w:szCs w:val="21"/>
              </w:rPr>
              <w:t>景值监测</w:t>
            </w:r>
          </w:p>
        </w:tc>
        <w:tc>
          <w:tcPr>
            <w:tcW w:w="11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val="en-US" w:eastAsia="zh-CN"/>
              </w:rPr>
              <w:t>6</w:t>
            </w:r>
          </w:p>
        </w:tc>
        <w:tc>
          <w:tcPr>
            <w:tcW w:w="2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0"/>
                <w:position w:val="1"/>
                <w:sz w:val="21"/>
                <w:szCs w:val="21"/>
              </w:rPr>
              <w:t>3</w:t>
            </w:r>
            <w:r>
              <w:rPr>
                <w:rFonts w:hint="default" w:ascii="Times New Roman" w:hAnsi="Times New Roman" w:eastAsia="仿宋_GB2312" w:cs="Times New Roman"/>
                <w:spacing w:val="5"/>
                <w:position w:val="1"/>
                <w:sz w:val="21"/>
                <w:szCs w:val="21"/>
              </w:rPr>
              <w:t>人×</w:t>
            </w:r>
            <w:r>
              <w:rPr>
                <w:rFonts w:hint="default" w:ascii="Times New Roman" w:hAnsi="Times New Roman" w:eastAsia="仿宋_GB2312" w:cs="Times New Roman"/>
                <w:spacing w:val="5"/>
                <w:position w:val="1"/>
                <w:sz w:val="21"/>
                <w:szCs w:val="21"/>
                <w:lang w:val="en-US" w:eastAsia="zh-CN"/>
              </w:rPr>
              <w:t>2</w:t>
            </w:r>
            <w:r>
              <w:rPr>
                <w:rFonts w:hint="default" w:ascii="Times New Roman" w:hAnsi="Times New Roman" w:eastAsia="仿宋_GB2312" w:cs="Times New Roman"/>
                <w:spacing w:val="5"/>
                <w:position w:val="1"/>
                <w:sz w:val="21"/>
                <w:szCs w:val="21"/>
              </w:rPr>
              <w:t>天/次×1次</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w:t>
            </w:r>
          </w:p>
        </w:tc>
        <w:tc>
          <w:tcPr>
            <w:tcW w:w="34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8"/>
                <w:sz w:val="21"/>
                <w:szCs w:val="21"/>
              </w:rPr>
              <w:t>水土流失定位监测</w:t>
            </w:r>
          </w:p>
        </w:tc>
        <w:tc>
          <w:tcPr>
            <w:tcW w:w="11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eastAsia" w:eastAsia="仿宋_GB2312" w:cs="Times New Roman"/>
                <w:spacing w:val="3"/>
                <w:sz w:val="21"/>
                <w:szCs w:val="21"/>
                <w:lang w:val="en-US" w:eastAsia="zh-CN"/>
              </w:rPr>
              <w:t>90</w:t>
            </w:r>
          </w:p>
        </w:tc>
        <w:tc>
          <w:tcPr>
            <w:tcW w:w="2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6"/>
                <w:position w:val="1"/>
                <w:sz w:val="21"/>
                <w:szCs w:val="21"/>
                <w:lang w:val="en-US" w:eastAsia="zh-CN"/>
              </w:rPr>
              <w:t>3</w:t>
            </w:r>
            <w:r>
              <w:rPr>
                <w:rFonts w:hint="default" w:ascii="Times New Roman" w:hAnsi="Times New Roman" w:eastAsia="仿宋_GB2312" w:cs="Times New Roman"/>
                <w:spacing w:val="6"/>
                <w:position w:val="1"/>
                <w:sz w:val="21"/>
                <w:szCs w:val="21"/>
              </w:rPr>
              <w:t>人×</w:t>
            </w:r>
            <w:r>
              <w:rPr>
                <w:rFonts w:hint="eastAsia" w:eastAsia="仿宋_GB2312" w:cs="Times New Roman"/>
                <w:spacing w:val="6"/>
                <w:position w:val="1"/>
                <w:sz w:val="21"/>
                <w:szCs w:val="21"/>
                <w:lang w:val="en-US" w:eastAsia="zh-CN"/>
              </w:rPr>
              <w:t>1</w:t>
            </w:r>
            <w:r>
              <w:rPr>
                <w:rFonts w:hint="default" w:ascii="Times New Roman" w:hAnsi="Times New Roman" w:eastAsia="仿宋_GB2312" w:cs="Times New Roman"/>
                <w:spacing w:val="6"/>
                <w:position w:val="1"/>
                <w:sz w:val="21"/>
                <w:szCs w:val="21"/>
              </w:rPr>
              <w:t>天/次×</w:t>
            </w:r>
            <w:r>
              <w:rPr>
                <w:rFonts w:hint="default" w:ascii="Times New Roman" w:hAnsi="Times New Roman" w:eastAsia="仿宋_GB2312" w:cs="Times New Roman"/>
                <w:spacing w:val="6"/>
                <w:position w:val="1"/>
                <w:sz w:val="21"/>
                <w:szCs w:val="21"/>
                <w:lang w:val="en-US" w:eastAsia="zh-CN"/>
              </w:rPr>
              <w:t>12次/年</w:t>
            </w:r>
            <w:r>
              <w:rPr>
                <w:rFonts w:hint="default" w:ascii="Times New Roman" w:hAnsi="Times New Roman" w:eastAsia="仿宋_GB2312" w:cs="Times New Roman"/>
                <w:spacing w:val="6"/>
                <w:position w:val="1"/>
                <w:sz w:val="21"/>
                <w:szCs w:val="21"/>
              </w:rPr>
              <w:t>×</w:t>
            </w:r>
            <w:r>
              <w:rPr>
                <w:rFonts w:hint="eastAsia" w:eastAsia="仿宋_GB2312" w:cs="Times New Roman"/>
                <w:spacing w:val="6"/>
                <w:position w:val="1"/>
                <w:sz w:val="21"/>
                <w:szCs w:val="21"/>
                <w:lang w:val="en-US" w:eastAsia="zh-CN"/>
              </w:rPr>
              <w:t>2.5</w:t>
            </w:r>
            <w:r>
              <w:rPr>
                <w:rFonts w:hint="default" w:ascii="Times New Roman" w:hAnsi="Times New Roman" w:eastAsia="仿宋_GB2312" w:cs="Times New Roman"/>
                <w:spacing w:val="6"/>
                <w:position w:val="1"/>
                <w:sz w:val="21"/>
                <w:szCs w:val="21"/>
                <w:lang w:val="en-US" w:eastAsia="zh-CN"/>
              </w:rPr>
              <w:t>年</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3</w:t>
            </w:r>
          </w:p>
        </w:tc>
        <w:tc>
          <w:tcPr>
            <w:tcW w:w="34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9"/>
                <w:sz w:val="21"/>
                <w:szCs w:val="21"/>
              </w:rPr>
              <w:t>自</w:t>
            </w:r>
            <w:r>
              <w:rPr>
                <w:rFonts w:hint="default" w:ascii="Times New Roman" w:hAnsi="Times New Roman" w:eastAsia="仿宋_GB2312" w:cs="Times New Roman"/>
                <w:spacing w:val="5"/>
                <w:sz w:val="21"/>
                <w:szCs w:val="21"/>
              </w:rPr>
              <w:t>然状况生态环境变化调查</w:t>
            </w:r>
          </w:p>
        </w:tc>
        <w:tc>
          <w:tcPr>
            <w:tcW w:w="11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eastAsia" w:eastAsia="仿宋_GB2312" w:cs="Times New Roman"/>
                <w:spacing w:val="3"/>
                <w:sz w:val="21"/>
                <w:szCs w:val="21"/>
                <w:lang w:val="en-US" w:eastAsia="zh-CN"/>
              </w:rPr>
              <w:t>45</w:t>
            </w:r>
          </w:p>
        </w:tc>
        <w:tc>
          <w:tcPr>
            <w:tcW w:w="2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position w:val="1"/>
                <w:sz w:val="21"/>
                <w:szCs w:val="21"/>
                <w:lang w:val="en-US" w:eastAsia="zh-CN"/>
              </w:rPr>
              <w:t>3</w:t>
            </w:r>
            <w:r>
              <w:rPr>
                <w:rFonts w:hint="default" w:ascii="Times New Roman" w:hAnsi="Times New Roman" w:eastAsia="仿宋_GB2312" w:cs="Times New Roman"/>
                <w:spacing w:val="6"/>
                <w:position w:val="1"/>
                <w:sz w:val="21"/>
                <w:szCs w:val="21"/>
              </w:rPr>
              <w:t>人×</w:t>
            </w:r>
            <w:r>
              <w:rPr>
                <w:rFonts w:hint="eastAsia" w:eastAsia="仿宋_GB2312" w:cs="Times New Roman"/>
                <w:spacing w:val="6"/>
                <w:position w:val="1"/>
                <w:sz w:val="21"/>
                <w:szCs w:val="21"/>
                <w:lang w:val="en-US" w:eastAsia="zh-CN"/>
              </w:rPr>
              <w:t>1</w:t>
            </w:r>
            <w:r>
              <w:rPr>
                <w:rFonts w:hint="default" w:ascii="Times New Roman" w:hAnsi="Times New Roman" w:eastAsia="仿宋_GB2312" w:cs="Times New Roman"/>
                <w:spacing w:val="6"/>
                <w:position w:val="1"/>
                <w:sz w:val="21"/>
                <w:szCs w:val="21"/>
              </w:rPr>
              <w:t>天/次×</w:t>
            </w:r>
            <w:r>
              <w:rPr>
                <w:rFonts w:hint="eastAsia" w:eastAsia="仿宋_GB2312" w:cs="Times New Roman"/>
                <w:spacing w:val="6"/>
                <w:position w:val="1"/>
                <w:sz w:val="21"/>
                <w:szCs w:val="21"/>
                <w:lang w:val="en-US" w:eastAsia="zh-CN"/>
              </w:rPr>
              <w:t>6</w:t>
            </w:r>
            <w:r>
              <w:rPr>
                <w:rFonts w:hint="default" w:ascii="Times New Roman" w:hAnsi="Times New Roman" w:eastAsia="仿宋_GB2312" w:cs="Times New Roman"/>
                <w:spacing w:val="6"/>
                <w:position w:val="1"/>
                <w:sz w:val="21"/>
                <w:szCs w:val="21"/>
                <w:lang w:val="en-US" w:eastAsia="zh-CN"/>
              </w:rPr>
              <w:t>次/年</w:t>
            </w:r>
            <w:r>
              <w:rPr>
                <w:rFonts w:hint="default" w:ascii="Times New Roman" w:hAnsi="Times New Roman" w:eastAsia="仿宋_GB2312" w:cs="Times New Roman"/>
                <w:spacing w:val="6"/>
                <w:position w:val="1"/>
                <w:sz w:val="21"/>
                <w:szCs w:val="21"/>
              </w:rPr>
              <w:t>×</w:t>
            </w:r>
            <w:r>
              <w:rPr>
                <w:rFonts w:hint="eastAsia" w:eastAsia="仿宋_GB2312" w:cs="Times New Roman"/>
                <w:spacing w:val="6"/>
                <w:position w:val="1"/>
                <w:sz w:val="21"/>
                <w:szCs w:val="21"/>
                <w:lang w:val="en-US" w:eastAsia="zh-CN"/>
              </w:rPr>
              <w:t>2.5</w:t>
            </w:r>
            <w:r>
              <w:rPr>
                <w:rFonts w:hint="default" w:ascii="Times New Roman" w:hAnsi="Times New Roman" w:eastAsia="仿宋_GB2312" w:cs="Times New Roman"/>
                <w:spacing w:val="6"/>
                <w:position w:val="1"/>
                <w:sz w:val="21"/>
                <w:szCs w:val="21"/>
                <w:lang w:val="en-US" w:eastAsia="zh-CN"/>
              </w:rPr>
              <w:t>年</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4</w:t>
            </w:r>
          </w:p>
        </w:tc>
        <w:tc>
          <w:tcPr>
            <w:tcW w:w="34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2"/>
                <w:sz w:val="21"/>
                <w:szCs w:val="21"/>
              </w:rPr>
              <w:t>水</w:t>
            </w:r>
            <w:r>
              <w:rPr>
                <w:rFonts w:hint="default" w:ascii="Times New Roman" w:hAnsi="Times New Roman" w:eastAsia="仿宋_GB2312" w:cs="Times New Roman"/>
                <w:spacing w:val="8"/>
                <w:sz w:val="21"/>
                <w:szCs w:val="21"/>
              </w:rPr>
              <w:t>土保持防护效果调查</w:t>
            </w:r>
          </w:p>
        </w:tc>
        <w:tc>
          <w:tcPr>
            <w:tcW w:w="11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eastAsia" w:eastAsia="仿宋_GB2312" w:cs="Times New Roman"/>
                <w:spacing w:val="1"/>
                <w:sz w:val="21"/>
                <w:szCs w:val="21"/>
                <w:lang w:val="en-US" w:eastAsia="zh-CN"/>
              </w:rPr>
              <w:t>45</w:t>
            </w:r>
          </w:p>
        </w:tc>
        <w:tc>
          <w:tcPr>
            <w:tcW w:w="2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6"/>
                <w:position w:val="1"/>
                <w:sz w:val="21"/>
                <w:szCs w:val="21"/>
                <w:lang w:val="en-US" w:eastAsia="zh-CN"/>
              </w:rPr>
              <w:t>3</w:t>
            </w:r>
            <w:r>
              <w:rPr>
                <w:rFonts w:hint="default" w:ascii="Times New Roman" w:hAnsi="Times New Roman" w:eastAsia="仿宋_GB2312" w:cs="Times New Roman"/>
                <w:spacing w:val="6"/>
                <w:position w:val="1"/>
                <w:sz w:val="21"/>
                <w:szCs w:val="21"/>
              </w:rPr>
              <w:t>人×</w:t>
            </w:r>
            <w:r>
              <w:rPr>
                <w:rFonts w:hint="eastAsia" w:eastAsia="仿宋_GB2312" w:cs="Times New Roman"/>
                <w:spacing w:val="6"/>
                <w:position w:val="1"/>
                <w:sz w:val="21"/>
                <w:szCs w:val="21"/>
                <w:lang w:val="en-US" w:eastAsia="zh-CN"/>
              </w:rPr>
              <w:t>1</w:t>
            </w:r>
            <w:r>
              <w:rPr>
                <w:rFonts w:hint="default" w:ascii="Times New Roman" w:hAnsi="Times New Roman" w:eastAsia="仿宋_GB2312" w:cs="Times New Roman"/>
                <w:spacing w:val="6"/>
                <w:position w:val="1"/>
                <w:sz w:val="21"/>
                <w:szCs w:val="21"/>
              </w:rPr>
              <w:t>天/次×</w:t>
            </w:r>
            <w:r>
              <w:rPr>
                <w:rFonts w:hint="eastAsia" w:eastAsia="仿宋_GB2312" w:cs="Times New Roman"/>
                <w:spacing w:val="6"/>
                <w:position w:val="1"/>
                <w:sz w:val="21"/>
                <w:szCs w:val="21"/>
                <w:lang w:val="en-US" w:eastAsia="zh-CN"/>
              </w:rPr>
              <w:t>6</w:t>
            </w:r>
            <w:r>
              <w:rPr>
                <w:rFonts w:hint="default" w:ascii="Times New Roman" w:hAnsi="Times New Roman" w:eastAsia="仿宋_GB2312" w:cs="Times New Roman"/>
                <w:spacing w:val="6"/>
                <w:position w:val="1"/>
                <w:sz w:val="21"/>
                <w:szCs w:val="21"/>
                <w:lang w:val="en-US" w:eastAsia="zh-CN"/>
              </w:rPr>
              <w:t>次/年</w:t>
            </w:r>
            <w:r>
              <w:rPr>
                <w:rFonts w:hint="default" w:ascii="Times New Roman" w:hAnsi="Times New Roman" w:eastAsia="仿宋_GB2312" w:cs="Times New Roman"/>
                <w:spacing w:val="6"/>
                <w:position w:val="1"/>
                <w:sz w:val="21"/>
                <w:szCs w:val="21"/>
              </w:rPr>
              <w:t>×</w:t>
            </w:r>
            <w:r>
              <w:rPr>
                <w:rFonts w:hint="eastAsia" w:eastAsia="仿宋_GB2312" w:cs="Times New Roman"/>
                <w:spacing w:val="6"/>
                <w:position w:val="1"/>
                <w:sz w:val="21"/>
                <w:szCs w:val="21"/>
                <w:lang w:val="en-US" w:eastAsia="zh-CN"/>
              </w:rPr>
              <w:t>2.5</w:t>
            </w:r>
            <w:r>
              <w:rPr>
                <w:rFonts w:hint="default" w:ascii="Times New Roman" w:hAnsi="Times New Roman" w:eastAsia="仿宋_GB2312" w:cs="Times New Roman"/>
                <w:spacing w:val="6"/>
                <w:position w:val="1"/>
                <w:sz w:val="21"/>
                <w:szCs w:val="21"/>
                <w:lang w:val="en-US" w:eastAsia="zh-CN"/>
              </w:rPr>
              <w:t>年</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二</w:t>
            </w:r>
          </w:p>
        </w:tc>
        <w:tc>
          <w:tcPr>
            <w:tcW w:w="34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内业</w:t>
            </w:r>
            <w:r>
              <w:rPr>
                <w:rFonts w:hint="default" w:ascii="Times New Roman" w:hAnsi="Times New Roman" w:eastAsia="仿宋_GB2312" w:cs="Times New Roman"/>
                <w:sz w:val="21"/>
                <w:szCs w:val="21"/>
              </w:rPr>
              <w:t>工作</w:t>
            </w:r>
          </w:p>
        </w:tc>
        <w:tc>
          <w:tcPr>
            <w:tcW w:w="11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3"/>
                <w:sz w:val="21"/>
                <w:szCs w:val="21"/>
                <w:lang w:val="en-US" w:eastAsia="zh-CN"/>
              </w:rPr>
              <w:t>79</w:t>
            </w:r>
          </w:p>
        </w:tc>
        <w:tc>
          <w:tcPr>
            <w:tcW w:w="2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c>
          <w:tcPr>
            <w:tcW w:w="34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8"/>
                <w:sz w:val="21"/>
                <w:szCs w:val="21"/>
              </w:rPr>
              <w:t>化</w:t>
            </w:r>
            <w:r>
              <w:rPr>
                <w:rFonts w:hint="default" w:ascii="Times New Roman" w:hAnsi="Times New Roman" w:eastAsia="仿宋_GB2312" w:cs="Times New Roman"/>
                <w:spacing w:val="5"/>
                <w:sz w:val="21"/>
                <w:szCs w:val="21"/>
              </w:rPr>
              <w:t>验分析</w:t>
            </w:r>
          </w:p>
        </w:tc>
        <w:tc>
          <w:tcPr>
            <w:tcW w:w="11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16</w:t>
            </w:r>
          </w:p>
        </w:tc>
        <w:tc>
          <w:tcPr>
            <w:tcW w:w="2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0"/>
                <w:position w:val="1"/>
                <w:sz w:val="21"/>
                <w:szCs w:val="21"/>
              </w:rPr>
              <w:t>2</w:t>
            </w:r>
            <w:r>
              <w:rPr>
                <w:rFonts w:hint="default" w:ascii="Times New Roman" w:hAnsi="Times New Roman" w:eastAsia="仿宋_GB2312" w:cs="Times New Roman"/>
                <w:spacing w:val="5"/>
                <w:position w:val="1"/>
                <w:sz w:val="21"/>
                <w:szCs w:val="21"/>
              </w:rPr>
              <w:t>人×</w:t>
            </w:r>
            <w:r>
              <w:rPr>
                <w:rFonts w:hint="default" w:ascii="Times New Roman" w:hAnsi="Times New Roman" w:eastAsia="仿宋_GB2312" w:cs="Times New Roman"/>
                <w:spacing w:val="5"/>
                <w:position w:val="1"/>
                <w:sz w:val="21"/>
                <w:szCs w:val="21"/>
                <w:lang w:val="en-US" w:eastAsia="zh-CN"/>
              </w:rPr>
              <w:t>2</w:t>
            </w:r>
            <w:r>
              <w:rPr>
                <w:rFonts w:hint="default" w:ascii="Times New Roman" w:hAnsi="Times New Roman" w:eastAsia="仿宋_GB2312" w:cs="Times New Roman"/>
                <w:spacing w:val="5"/>
                <w:position w:val="1"/>
                <w:sz w:val="21"/>
                <w:szCs w:val="21"/>
              </w:rPr>
              <w:t>天/次×</w:t>
            </w:r>
            <w:r>
              <w:rPr>
                <w:rFonts w:hint="default" w:ascii="Times New Roman" w:hAnsi="Times New Roman" w:eastAsia="仿宋_GB2312" w:cs="Times New Roman"/>
                <w:spacing w:val="5"/>
                <w:position w:val="1"/>
                <w:sz w:val="21"/>
                <w:szCs w:val="21"/>
                <w:lang w:val="en-US" w:eastAsia="zh-CN"/>
              </w:rPr>
              <w:t>4</w:t>
            </w:r>
            <w:r>
              <w:rPr>
                <w:rFonts w:hint="default" w:ascii="Times New Roman" w:hAnsi="Times New Roman" w:eastAsia="仿宋_GB2312" w:cs="Times New Roman"/>
                <w:spacing w:val="5"/>
                <w:position w:val="1"/>
                <w:sz w:val="21"/>
                <w:szCs w:val="21"/>
              </w:rPr>
              <w:t>次</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w:t>
            </w:r>
          </w:p>
        </w:tc>
        <w:tc>
          <w:tcPr>
            <w:tcW w:w="34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1"/>
                <w:sz w:val="21"/>
                <w:szCs w:val="21"/>
              </w:rPr>
              <w:t>资</w:t>
            </w:r>
            <w:r>
              <w:rPr>
                <w:rFonts w:hint="default" w:ascii="Times New Roman" w:hAnsi="Times New Roman" w:eastAsia="仿宋_GB2312" w:cs="Times New Roman"/>
                <w:spacing w:val="6"/>
                <w:sz w:val="21"/>
                <w:szCs w:val="21"/>
              </w:rPr>
              <w:t>料归纳整理分析</w:t>
            </w:r>
          </w:p>
        </w:tc>
        <w:tc>
          <w:tcPr>
            <w:tcW w:w="11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eastAsia" w:eastAsia="仿宋_GB2312" w:cs="Times New Roman"/>
                <w:sz w:val="21"/>
                <w:szCs w:val="21"/>
                <w:lang w:val="en-US" w:eastAsia="zh-CN"/>
              </w:rPr>
              <w:t>15</w:t>
            </w:r>
          </w:p>
        </w:tc>
        <w:tc>
          <w:tcPr>
            <w:tcW w:w="2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10"/>
                <w:position w:val="1"/>
                <w:sz w:val="21"/>
                <w:szCs w:val="21"/>
                <w:lang w:val="en-US" w:eastAsia="zh-CN"/>
              </w:rPr>
              <w:t>3</w:t>
            </w:r>
            <w:r>
              <w:rPr>
                <w:rFonts w:hint="default" w:ascii="Times New Roman" w:hAnsi="Times New Roman" w:eastAsia="仿宋_GB2312" w:cs="Times New Roman"/>
                <w:spacing w:val="5"/>
                <w:position w:val="1"/>
                <w:sz w:val="21"/>
                <w:szCs w:val="21"/>
              </w:rPr>
              <w:t>人×1天/次×</w:t>
            </w:r>
            <w:r>
              <w:rPr>
                <w:rFonts w:hint="default" w:ascii="Times New Roman" w:hAnsi="Times New Roman" w:eastAsia="仿宋_GB2312" w:cs="Times New Roman"/>
                <w:spacing w:val="5"/>
                <w:position w:val="1"/>
                <w:sz w:val="21"/>
                <w:szCs w:val="21"/>
                <w:lang w:val="en-US" w:eastAsia="zh-CN"/>
              </w:rPr>
              <w:t>2</w:t>
            </w:r>
            <w:r>
              <w:rPr>
                <w:rFonts w:hint="default" w:ascii="Times New Roman" w:hAnsi="Times New Roman" w:eastAsia="仿宋_GB2312" w:cs="Times New Roman"/>
                <w:spacing w:val="5"/>
                <w:position w:val="1"/>
                <w:sz w:val="21"/>
                <w:szCs w:val="21"/>
              </w:rPr>
              <w:t>次</w:t>
            </w:r>
            <w:r>
              <w:rPr>
                <w:rFonts w:hint="default" w:ascii="Times New Roman" w:hAnsi="Times New Roman" w:eastAsia="仿宋_GB2312" w:cs="Times New Roman"/>
                <w:spacing w:val="5"/>
                <w:position w:val="1"/>
                <w:sz w:val="21"/>
                <w:szCs w:val="21"/>
                <w:lang w:val="en-US" w:eastAsia="zh-CN"/>
              </w:rPr>
              <w:t>/年</w:t>
            </w:r>
            <w:r>
              <w:rPr>
                <w:rFonts w:hint="default" w:ascii="Times New Roman" w:hAnsi="Times New Roman" w:eastAsia="仿宋_GB2312" w:cs="Times New Roman"/>
                <w:spacing w:val="5"/>
                <w:position w:val="1"/>
                <w:sz w:val="21"/>
                <w:szCs w:val="21"/>
              </w:rPr>
              <w:t>×</w:t>
            </w:r>
            <w:r>
              <w:rPr>
                <w:rFonts w:hint="eastAsia" w:eastAsia="仿宋_GB2312" w:cs="Times New Roman"/>
                <w:spacing w:val="5"/>
                <w:position w:val="1"/>
                <w:sz w:val="21"/>
                <w:szCs w:val="21"/>
                <w:lang w:val="en-US" w:eastAsia="zh-CN"/>
              </w:rPr>
              <w:t>2.5</w:t>
            </w:r>
            <w:r>
              <w:rPr>
                <w:rFonts w:hint="default" w:ascii="Times New Roman" w:hAnsi="Times New Roman" w:eastAsia="仿宋_GB2312" w:cs="Times New Roman"/>
                <w:spacing w:val="5"/>
                <w:position w:val="1"/>
                <w:sz w:val="21"/>
                <w:szCs w:val="21"/>
                <w:lang w:val="en-US" w:eastAsia="zh-CN"/>
              </w:rPr>
              <w:t>年</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3</w:t>
            </w:r>
          </w:p>
        </w:tc>
        <w:tc>
          <w:tcPr>
            <w:tcW w:w="34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9"/>
                <w:sz w:val="21"/>
                <w:szCs w:val="21"/>
              </w:rPr>
              <w:t>水土保持监测设计与实施方案编制</w:t>
            </w:r>
          </w:p>
        </w:tc>
        <w:tc>
          <w:tcPr>
            <w:tcW w:w="11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6</w:t>
            </w:r>
          </w:p>
        </w:tc>
        <w:tc>
          <w:tcPr>
            <w:tcW w:w="2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6"/>
                <w:sz w:val="21"/>
                <w:szCs w:val="21"/>
                <w:lang w:val="en-US" w:eastAsia="zh-CN"/>
              </w:rPr>
              <w:t>3</w:t>
            </w:r>
            <w:r>
              <w:rPr>
                <w:rFonts w:hint="default" w:ascii="Times New Roman" w:hAnsi="Times New Roman" w:eastAsia="仿宋_GB2312" w:cs="Times New Roman"/>
                <w:spacing w:val="6"/>
                <w:sz w:val="21"/>
                <w:szCs w:val="21"/>
              </w:rPr>
              <w:t>人×</w:t>
            </w:r>
            <w:r>
              <w:rPr>
                <w:rFonts w:hint="default" w:ascii="Times New Roman" w:hAnsi="Times New Roman" w:eastAsia="仿宋_GB2312" w:cs="Times New Roman"/>
                <w:spacing w:val="6"/>
                <w:sz w:val="21"/>
                <w:szCs w:val="21"/>
                <w:lang w:val="en-US" w:eastAsia="zh-CN"/>
              </w:rPr>
              <w:t>2</w:t>
            </w:r>
            <w:r>
              <w:rPr>
                <w:rFonts w:hint="default" w:ascii="Times New Roman" w:hAnsi="Times New Roman" w:eastAsia="仿宋_GB2312" w:cs="Times New Roman"/>
                <w:spacing w:val="4"/>
                <w:sz w:val="21"/>
                <w:szCs w:val="21"/>
              </w:rPr>
              <w:t>天</w:t>
            </w:r>
            <w:r>
              <w:rPr>
                <w:rFonts w:hint="default" w:ascii="Times New Roman" w:hAnsi="Times New Roman" w:eastAsia="仿宋_GB2312" w:cs="Times New Roman"/>
                <w:spacing w:val="4"/>
                <w:sz w:val="21"/>
                <w:szCs w:val="21"/>
                <w:lang w:val="en-US" w:eastAsia="zh-CN"/>
              </w:rPr>
              <w:t>/次</w:t>
            </w:r>
            <w:r>
              <w:rPr>
                <w:rFonts w:hint="default" w:ascii="Times New Roman" w:hAnsi="Times New Roman" w:eastAsia="仿宋_GB2312" w:cs="Times New Roman"/>
                <w:spacing w:val="6"/>
                <w:sz w:val="21"/>
                <w:szCs w:val="21"/>
              </w:rPr>
              <w:t>×</w:t>
            </w:r>
            <w:r>
              <w:rPr>
                <w:rFonts w:hint="default" w:ascii="Times New Roman" w:hAnsi="Times New Roman" w:eastAsia="仿宋_GB2312" w:cs="Times New Roman"/>
                <w:spacing w:val="6"/>
                <w:sz w:val="21"/>
                <w:szCs w:val="21"/>
                <w:lang w:val="en-US" w:eastAsia="zh-CN"/>
              </w:rPr>
              <w:t>1次</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4</w:t>
            </w:r>
          </w:p>
        </w:tc>
        <w:tc>
          <w:tcPr>
            <w:tcW w:w="34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9"/>
                <w:sz w:val="21"/>
                <w:szCs w:val="21"/>
              </w:rPr>
              <w:t>季</w:t>
            </w:r>
            <w:r>
              <w:rPr>
                <w:rFonts w:hint="default" w:ascii="Times New Roman" w:hAnsi="Times New Roman" w:eastAsia="仿宋_GB2312" w:cs="Times New Roman"/>
                <w:spacing w:val="7"/>
                <w:sz w:val="21"/>
                <w:szCs w:val="21"/>
              </w:rPr>
              <w:t>度监测报告表</w:t>
            </w:r>
          </w:p>
        </w:tc>
        <w:tc>
          <w:tcPr>
            <w:tcW w:w="11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eastAsia="仿宋_GB2312" w:cs="Times New Roman"/>
                <w:spacing w:val="-8"/>
                <w:sz w:val="21"/>
                <w:szCs w:val="21"/>
                <w:lang w:eastAsia="zh-CN"/>
              </w:rPr>
              <w:t>3</w:t>
            </w:r>
            <w:r>
              <w:rPr>
                <w:rFonts w:hint="eastAsia" w:eastAsia="仿宋_GB2312" w:cs="Times New Roman"/>
                <w:spacing w:val="-8"/>
                <w:sz w:val="21"/>
                <w:szCs w:val="21"/>
                <w:lang w:val="en-US" w:eastAsia="zh-CN"/>
              </w:rPr>
              <w:t>0</w:t>
            </w:r>
          </w:p>
        </w:tc>
        <w:tc>
          <w:tcPr>
            <w:tcW w:w="2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position w:val="1"/>
                <w:sz w:val="21"/>
                <w:szCs w:val="21"/>
                <w:lang w:val="en-US" w:eastAsia="zh-CN"/>
              </w:rPr>
              <w:t>3</w:t>
            </w:r>
            <w:r>
              <w:rPr>
                <w:rFonts w:hint="default" w:ascii="Times New Roman" w:hAnsi="Times New Roman" w:eastAsia="仿宋_GB2312" w:cs="Times New Roman"/>
                <w:spacing w:val="6"/>
                <w:position w:val="1"/>
                <w:sz w:val="21"/>
                <w:szCs w:val="21"/>
              </w:rPr>
              <w:t>人×1天/季度×</w:t>
            </w:r>
            <w:r>
              <w:rPr>
                <w:rFonts w:hint="default" w:eastAsia="仿宋_GB2312" w:cs="Times New Roman"/>
                <w:spacing w:val="6"/>
                <w:position w:val="1"/>
                <w:sz w:val="21"/>
                <w:szCs w:val="21"/>
                <w:lang w:eastAsia="zh-CN"/>
              </w:rPr>
              <w:t>10</w:t>
            </w:r>
            <w:r>
              <w:rPr>
                <w:rFonts w:hint="default" w:ascii="Times New Roman" w:hAnsi="Times New Roman" w:eastAsia="仿宋_GB2312" w:cs="Times New Roman"/>
                <w:spacing w:val="6"/>
                <w:position w:val="1"/>
                <w:sz w:val="21"/>
                <w:szCs w:val="21"/>
              </w:rPr>
              <w:t>季度</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5</w:t>
            </w:r>
          </w:p>
        </w:tc>
        <w:tc>
          <w:tcPr>
            <w:tcW w:w="34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8"/>
                <w:sz w:val="21"/>
                <w:szCs w:val="21"/>
              </w:rPr>
              <w:t>监</w:t>
            </w:r>
            <w:r>
              <w:rPr>
                <w:rFonts w:hint="default" w:ascii="Times New Roman" w:hAnsi="Times New Roman" w:eastAsia="仿宋_GB2312" w:cs="Times New Roman"/>
                <w:spacing w:val="6"/>
                <w:sz w:val="21"/>
                <w:szCs w:val="21"/>
              </w:rPr>
              <w:t>测报告编制</w:t>
            </w:r>
          </w:p>
        </w:tc>
        <w:tc>
          <w:tcPr>
            <w:tcW w:w="11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val="en-US" w:eastAsia="zh-CN"/>
              </w:rPr>
              <w:t>6</w:t>
            </w:r>
          </w:p>
        </w:tc>
        <w:tc>
          <w:tcPr>
            <w:tcW w:w="2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6"/>
                <w:sz w:val="21"/>
                <w:szCs w:val="21"/>
                <w:lang w:val="en-US" w:eastAsia="zh-CN"/>
              </w:rPr>
              <w:t>3</w:t>
            </w:r>
            <w:r>
              <w:rPr>
                <w:rFonts w:hint="default" w:ascii="Times New Roman" w:hAnsi="Times New Roman" w:eastAsia="仿宋_GB2312" w:cs="Times New Roman"/>
                <w:spacing w:val="6"/>
                <w:sz w:val="21"/>
                <w:szCs w:val="21"/>
              </w:rPr>
              <w:t>人×</w:t>
            </w:r>
            <w:r>
              <w:rPr>
                <w:rFonts w:hint="default" w:ascii="Times New Roman" w:hAnsi="Times New Roman" w:eastAsia="仿宋_GB2312" w:cs="Times New Roman"/>
                <w:spacing w:val="6"/>
                <w:sz w:val="21"/>
                <w:szCs w:val="21"/>
                <w:lang w:val="en-US" w:eastAsia="zh-CN"/>
              </w:rPr>
              <w:t>2</w:t>
            </w:r>
            <w:r>
              <w:rPr>
                <w:rFonts w:hint="default" w:ascii="Times New Roman" w:hAnsi="Times New Roman" w:eastAsia="仿宋_GB2312" w:cs="Times New Roman"/>
                <w:spacing w:val="4"/>
                <w:sz w:val="21"/>
                <w:szCs w:val="21"/>
              </w:rPr>
              <w:t>天</w:t>
            </w:r>
            <w:r>
              <w:rPr>
                <w:rFonts w:hint="default" w:ascii="Times New Roman" w:hAnsi="Times New Roman" w:eastAsia="仿宋_GB2312" w:cs="Times New Roman"/>
                <w:spacing w:val="4"/>
                <w:sz w:val="21"/>
                <w:szCs w:val="21"/>
                <w:lang w:val="en-US" w:eastAsia="zh-CN"/>
              </w:rPr>
              <w:t>/次</w:t>
            </w:r>
            <w:r>
              <w:rPr>
                <w:rFonts w:hint="default" w:ascii="Times New Roman" w:hAnsi="Times New Roman" w:eastAsia="仿宋_GB2312" w:cs="Times New Roman"/>
                <w:spacing w:val="6"/>
                <w:sz w:val="21"/>
                <w:szCs w:val="21"/>
              </w:rPr>
              <w:t>×</w:t>
            </w:r>
            <w:r>
              <w:rPr>
                <w:rFonts w:hint="default" w:ascii="Times New Roman" w:hAnsi="Times New Roman" w:eastAsia="仿宋_GB2312" w:cs="Times New Roman"/>
                <w:spacing w:val="6"/>
                <w:sz w:val="21"/>
                <w:szCs w:val="21"/>
                <w:lang w:val="en-US" w:eastAsia="zh-CN"/>
              </w:rPr>
              <w:t>1次</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6</w:t>
            </w:r>
          </w:p>
        </w:tc>
        <w:tc>
          <w:tcPr>
            <w:tcW w:w="34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图件绘</w:t>
            </w:r>
            <w:r>
              <w:rPr>
                <w:rFonts w:hint="default" w:ascii="Times New Roman" w:hAnsi="Times New Roman" w:eastAsia="仿宋_GB2312" w:cs="Times New Roman"/>
                <w:sz w:val="21"/>
                <w:szCs w:val="21"/>
              </w:rPr>
              <w:t>制</w:t>
            </w:r>
          </w:p>
        </w:tc>
        <w:tc>
          <w:tcPr>
            <w:tcW w:w="11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pacing w:val="-8"/>
                <w:sz w:val="21"/>
                <w:szCs w:val="21"/>
                <w:lang w:val="en-US" w:eastAsia="zh-CN"/>
              </w:rPr>
              <w:t>6</w:t>
            </w:r>
          </w:p>
        </w:tc>
        <w:tc>
          <w:tcPr>
            <w:tcW w:w="2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lang w:val="en-US" w:eastAsia="zh-CN"/>
              </w:rPr>
              <w:t>3</w:t>
            </w:r>
            <w:r>
              <w:rPr>
                <w:rFonts w:hint="default" w:ascii="Times New Roman" w:hAnsi="Times New Roman" w:eastAsia="仿宋_GB2312" w:cs="Times New Roman"/>
                <w:spacing w:val="6"/>
                <w:sz w:val="21"/>
                <w:szCs w:val="21"/>
              </w:rPr>
              <w:t>人×</w:t>
            </w:r>
            <w:r>
              <w:rPr>
                <w:rFonts w:hint="default" w:ascii="Times New Roman" w:hAnsi="Times New Roman" w:eastAsia="仿宋_GB2312" w:cs="Times New Roman"/>
                <w:spacing w:val="6"/>
                <w:sz w:val="21"/>
                <w:szCs w:val="21"/>
                <w:lang w:val="en-US" w:eastAsia="zh-CN"/>
              </w:rPr>
              <w:t>2</w:t>
            </w:r>
            <w:r>
              <w:rPr>
                <w:rFonts w:hint="default" w:ascii="Times New Roman" w:hAnsi="Times New Roman" w:eastAsia="仿宋_GB2312" w:cs="Times New Roman"/>
                <w:spacing w:val="4"/>
                <w:sz w:val="21"/>
                <w:szCs w:val="21"/>
              </w:rPr>
              <w:t>天</w:t>
            </w:r>
            <w:r>
              <w:rPr>
                <w:rFonts w:hint="default" w:ascii="Times New Roman" w:hAnsi="Times New Roman" w:eastAsia="仿宋_GB2312" w:cs="Times New Roman"/>
                <w:spacing w:val="4"/>
                <w:sz w:val="21"/>
                <w:szCs w:val="21"/>
                <w:lang w:val="en-US" w:eastAsia="zh-CN"/>
              </w:rPr>
              <w:t>/次</w:t>
            </w:r>
            <w:r>
              <w:rPr>
                <w:rFonts w:hint="default" w:ascii="Times New Roman" w:hAnsi="Times New Roman" w:eastAsia="仿宋_GB2312" w:cs="Times New Roman"/>
                <w:spacing w:val="6"/>
                <w:sz w:val="21"/>
                <w:szCs w:val="21"/>
              </w:rPr>
              <w:t>×</w:t>
            </w:r>
            <w:r>
              <w:rPr>
                <w:rFonts w:hint="default" w:ascii="Times New Roman" w:hAnsi="Times New Roman" w:eastAsia="仿宋_GB2312" w:cs="Times New Roman"/>
                <w:spacing w:val="6"/>
                <w:sz w:val="21"/>
                <w:szCs w:val="21"/>
                <w:lang w:val="en-US" w:eastAsia="zh-CN"/>
              </w:rPr>
              <w:t>1次</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438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合计</w:t>
            </w:r>
          </w:p>
        </w:tc>
        <w:tc>
          <w:tcPr>
            <w:tcW w:w="11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eastAsia" w:eastAsia="仿宋_GB2312" w:cs="Times New Roman"/>
                <w:spacing w:val="-3"/>
                <w:sz w:val="21"/>
                <w:szCs w:val="21"/>
                <w:lang w:val="en-US" w:eastAsia="zh-CN"/>
              </w:rPr>
              <w:t>265</w:t>
            </w:r>
          </w:p>
        </w:tc>
        <w:tc>
          <w:tcPr>
            <w:tcW w:w="2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r>
    </w:tbl>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6.4.3监测成果</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监测成果应包括水土保持监测实施方案、监测报告、图件、数据表（册）、影像资料等。其中监测报告包括季度报告表、专项报告和总结报告；数据表（册）包括原始记录表和汇总分析表。</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（1）监测实施方案：在施工准备期之前进行现场查勘和调查，编制水土保持监测实施方案。</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（2）监测报告：包括季度报告表、专项报告和总结报告，监测期间应编制季度报告表、发生严重水土流失灾害事件时，应于发生事件一周后完成专项报告，监测工作完成后，编制监测总结报告。</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（3）图件：包含项目区地理位置图、扰动地表分布图、监测分区与监测点分布图、土壤侵蚀强度图、水土保持措施分布图。</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（4）数据表（册）；包含原始记录表和汇总分析表。</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（5）影像资料；包含监测过程中拍摄的反映水土流失动态变化及治理措施实施的照片、录像等。</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（6）监测成果应采用纸质和电子版形式保存，做好数据备份。</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6.4.4监测要求</w:t>
      </w:r>
    </w:p>
    <w:p>
      <w:pPr>
        <w:pageBreakBefore w:val="0"/>
        <w:kinsoku/>
        <w:wordWrap/>
        <w:bidi w:val="0"/>
        <w:spacing w:line="360" w:lineRule="auto"/>
        <w:ind w:firstLine="480" w:firstLineChars="200"/>
        <w:rPr>
          <w:rFonts w:hint="default" w:ascii="Times New Roman" w:hAnsi="Times New Roman" w:eastAsia="仿宋_GB2312" w:cs="Times New Roman"/>
          <w:sz w:val="24"/>
          <w:szCs w:val="28"/>
          <w:highlight w:val="none"/>
        </w:rPr>
      </w:pPr>
      <w:bookmarkStart w:id="407" w:name="_6.6_监测管理"/>
      <w:bookmarkEnd w:id="407"/>
      <w:r>
        <w:rPr>
          <w:rFonts w:hint="default" w:ascii="Times New Roman" w:hAnsi="Times New Roman" w:eastAsia="仿宋_GB2312" w:cs="Times New Roman"/>
          <w:sz w:val="24"/>
          <w:szCs w:val="28"/>
          <w:highlight w:val="none"/>
        </w:rPr>
        <w:t>（1）</w:t>
      </w:r>
      <w:r>
        <w:rPr>
          <w:rFonts w:hint="default" w:ascii="Times New Roman" w:hAnsi="Times New Roman" w:eastAsia="仿宋_GB2312" w:cs="Times New Roman"/>
          <w:sz w:val="24"/>
          <w:szCs w:val="28"/>
          <w:highlight w:val="none"/>
          <w:lang w:eastAsia="zh-CN"/>
        </w:rPr>
        <w:t>本期项目</w:t>
      </w:r>
      <w:r>
        <w:rPr>
          <w:rFonts w:hint="default" w:ascii="Times New Roman" w:hAnsi="Times New Roman" w:eastAsia="仿宋_GB2312" w:cs="Times New Roman"/>
          <w:sz w:val="24"/>
          <w:szCs w:val="28"/>
          <w:highlight w:val="none"/>
        </w:rPr>
        <w:t>可自行开展水土保持监测或委托水土保持监测单位对该工程水土保持工程的施工期进行水土保持监测。</w:t>
      </w:r>
      <w:r>
        <w:rPr>
          <w:rFonts w:hint="default" w:ascii="Times New Roman" w:hAnsi="Times New Roman" w:eastAsia="仿宋_GB2312" w:cs="Times New Roman"/>
          <w:sz w:val="24"/>
          <w:highlight w:val="none"/>
        </w:rPr>
        <w:t>监测单位要根据《水利部办公厅关于印发〈生产建设项目水土保持监测规程（试行）〉的通知》（办水保〔2015〕139号）</w:t>
      </w:r>
      <w:r>
        <w:rPr>
          <w:rFonts w:hint="default" w:ascii="Times New Roman" w:hAnsi="Times New Roman" w:eastAsia="仿宋_GB2312" w:cs="Times New Roman"/>
          <w:sz w:val="24"/>
          <w:szCs w:val="28"/>
          <w:highlight w:val="none"/>
        </w:rPr>
        <w:t>，报水行政管理部门备案，确认可行后按方案实施监测。</w:t>
      </w:r>
    </w:p>
    <w:p>
      <w:pPr>
        <w:pageBreakBefore w:val="0"/>
        <w:kinsoku/>
        <w:wordWrap/>
        <w:bidi w:val="0"/>
        <w:spacing w:line="360" w:lineRule="auto"/>
        <w:ind w:firstLine="480" w:firstLineChars="200"/>
        <w:rPr>
          <w:rFonts w:hint="default"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t>（2）每次监测前，需对监测仪器、设备进行检验，合格后方可投入使用。</w:t>
      </w:r>
    </w:p>
    <w:p>
      <w:pPr>
        <w:pageBreakBefore w:val="0"/>
        <w:kinsoku/>
        <w:wordWrap/>
        <w:bidi w:val="0"/>
        <w:spacing w:line="360" w:lineRule="auto"/>
        <w:ind w:firstLine="480" w:firstLineChars="200"/>
        <w:rPr>
          <w:rFonts w:hint="default"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t>（3）监测时需拍摄影像资料，并编写监测记录表。影响资料包括照片集和影音资料。</w:t>
      </w:r>
    </w:p>
    <w:p>
      <w:pPr>
        <w:pageBreakBefore w:val="0"/>
        <w:kinsoku/>
        <w:wordWrap/>
        <w:bidi w:val="0"/>
        <w:spacing w:line="360" w:lineRule="auto"/>
        <w:ind w:firstLine="480" w:firstLineChars="200"/>
        <w:rPr>
          <w:rFonts w:hint="default"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t>（4）对每次监测结果进行统计对比分析，做出简要分析与评价；若发现异常情况，应立即通知业主与当地水土保持行政主管部门。</w:t>
      </w:r>
    </w:p>
    <w:p>
      <w:pPr>
        <w:pageBreakBefore w:val="0"/>
        <w:kinsoku/>
        <w:wordWrap/>
        <w:bidi w:val="0"/>
        <w:spacing w:line="360" w:lineRule="auto"/>
        <w:ind w:firstLine="480" w:firstLineChars="200"/>
        <w:rPr>
          <w:rFonts w:hint="default"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t>（5）及时对监测资料整理，每季度对监测结果进行统计与分析，编写季度监测报告表；监测工作全部结束后，对监测结果做出综合评价与分析，3个月内编写水土保持监测总结报告。建设单位将监测单位编制的监测实施方案、季度监测报告表、监测总结报告，在监测季报和总结报告等监测成果中提出“绿黄红”三色评价结论，及时报送当地水行政主管部门及相关的监测机构审核。</w:t>
      </w:r>
    </w:p>
    <w:p>
      <w:pPr>
        <w:pageBreakBefore w:val="0"/>
        <w:kinsoku/>
        <w:wordWrap/>
        <w:bidi w:val="0"/>
        <w:spacing w:line="360" w:lineRule="auto"/>
        <w:ind w:firstLine="480" w:firstLineChars="200"/>
        <w:rPr>
          <w:rFonts w:hint="default"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t>（6）监测单位应当在每季度第1个月向水行政主管部门报送上季度的监测季报。监测成果经水行政主管部门成果达到标准要求后，可作为工程完工验收的依据。</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szCs w:val="28"/>
          <w:highlight w:val="none"/>
        </w:rPr>
        <w:t>（7）监测单位</w:t>
      </w:r>
      <w:r>
        <w:rPr>
          <w:rFonts w:hint="eastAsia" w:eastAsia="仿宋_GB2312" w:cs="Times New Roman"/>
          <w:sz w:val="24"/>
          <w:szCs w:val="28"/>
          <w:highlight w:val="none"/>
          <w:lang w:val="en-US" w:eastAsia="zh-CN"/>
        </w:rPr>
        <w:t>应当严格按规定开展监测工作，强化行业自律，自觉遵守信用管理规定，对其技术成果负责并承担相应责任，要主动</w:t>
      </w:r>
      <w:r>
        <w:rPr>
          <w:rFonts w:hint="default" w:ascii="Times New Roman" w:hAnsi="Times New Roman" w:eastAsia="仿宋_GB2312" w:cs="Times New Roman"/>
          <w:sz w:val="24"/>
          <w:szCs w:val="28"/>
          <w:highlight w:val="none"/>
        </w:rPr>
        <w:t>接受</w:t>
      </w:r>
      <w:r>
        <w:rPr>
          <w:rFonts w:hint="eastAsia" w:eastAsia="仿宋_GB2312" w:cs="Times New Roman"/>
          <w:sz w:val="24"/>
          <w:szCs w:val="28"/>
          <w:highlight w:val="none"/>
          <w:lang w:eastAsia="zh-CN"/>
        </w:rPr>
        <w:t>、</w:t>
      </w:r>
      <w:r>
        <w:rPr>
          <w:rFonts w:hint="eastAsia" w:eastAsia="仿宋_GB2312" w:cs="Times New Roman"/>
          <w:sz w:val="24"/>
          <w:szCs w:val="28"/>
          <w:highlight w:val="none"/>
          <w:lang w:val="en-US" w:eastAsia="zh-CN"/>
        </w:rPr>
        <w:t>积极配合</w:t>
      </w:r>
      <w:r>
        <w:rPr>
          <w:rFonts w:hint="default" w:ascii="Times New Roman" w:hAnsi="Times New Roman" w:eastAsia="仿宋_GB2312" w:cs="Times New Roman"/>
          <w:sz w:val="24"/>
          <w:szCs w:val="28"/>
          <w:highlight w:val="none"/>
        </w:rPr>
        <w:t>水行政主管部门的监督检查。</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水土保持监测流程见图6-1。</w:t>
      </w:r>
    </w:p>
    <w:p>
      <w:pPr>
        <w:pStyle w:val="153"/>
        <w:pageBreakBefore w:val="0"/>
        <w:kinsoku/>
        <w:wordWrap/>
        <w:bidi w:val="0"/>
        <w:ind w:left="0" w:leftChars="0" w:firstLine="0" w:firstLineChars="0"/>
        <w:rPr>
          <w:rFonts w:hint="default" w:ascii="Times New Roman" w:hAnsi="Times New Roman" w:cs="Times New Roman"/>
        </w:rPr>
      </w:pPr>
    </w:p>
    <w:p>
      <w:pPr>
        <w:pageBreakBefore w:val="0"/>
        <w:kinsoku/>
        <w:wordWrap/>
        <w:bidi w:val="0"/>
        <w:rPr>
          <w:rFonts w:hint="default" w:ascii="Times New Roman" w:hAnsi="Times New Roman" w:eastAsia="仿宋_GB2312" w:cs="Times New Roman"/>
          <w:sz w:val="28"/>
          <w:szCs w:val="28"/>
          <w:highlight w:val="none"/>
        </w:rPr>
        <w:sectPr>
          <w:headerReference r:id="rId22" w:type="default"/>
          <w:footerReference r:id="rId23" w:type="default"/>
          <w:type w:val="nextColumn"/>
          <w:pgSz w:w="11906" w:h="16838"/>
          <w:pgMar w:top="1440" w:right="1701"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bookmarkStart w:id="408" w:name="_7_投资估算及效益分析"/>
      <w:bookmarkEnd w:id="408"/>
      <w:r>
        <w:rPr>
          <w:rFonts w:hint="default" w:ascii="Times New Roman" w:hAnsi="Times New Roman" w:eastAsia="仿宋_GB2312" w:cs="Times New Roman"/>
          <w:highlight w:val="none"/>
        </w:rPr>
        <mc:AlternateContent>
          <mc:Choice Requires="wpc">
            <w:drawing>
              <wp:inline distT="0" distB="0" distL="114300" distR="114300">
                <wp:extent cx="5330190" cy="8290560"/>
                <wp:effectExtent l="4445" t="0" r="18415" b="15240"/>
                <wp:docPr id="219" name="画布 2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5" name="文本框 157"/>
                        <wps:cNvSpPr txBox="1"/>
                        <wps:spPr>
                          <a:xfrm>
                            <a:off x="1933575" y="66675"/>
                            <a:ext cx="1838325"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rPr>
                              </w:pPr>
                              <w:r>
                                <w:rPr>
                                  <w:rFonts w:hint="eastAsia" w:ascii="仿宋_GB2312" w:hAnsi="仿宋" w:eastAsia="仿宋_GB2312"/>
                                  <w:szCs w:val="21"/>
                                </w:rPr>
                                <w:t>背景值调查、收集资料</w:t>
                              </w:r>
                            </w:p>
                          </w:txbxContent>
                        </wps:txbx>
                        <wps:bodyPr upright="1"/>
                      </wps:wsp>
                      <wps:wsp>
                        <wps:cNvPr id="106" name="文本框 158"/>
                        <wps:cNvSpPr txBox="1"/>
                        <wps:spPr>
                          <a:xfrm>
                            <a:off x="1933575" y="590550"/>
                            <a:ext cx="1838325"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rPr>
                              </w:pPr>
                              <w:r>
                                <w:rPr>
                                  <w:rFonts w:hint="eastAsia" w:ascii="仿宋_GB2312" w:hAnsi="仿宋" w:eastAsia="仿宋_GB2312"/>
                                  <w:szCs w:val="21"/>
                                </w:rPr>
                                <w:t>编制监测设施方案</w:t>
                              </w:r>
                            </w:p>
                          </w:txbxContent>
                        </wps:txbx>
                        <wps:bodyPr upright="1"/>
                      </wps:wsp>
                      <wps:wsp>
                        <wps:cNvPr id="159" name="文本框 159"/>
                        <wps:cNvSpPr txBox="1"/>
                        <wps:spPr>
                          <a:xfrm>
                            <a:off x="1924050" y="1114425"/>
                            <a:ext cx="1847850"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szCs w:val="21"/>
                                </w:rPr>
                              </w:pPr>
                              <w:r>
                                <w:rPr>
                                  <w:rFonts w:hint="eastAsia" w:ascii="仿宋_GB2312" w:hAnsi="仿宋" w:eastAsia="仿宋_GB2312"/>
                                  <w:szCs w:val="21"/>
                                </w:rPr>
                                <w:t>准备监测设备、仪器、工具</w:t>
                              </w:r>
                            </w:p>
                          </w:txbxContent>
                        </wps:txbx>
                        <wps:bodyPr upright="1"/>
                      </wps:wsp>
                      <wps:wsp>
                        <wps:cNvPr id="107" name="文本框 160"/>
                        <wps:cNvSpPr txBox="1"/>
                        <wps:spPr>
                          <a:xfrm>
                            <a:off x="1924050" y="1657350"/>
                            <a:ext cx="1847850"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szCs w:val="21"/>
                                </w:rPr>
                              </w:pPr>
                              <w:r>
                                <w:rPr>
                                  <w:rFonts w:hint="eastAsia" w:ascii="仿宋_GB2312" w:hAnsi="仿宋" w:eastAsia="仿宋_GB2312"/>
                                  <w:szCs w:val="21"/>
                                </w:rPr>
                                <w:t>现场布设</w:t>
                              </w:r>
                            </w:p>
                          </w:txbxContent>
                        </wps:txbx>
                        <wps:bodyPr upright="1"/>
                      </wps:wsp>
                      <wps:wsp>
                        <wps:cNvPr id="161" name="文本框 161"/>
                        <wps:cNvSpPr txBox="1"/>
                        <wps:spPr>
                          <a:xfrm>
                            <a:off x="4067175" y="1684020"/>
                            <a:ext cx="971550"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szCs w:val="21"/>
                                </w:rPr>
                              </w:pPr>
                              <w:r>
                                <w:rPr>
                                  <w:rFonts w:hint="eastAsia" w:ascii="仿宋_GB2312" w:hAnsi="仿宋" w:eastAsia="仿宋_GB2312"/>
                                  <w:szCs w:val="21"/>
                                </w:rPr>
                                <w:t>调查监测</w:t>
                              </w:r>
                            </w:p>
                          </w:txbxContent>
                        </wps:txbx>
                        <wps:bodyPr upright="1"/>
                      </wps:wsp>
                      <wps:wsp>
                        <wps:cNvPr id="162" name="文本框 162"/>
                        <wps:cNvSpPr txBox="1"/>
                        <wps:spPr>
                          <a:xfrm>
                            <a:off x="476250" y="1657350"/>
                            <a:ext cx="1095375"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rPr>
                              </w:pPr>
                              <w:r>
                                <w:rPr>
                                  <w:rFonts w:hint="eastAsia" w:ascii="仿宋_GB2312" w:hAnsi="仿宋" w:eastAsia="仿宋_GB2312"/>
                                  <w:szCs w:val="21"/>
                                </w:rPr>
                                <w:t>地面定点观</w:t>
                              </w:r>
                              <w:r>
                                <w:rPr>
                                  <w:rFonts w:hint="eastAsia" w:ascii="仿宋_GB2312" w:hAnsi="仿宋" w:eastAsia="仿宋_GB2312"/>
                                </w:rPr>
                                <w:t>测</w:t>
                              </w:r>
                            </w:p>
                          </w:txbxContent>
                        </wps:txbx>
                        <wps:bodyPr upright="1"/>
                      </wps:wsp>
                      <wps:wsp>
                        <wps:cNvPr id="108" name="文本框 163"/>
                        <wps:cNvSpPr txBox="1"/>
                        <wps:spPr>
                          <a:xfrm>
                            <a:off x="476250" y="2143125"/>
                            <a:ext cx="1095375"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rPr>
                              </w:pPr>
                              <w:r>
                                <w:rPr>
                                  <w:rFonts w:hint="eastAsia" w:ascii="仿宋_GB2312" w:hAnsi="仿宋" w:eastAsia="仿宋_GB2312"/>
                                  <w:szCs w:val="21"/>
                                </w:rPr>
                                <w:t>布设定点观</w:t>
                              </w:r>
                              <w:r>
                                <w:rPr>
                                  <w:rFonts w:hint="eastAsia" w:ascii="仿宋_GB2312" w:hAnsi="仿宋" w:eastAsia="仿宋_GB2312"/>
                                </w:rPr>
                                <w:t>测</w:t>
                              </w:r>
                            </w:p>
                          </w:txbxContent>
                        </wps:txbx>
                        <wps:bodyPr upright="1"/>
                      </wps:wsp>
                      <wps:wsp>
                        <wps:cNvPr id="164" name="文本框 164"/>
                        <wps:cNvSpPr txBox="1"/>
                        <wps:spPr>
                          <a:xfrm>
                            <a:off x="2933700" y="2080260"/>
                            <a:ext cx="2200275"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rPr>
                              </w:pPr>
                              <w:r>
                                <w:rPr>
                                  <w:rFonts w:hint="eastAsia" w:ascii="仿宋_GB2312" w:hAnsi="仿宋" w:eastAsia="仿宋_GB2312"/>
                                  <w:szCs w:val="21"/>
                                </w:rPr>
                                <w:t>普查、抽样调查、巡查、样方</w:t>
                              </w:r>
                              <w:r>
                                <w:rPr>
                                  <w:rFonts w:hint="eastAsia" w:ascii="仿宋_GB2312" w:hAnsi="仿宋" w:eastAsia="仿宋_GB2312"/>
                                </w:rPr>
                                <w:t>调查</w:t>
                              </w:r>
                            </w:p>
                          </w:txbxContent>
                        </wps:txbx>
                        <wps:bodyPr upright="1"/>
                      </wps:wsp>
                      <wps:wsp>
                        <wps:cNvPr id="109" name="文本框 165"/>
                        <wps:cNvSpPr txBox="1"/>
                        <wps:spPr>
                          <a:xfrm>
                            <a:off x="1924050" y="2828925"/>
                            <a:ext cx="1847850"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szCs w:val="21"/>
                                </w:rPr>
                              </w:pPr>
                              <w:r>
                                <w:rPr>
                                  <w:rFonts w:hint="eastAsia" w:ascii="仿宋_GB2312" w:hAnsi="仿宋" w:eastAsia="仿宋_GB2312"/>
                                  <w:szCs w:val="21"/>
                                </w:rPr>
                                <w:t>实施监测</w:t>
                              </w:r>
                            </w:p>
                          </w:txbxContent>
                        </wps:txbx>
                        <wps:bodyPr upright="1"/>
                      </wps:wsp>
                      <wps:wsp>
                        <wps:cNvPr id="166" name="文本框 166"/>
                        <wps:cNvSpPr txBox="1"/>
                        <wps:spPr>
                          <a:xfrm>
                            <a:off x="44450" y="3562350"/>
                            <a:ext cx="735330" cy="3981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00" w:lineRule="exact"/>
                                <w:jc w:val="center"/>
                                <w:rPr>
                                  <w:rFonts w:ascii="仿宋_GB2312" w:hAnsi="仿宋" w:eastAsia="仿宋_GB2312"/>
                                  <w:sz w:val="18"/>
                                  <w:szCs w:val="21"/>
                                </w:rPr>
                              </w:pPr>
                              <w:r>
                                <w:rPr>
                                  <w:rFonts w:hint="eastAsia" w:ascii="仿宋_GB2312" w:hAnsi="仿宋" w:eastAsia="仿宋_GB2312"/>
                                  <w:sz w:val="18"/>
                                  <w:szCs w:val="21"/>
                                </w:rPr>
                                <w:t>水土流失影响因素监测</w:t>
                              </w:r>
                            </w:p>
                          </w:txbxContent>
                        </wps:txbx>
                        <wps:bodyPr lIns="18000" tIns="0" rIns="18000" bIns="0" upright="1"/>
                      </wps:wsp>
                      <wps:wsp>
                        <wps:cNvPr id="167" name="文本框 167"/>
                        <wps:cNvSpPr txBox="1"/>
                        <wps:spPr>
                          <a:xfrm>
                            <a:off x="1876425" y="4629150"/>
                            <a:ext cx="1847850"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szCs w:val="21"/>
                                </w:rPr>
                              </w:pPr>
                              <w:r>
                                <w:rPr>
                                  <w:rFonts w:hint="eastAsia" w:ascii="仿宋_GB2312" w:hAnsi="仿宋" w:eastAsia="仿宋_GB2312"/>
                                  <w:szCs w:val="21"/>
                                </w:rPr>
                                <w:t>监测资料整理、汇总分析</w:t>
                              </w:r>
                            </w:p>
                          </w:txbxContent>
                        </wps:txbx>
                        <wps:bodyPr upright="1"/>
                      </wps:wsp>
                      <wps:wsp>
                        <wps:cNvPr id="110" name="文本框 168"/>
                        <wps:cNvSpPr txBox="1"/>
                        <wps:spPr>
                          <a:xfrm>
                            <a:off x="1876425" y="5143500"/>
                            <a:ext cx="1847850"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color w:val="0070C0"/>
                                  <w:szCs w:val="21"/>
                                </w:rPr>
                              </w:pPr>
                              <w:r>
                                <w:rPr>
                                  <w:rFonts w:hint="eastAsia" w:ascii="仿宋_GB2312" w:hAnsi="仿宋" w:eastAsia="仿宋_GB2312"/>
                                  <w:szCs w:val="21"/>
                                </w:rPr>
                                <w:t>监测季度及年度报告</w:t>
                              </w:r>
                            </w:p>
                          </w:txbxContent>
                        </wps:txbx>
                        <wps:bodyPr upright="1"/>
                      </wps:wsp>
                      <wps:wsp>
                        <wps:cNvPr id="169" name="文本框 169"/>
                        <wps:cNvSpPr txBox="1"/>
                        <wps:spPr>
                          <a:xfrm>
                            <a:off x="1876425" y="5686425"/>
                            <a:ext cx="1847850"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szCs w:val="21"/>
                                </w:rPr>
                              </w:pPr>
                              <w:r>
                                <w:rPr>
                                  <w:rFonts w:hint="eastAsia" w:ascii="仿宋_GB2312" w:hAnsi="仿宋" w:eastAsia="仿宋_GB2312"/>
                                  <w:szCs w:val="21"/>
                                </w:rPr>
                                <w:t>监测成果汇总与评价</w:t>
                              </w:r>
                            </w:p>
                          </w:txbxContent>
                        </wps:txbx>
                        <wps:bodyPr upright="1"/>
                      </wps:wsp>
                      <wps:wsp>
                        <wps:cNvPr id="111" name="文本框 170"/>
                        <wps:cNvSpPr txBox="1"/>
                        <wps:spPr>
                          <a:xfrm>
                            <a:off x="2000250" y="6448425"/>
                            <a:ext cx="895350"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rPr>
                              </w:pPr>
                              <w:r>
                                <w:rPr>
                                  <w:rFonts w:hint="eastAsia" w:ascii="仿宋_GB2312" w:hAnsi="仿宋" w:eastAsia="仿宋_GB2312"/>
                                  <w:szCs w:val="21"/>
                                </w:rPr>
                                <w:t>监测记录</w:t>
                              </w:r>
                              <w:r>
                                <w:rPr>
                                  <w:rFonts w:hint="eastAsia" w:ascii="仿宋_GB2312" w:hAnsi="仿宋" w:eastAsia="仿宋_GB2312"/>
                                </w:rPr>
                                <w:t>表</w:t>
                              </w:r>
                            </w:p>
                          </w:txbxContent>
                        </wps:txbx>
                        <wps:bodyPr upright="1"/>
                      </wps:wsp>
                      <wps:wsp>
                        <wps:cNvPr id="137" name="文本框 171"/>
                        <wps:cNvSpPr txBox="1"/>
                        <wps:spPr>
                          <a:xfrm>
                            <a:off x="2952750" y="6448425"/>
                            <a:ext cx="1019175"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rPr>
                              </w:pPr>
                              <w:r>
                                <w:rPr>
                                  <w:rFonts w:hint="eastAsia" w:ascii="仿宋_GB2312" w:hAnsi="仿宋" w:eastAsia="仿宋_GB2312"/>
                                  <w:szCs w:val="21"/>
                                </w:rPr>
                                <w:t>监测影像资</w:t>
                              </w:r>
                              <w:r>
                                <w:rPr>
                                  <w:rFonts w:hint="eastAsia" w:ascii="仿宋_GB2312" w:hAnsi="仿宋" w:eastAsia="仿宋_GB2312"/>
                                </w:rPr>
                                <w:t>料</w:t>
                              </w:r>
                            </w:p>
                          </w:txbxContent>
                        </wps:txbx>
                        <wps:bodyPr upright="1"/>
                      </wps:wsp>
                      <wps:wsp>
                        <wps:cNvPr id="172" name="文本框 172"/>
                        <wps:cNvSpPr txBox="1"/>
                        <wps:spPr>
                          <a:xfrm>
                            <a:off x="4029075" y="6448425"/>
                            <a:ext cx="1171575"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szCs w:val="21"/>
                                </w:rPr>
                              </w:pPr>
                              <w:r>
                                <w:rPr>
                                  <w:rFonts w:hint="eastAsia" w:ascii="仿宋_GB2312" w:hAnsi="仿宋" w:eastAsia="仿宋_GB2312"/>
                                  <w:szCs w:val="21"/>
                                </w:rPr>
                                <w:t>监测汇报材料</w:t>
                              </w:r>
                            </w:p>
                          </w:txbxContent>
                        </wps:txbx>
                        <wps:bodyPr upright="1"/>
                      </wps:wsp>
                      <wps:wsp>
                        <wps:cNvPr id="173" name="文本框 173"/>
                        <wps:cNvSpPr txBox="1"/>
                        <wps:spPr>
                          <a:xfrm>
                            <a:off x="0" y="6448425"/>
                            <a:ext cx="1943100"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rPr>
                              </w:pPr>
                              <w:r>
                                <w:rPr>
                                  <w:rFonts w:hint="eastAsia" w:ascii="仿宋_GB2312" w:hAnsi="仿宋" w:eastAsia="仿宋_GB2312"/>
                                  <w:szCs w:val="21"/>
                                </w:rPr>
                                <w:t>编写监测总结报告及相关图</w:t>
                              </w:r>
                              <w:r>
                                <w:rPr>
                                  <w:rFonts w:hint="eastAsia" w:ascii="仿宋_GB2312" w:hAnsi="仿宋" w:eastAsia="仿宋_GB2312"/>
                                </w:rPr>
                                <w:t>件</w:t>
                              </w:r>
                            </w:p>
                          </w:txbxContent>
                        </wps:txbx>
                        <wps:bodyPr upright="1"/>
                      </wps:wsp>
                      <wps:wsp>
                        <wps:cNvPr id="174" name="文本框 174"/>
                        <wps:cNvSpPr txBox="1"/>
                        <wps:spPr>
                          <a:xfrm>
                            <a:off x="1809750" y="7019925"/>
                            <a:ext cx="1847850"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rPr>
                              </w:pPr>
                              <w:r>
                                <w:rPr>
                                  <w:rFonts w:hint="eastAsia" w:ascii="仿宋_GB2312" w:hAnsi="仿宋" w:eastAsia="仿宋_GB2312"/>
                                  <w:szCs w:val="21"/>
                                </w:rPr>
                                <w:t>提交监测成果</w:t>
                              </w:r>
                            </w:p>
                          </w:txbxContent>
                        </wps:txbx>
                        <wps:bodyPr upright="1"/>
                      </wps:wsp>
                      <wps:wsp>
                        <wps:cNvPr id="175" name="文本框 175"/>
                        <wps:cNvSpPr txBox="1"/>
                        <wps:spPr>
                          <a:xfrm>
                            <a:off x="1809750" y="7553325"/>
                            <a:ext cx="971550"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rPr>
                              </w:pPr>
                              <w:r>
                                <w:rPr>
                                  <w:rFonts w:hint="eastAsia" w:ascii="仿宋_GB2312" w:hAnsi="仿宋" w:eastAsia="仿宋_GB2312"/>
                                  <w:szCs w:val="21"/>
                                </w:rPr>
                                <w:t>备案</w:t>
                              </w:r>
                            </w:p>
                          </w:txbxContent>
                        </wps:txbx>
                        <wps:bodyPr upright="1"/>
                      </wps:wsp>
                      <wps:wsp>
                        <wps:cNvPr id="176" name="文本框 176"/>
                        <wps:cNvSpPr txBox="1"/>
                        <wps:spPr>
                          <a:xfrm>
                            <a:off x="3257550" y="7553325"/>
                            <a:ext cx="1114425"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 w:eastAsia="仿宋_GB2312"/>
                                </w:rPr>
                              </w:pPr>
                              <w:r>
                                <w:rPr>
                                  <w:rFonts w:hint="eastAsia" w:ascii="仿宋_GB2312" w:hAnsi="仿宋" w:eastAsia="仿宋_GB2312"/>
                                  <w:szCs w:val="21"/>
                                </w:rPr>
                                <w:t>竣工验收依据</w:t>
                              </w:r>
                            </w:p>
                          </w:txbxContent>
                        </wps:txbx>
                        <wps:bodyPr upright="1"/>
                      </wps:wsp>
                      <wps:wsp>
                        <wps:cNvPr id="177" name="直接连接符 177"/>
                        <wps:cNvCnPr/>
                        <wps:spPr>
                          <a:xfrm>
                            <a:off x="2867025" y="333375"/>
                            <a:ext cx="0" cy="257175"/>
                          </a:xfrm>
                          <a:prstGeom prst="line">
                            <a:avLst/>
                          </a:prstGeom>
                          <a:ln w="9525" cap="flat" cmpd="sng">
                            <a:solidFill>
                              <a:srgbClr val="000000"/>
                            </a:solidFill>
                            <a:prstDash val="solid"/>
                            <a:headEnd type="none" w="med" len="med"/>
                            <a:tailEnd type="triangle" w="med" len="med"/>
                          </a:ln>
                        </wps:spPr>
                        <wps:bodyPr/>
                      </wps:wsp>
                      <wps:wsp>
                        <wps:cNvPr id="178" name="直接连接符 178"/>
                        <wps:cNvCnPr/>
                        <wps:spPr>
                          <a:xfrm>
                            <a:off x="2867025" y="857250"/>
                            <a:ext cx="635" cy="257175"/>
                          </a:xfrm>
                          <a:prstGeom prst="line">
                            <a:avLst/>
                          </a:prstGeom>
                          <a:ln w="9525" cap="flat" cmpd="sng">
                            <a:solidFill>
                              <a:srgbClr val="000000"/>
                            </a:solidFill>
                            <a:prstDash val="solid"/>
                            <a:headEnd type="none" w="med" len="med"/>
                            <a:tailEnd type="triangle" w="med" len="med"/>
                          </a:ln>
                        </wps:spPr>
                        <wps:bodyPr/>
                      </wps:wsp>
                      <wps:wsp>
                        <wps:cNvPr id="179" name="直接连接符 179"/>
                        <wps:cNvCnPr/>
                        <wps:spPr>
                          <a:xfrm>
                            <a:off x="2867025" y="1381125"/>
                            <a:ext cx="635" cy="276225"/>
                          </a:xfrm>
                          <a:prstGeom prst="line">
                            <a:avLst/>
                          </a:prstGeom>
                          <a:ln w="9525" cap="flat" cmpd="sng">
                            <a:solidFill>
                              <a:srgbClr val="000000"/>
                            </a:solidFill>
                            <a:prstDash val="solid"/>
                            <a:headEnd type="none" w="med" len="med"/>
                            <a:tailEnd type="triangle" w="med" len="med"/>
                          </a:ln>
                        </wps:spPr>
                        <wps:bodyPr/>
                      </wps:wsp>
                      <wps:wsp>
                        <wps:cNvPr id="180" name="直接连接符 180"/>
                        <wps:cNvCnPr/>
                        <wps:spPr>
                          <a:xfrm flipH="1">
                            <a:off x="1571625" y="1819275"/>
                            <a:ext cx="352425" cy="635"/>
                          </a:xfrm>
                          <a:prstGeom prst="line">
                            <a:avLst/>
                          </a:prstGeom>
                          <a:ln w="9525" cap="flat" cmpd="sng">
                            <a:solidFill>
                              <a:srgbClr val="000000"/>
                            </a:solidFill>
                            <a:prstDash val="solid"/>
                            <a:headEnd type="none" w="med" len="med"/>
                            <a:tailEnd type="triangle" w="med" len="med"/>
                          </a:ln>
                        </wps:spPr>
                        <wps:bodyPr/>
                      </wps:wsp>
                      <wps:wsp>
                        <wps:cNvPr id="181" name="直接连接符 181"/>
                        <wps:cNvCnPr/>
                        <wps:spPr>
                          <a:xfrm>
                            <a:off x="3771900" y="1783080"/>
                            <a:ext cx="295275" cy="635"/>
                          </a:xfrm>
                          <a:prstGeom prst="line">
                            <a:avLst/>
                          </a:prstGeom>
                          <a:ln w="9525" cap="flat" cmpd="sng">
                            <a:solidFill>
                              <a:srgbClr val="000000"/>
                            </a:solidFill>
                            <a:prstDash val="solid"/>
                            <a:headEnd type="none" w="med" len="med"/>
                            <a:tailEnd type="triangle" w="med" len="med"/>
                          </a:ln>
                        </wps:spPr>
                        <wps:bodyPr/>
                      </wps:wsp>
                      <wps:wsp>
                        <wps:cNvPr id="182" name="直接连接符 182"/>
                        <wps:cNvCnPr/>
                        <wps:spPr>
                          <a:xfrm>
                            <a:off x="1076325" y="1924050"/>
                            <a:ext cx="0" cy="219075"/>
                          </a:xfrm>
                          <a:prstGeom prst="line">
                            <a:avLst/>
                          </a:prstGeom>
                          <a:ln w="9525" cap="flat" cmpd="sng">
                            <a:solidFill>
                              <a:srgbClr val="000000"/>
                            </a:solidFill>
                            <a:prstDash val="solid"/>
                            <a:headEnd type="none" w="med" len="med"/>
                            <a:tailEnd type="triangle" w="med" len="med"/>
                          </a:ln>
                        </wps:spPr>
                        <wps:bodyPr/>
                      </wps:wsp>
                      <wps:wsp>
                        <wps:cNvPr id="183" name="直接连接符 183"/>
                        <wps:cNvCnPr/>
                        <wps:spPr>
                          <a:xfrm flipH="1">
                            <a:off x="4534535" y="1914525"/>
                            <a:ext cx="8890" cy="191135"/>
                          </a:xfrm>
                          <a:prstGeom prst="line">
                            <a:avLst/>
                          </a:prstGeom>
                          <a:ln w="9525" cap="flat" cmpd="sng">
                            <a:solidFill>
                              <a:srgbClr val="000000"/>
                            </a:solidFill>
                            <a:prstDash val="solid"/>
                            <a:headEnd type="none" w="med" len="med"/>
                            <a:tailEnd type="triangle" w="med" len="med"/>
                          </a:ln>
                        </wps:spPr>
                        <wps:bodyPr/>
                      </wps:wsp>
                      <wps:wsp>
                        <wps:cNvPr id="184" name="肘形连接符 184"/>
                        <wps:cNvCnPr/>
                        <wps:spPr>
                          <a:xfrm rot="5400000" flipH="1" flipV="1">
                            <a:off x="2623185" y="787400"/>
                            <a:ext cx="62865" cy="3009900"/>
                          </a:xfrm>
                          <a:prstGeom prst="bentConnector3">
                            <a:avLst>
                              <a:gd name="adj1" fmla="val -363634"/>
                            </a:avLst>
                          </a:prstGeom>
                          <a:ln w="9525" cap="flat" cmpd="sng">
                            <a:solidFill>
                              <a:srgbClr val="000000"/>
                            </a:solidFill>
                            <a:prstDash val="solid"/>
                            <a:miter/>
                            <a:headEnd type="none" w="med" len="med"/>
                            <a:tailEnd type="none" w="med" len="med"/>
                          </a:ln>
                        </wps:spPr>
                        <wps:bodyPr/>
                      </wps:wsp>
                      <wps:wsp>
                        <wps:cNvPr id="185" name="直接连接符 185"/>
                        <wps:cNvCnPr/>
                        <wps:spPr>
                          <a:xfrm>
                            <a:off x="2867025" y="2628900"/>
                            <a:ext cx="0" cy="200025"/>
                          </a:xfrm>
                          <a:prstGeom prst="line">
                            <a:avLst/>
                          </a:prstGeom>
                          <a:ln w="9525" cap="flat" cmpd="sng">
                            <a:solidFill>
                              <a:srgbClr val="000000"/>
                            </a:solidFill>
                            <a:prstDash val="solid"/>
                            <a:headEnd type="none" w="med" len="med"/>
                            <a:tailEnd type="triangle" w="med" len="med"/>
                          </a:ln>
                        </wps:spPr>
                        <wps:bodyPr/>
                      </wps:wsp>
                      <wps:wsp>
                        <wps:cNvPr id="186" name="直接连接符 186"/>
                        <wps:cNvCnPr/>
                        <wps:spPr>
                          <a:xfrm>
                            <a:off x="2867025" y="3095625"/>
                            <a:ext cx="635" cy="338455"/>
                          </a:xfrm>
                          <a:prstGeom prst="line">
                            <a:avLst/>
                          </a:prstGeom>
                          <a:ln w="9525" cap="flat" cmpd="sng">
                            <a:solidFill>
                              <a:srgbClr val="000000"/>
                            </a:solidFill>
                            <a:prstDash val="solid"/>
                            <a:headEnd type="none" w="med" len="med"/>
                            <a:tailEnd type="triangle" w="med" len="med"/>
                          </a:ln>
                        </wps:spPr>
                        <wps:bodyPr/>
                      </wps:wsp>
                      <wps:wsp>
                        <wps:cNvPr id="187" name="直接连接符 187"/>
                        <wps:cNvCnPr/>
                        <wps:spPr>
                          <a:xfrm>
                            <a:off x="2781300" y="4161790"/>
                            <a:ext cx="635" cy="467360"/>
                          </a:xfrm>
                          <a:prstGeom prst="line">
                            <a:avLst/>
                          </a:prstGeom>
                          <a:ln w="9525" cap="flat" cmpd="sng">
                            <a:solidFill>
                              <a:srgbClr val="000000"/>
                            </a:solidFill>
                            <a:prstDash val="solid"/>
                            <a:headEnd type="none" w="med" len="med"/>
                            <a:tailEnd type="triangle" w="med" len="med"/>
                          </a:ln>
                        </wps:spPr>
                        <wps:bodyPr/>
                      </wps:wsp>
                      <wps:wsp>
                        <wps:cNvPr id="188" name="直接连接符 188"/>
                        <wps:cNvCnPr/>
                        <wps:spPr>
                          <a:xfrm>
                            <a:off x="2781300" y="4895850"/>
                            <a:ext cx="635" cy="247650"/>
                          </a:xfrm>
                          <a:prstGeom prst="line">
                            <a:avLst/>
                          </a:prstGeom>
                          <a:ln w="9525" cap="flat" cmpd="sng">
                            <a:solidFill>
                              <a:srgbClr val="000000"/>
                            </a:solidFill>
                            <a:prstDash val="solid"/>
                            <a:headEnd type="none" w="med" len="med"/>
                            <a:tailEnd type="triangle" w="med" len="med"/>
                          </a:ln>
                        </wps:spPr>
                        <wps:bodyPr/>
                      </wps:wsp>
                      <wps:wsp>
                        <wps:cNvPr id="189" name="直接连接符 189"/>
                        <wps:cNvCnPr/>
                        <wps:spPr>
                          <a:xfrm>
                            <a:off x="2781300" y="5410200"/>
                            <a:ext cx="635" cy="276225"/>
                          </a:xfrm>
                          <a:prstGeom prst="line">
                            <a:avLst/>
                          </a:prstGeom>
                          <a:ln w="9525" cap="flat" cmpd="sng">
                            <a:solidFill>
                              <a:srgbClr val="000000"/>
                            </a:solidFill>
                            <a:prstDash val="solid"/>
                            <a:headEnd type="none" w="med" len="med"/>
                            <a:tailEnd type="triangle" w="med" len="med"/>
                          </a:ln>
                        </wps:spPr>
                        <wps:bodyPr/>
                      </wps:wsp>
                      <wps:wsp>
                        <wps:cNvPr id="190" name="肘形连接符 190"/>
                        <wps:cNvCnPr/>
                        <wps:spPr>
                          <a:xfrm rot="5400000" flipV="1">
                            <a:off x="2592705" y="4426585"/>
                            <a:ext cx="635" cy="3643630"/>
                          </a:xfrm>
                          <a:prstGeom prst="bentConnector3">
                            <a:avLst>
                              <a:gd name="adj1" fmla="val -36000000"/>
                            </a:avLst>
                          </a:prstGeom>
                          <a:ln w="9525" cap="flat" cmpd="sng">
                            <a:solidFill>
                              <a:srgbClr val="000000"/>
                            </a:solidFill>
                            <a:prstDash val="solid"/>
                            <a:miter/>
                            <a:headEnd type="triangle" w="med" len="med"/>
                            <a:tailEnd type="triangle" w="med" len="med"/>
                          </a:ln>
                        </wps:spPr>
                        <wps:bodyPr/>
                      </wps:wsp>
                      <wps:wsp>
                        <wps:cNvPr id="191" name="直接连接符 191"/>
                        <wps:cNvCnPr/>
                        <wps:spPr>
                          <a:xfrm>
                            <a:off x="2781300" y="5953125"/>
                            <a:ext cx="635" cy="219075"/>
                          </a:xfrm>
                          <a:prstGeom prst="line">
                            <a:avLst/>
                          </a:prstGeom>
                          <a:ln w="9525" cap="flat" cmpd="sng">
                            <a:solidFill>
                              <a:srgbClr val="000000"/>
                            </a:solidFill>
                            <a:prstDash val="solid"/>
                            <a:headEnd type="none" w="med" len="med"/>
                            <a:tailEnd type="triangle" w="med" len="med"/>
                          </a:ln>
                        </wps:spPr>
                        <wps:bodyPr/>
                      </wps:wsp>
                      <wps:wsp>
                        <wps:cNvPr id="192" name="直接连接符 192"/>
                        <wps:cNvCnPr/>
                        <wps:spPr>
                          <a:xfrm>
                            <a:off x="2219325" y="6715125"/>
                            <a:ext cx="635" cy="304800"/>
                          </a:xfrm>
                          <a:prstGeom prst="line">
                            <a:avLst/>
                          </a:prstGeom>
                          <a:ln w="9525" cap="flat" cmpd="sng">
                            <a:solidFill>
                              <a:srgbClr val="000000"/>
                            </a:solidFill>
                            <a:prstDash val="solid"/>
                            <a:headEnd type="none" w="med" len="med"/>
                            <a:tailEnd type="triangle" w="med" len="med"/>
                          </a:ln>
                        </wps:spPr>
                        <wps:bodyPr/>
                      </wps:wsp>
                      <wps:wsp>
                        <wps:cNvPr id="193" name="直接连接符 193"/>
                        <wps:cNvCnPr/>
                        <wps:spPr>
                          <a:xfrm>
                            <a:off x="3257550" y="6715125"/>
                            <a:ext cx="635" cy="304800"/>
                          </a:xfrm>
                          <a:prstGeom prst="line">
                            <a:avLst/>
                          </a:prstGeom>
                          <a:ln w="9525" cap="flat" cmpd="sng">
                            <a:solidFill>
                              <a:srgbClr val="000000"/>
                            </a:solidFill>
                            <a:prstDash val="solid"/>
                            <a:headEnd type="none" w="med" len="med"/>
                            <a:tailEnd type="triangle" w="med" len="med"/>
                          </a:ln>
                        </wps:spPr>
                        <wps:bodyPr/>
                      </wps:wsp>
                      <wps:wsp>
                        <wps:cNvPr id="194" name="肘形连接符 194"/>
                        <wps:cNvCnPr/>
                        <wps:spPr>
                          <a:xfrm rot="-5400000" flipH="1">
                            <a:off x="1171575" y="6515100"/>
                            <a:ext cx="438150" cy="838200"/>
                          </a:xfrm>
                          <a:prstGeom prst="bentConnector2">
                            <a:avLst/>
                          </a:prstGeom>
                          <a:ln w="9525" cap="flat" cmpd="sng">
                            <a:solidFill>
                              <a:srgbClr val="000000"/>
                            </a:solidFill>
                            <a:prstDash val="solid"/>
                            <a:miter/>
                            <a:headEnd type="none" w="med" len="med"/>
                            <a:tailEnd type="triangle" w="med" len="med"/>
                          </a:ln>
                        </wps:spPr>
                        <wps:bodyPr/>
                      </wps:wsp>
                      <wps:wsp>
                        <wps:cNvPr id="195" name="肘形连接符 195"/>
                        <wps:cNvCnPr/>
                        <wps:spPr>
                          <a:xfrm rot="5400000">
                            <a:off x="3917315" y="6455410"/>
                            <a:ext cx="438150" cy="957580"/>
                          </a:xfrm>
                          <a:prstGeom prst="bentConnector2">
                            <a:avLst/>
                          </a:prstGeom>
                          <a:ln w="9525" cap="flat" cmpd="sng">
                            <a:solidFill>
                              <a:srgbClr val="000000"/>
                            </a:solidFill>
                            <a:prstDash val="solid"/>
                            <a:miter/>
                            <a:headEnd type="none" w="med" len="med"/>
                            <a:tailEnd type="triangle" w="med" len="med"/>
                          </a:ln>
                        </wps:spPr>
                        <wps:bodyPr/>
                      </wps:wsp>
                      <wps:wsp>
                        <wps:cNvPr id="196" name="直接连接符 196"/>
                        <wps:cNvCnPr/>
                        <wps:spPr>
                          <a:xfrm>
                            <a:off x="2219325" y="7286625"/>
                            <a:ext cx="635" cy="266700"/>
                          </a:xfrm>
                          <a:prstGeom prst="line">
                            <a:avLst/>
                          </a:prstGeom>
                          <a:ln w="9525" cap="flat" cmpd="sng">
                            <a:solidFill>
                              <a:srgbClr val="000000"/>
                            </a:solidFill>
                            <a:prstDash val="solid"/>
                            <a:headEnd type="none" w="med" len="med"/>
                            <a:tailEnd type="triangle" w="med" len="med"/>
                          </a:ln>
                        </wps:spPr>
                        <wps:bodyPr/>
                      </wps:wsp>
                      <wps:wsp>
                        <wps:cNvPr id="197" name="直接连接符 197"/>
                        <wps:cNvCnPr/>
                        <wps:spPr>
                          <a:xfrm>
                            <a:off x="2781300" y="7686675"/>
                            <a:ext cx="476250" cy="635"/>
                          </a:xfrm>
                          <a:prstGeom prst="line">
                            <a:avLst/>
                          </a:prstGeom>
                          <a:ln w="9525" cap="flat" cmpd="sng">
                            <a:solidFill>
                              <a:srgbClr val="000000"/>
                            </a:solidFill>
                            <a:prstDash val="solid"/>
                            <a:headEnd type="none" w="med" len="med"/>
                            <a:tailEnd type="triangle" w="med" len="med"/>
                          </a:ln>
                        </wps:spPr>
                        <wps:bodyPr/>
                      </wps:wsp>
                      <wps:wsp>
                        <wps:cNvPr id="198" name="文本框 198"/>
                        <wps:cNvSpPr txBox="1"/>
                        <wps:spPr>
                          <a:xfrm>
                            <a:off x="1400175" y="8017510"/>
                            <a:ext cx="2638425" cy="270510"/>
                          </a:xfrm>
                          <a:prstGeom prst="rect">
                            <a:avLst/>
                          </a:prstGeom>
                          <a:solidFill>
                            <a:srgbClr val="FFFFFF"/>
                          </a:solidFill>
                          <a:ln>
                            <a:noFill/>
                          </a:ln>
                        </wps:spPr>
                        <wps:txbx>
                          <w:txbxContent>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图</w:t>
                              </w:r>
                              <w:r>
                                <w:rPr>
                                  <w:rFonts w:hint="eastAsia" w:ascii="Times New Roman" w:hAnsi="Times New Roman" w:eastAsia="微软雅黑" w:cs="Times New Roman"/>
                                </w:rPr>
                                <w:t>6</w:t>
                              </w:r>
                              <w:r>
                                <w:rPr>
                                  <w:rFonts w:hint="eastAsia" w:eastAsia="微软雅黑" w:cs="Times New Roman"/>
                                  <w:lang w:val="en-US" w:eastAsia="zh-CN"/>
                                </w:rPr>
                                <w:t>-1</w:t>
                              </w:r>
                              <w:r>
                                <w:rPr>
                                  <w:rFonts w:hint="default" w:ascii="Times New Roman" w:hAnsi="Times New Roman" w:eastAsia="微软雅黑" w:cs="Times New Roman"/>
                                </w:rPr>
                                <w:t xml:space="preserve">  水土保持监测流程图</w:t>
                              </w:r>
                            </w:p>
                          </w:txbxContent>
                        </wps:txbx>
                        <wps:bodyPr upright="1"/>
                      </wps:wsp>
                      <wps:wsp>
                        <wps:cNvPr id="199" name="文本框 199"/>
                        <wps:cNvSpPr txBox="1"/>
                        <wps:spPr>
                          <a:xfrm>
                            <a:off x="836295" y="3562350"/>
                            <a:ext cx="735330" cy="3981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00" w:lineRule="exact"/>
                                <w:jc w:val="center"/>
                                <w:rPr>
                                  <w:rFonts w:ascii="仿宋_GB2312" w:hAnsi="仿宋" w:eastAsia="仿宋_GB2312"/>
                                  <w:sz w:val="18"/>
                                  <w:szCs w:val="21"/>
                                </w:rPr>
                              </w:pPr>
                              <w:r>
                                <w:rPr>
                                  <w:rFonts w:hint="eastAsia" w:ascii="仿宋_GB2312" w:hAnsi="仿宋" w:eastAsia="仿宋_GB2312"/>
                                  <w:sz w:val="18"/>
                                  <w:szCs w:val="21"/>
                                </w:rPr>
                                <w:t>本底值监测</w:t>
                              </w:r>
                            </w:p>
                          </w:txbxContent>
                        </wps:txbx>
                        <wps:bodyPr lIns="18000" tIns="0" rIns="18000" bIns="0" upright="1"/>
                      </wps:wsp>
                      <wps:wsp>
                        <wps:cNvPr id="200" name="文本框 200"/>
                        <wps:cNvSpPr txBox="1"/>
                        <wps:spPr>
                          <a:xfrm>
                            <a:off x="1612265" y="3562350"/>
                            <a:ext cx="735330" cy="3981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00" w:lineRule="exact"/>
                                <w:jc w:val="center"/>
                                <w:rPr>
                                  <w:rFonts w:ascii="仿宋_GB2312" w:hAnsi="仿宋" w:eastAsia="仿宋_GB2312"/>
                                  <w:sz w:val="18"/>
                                  <w:szCs w:val="21"/>
                                </w:rPr>
                              </w:pPr>
                              <w:r>
                                <w:rPr>
                                  <w:rFonts w:hint="eastAsia" w:ascii="仿宋_GB2312" w:hAnsi="仿宋" w:eastAsia="仿宋_GB2312"/>
                                  <w:sz w:val="18"/>
                                  <w:szCs w:val="21"/>
                                </w:rPr>
                                <w:t>水土流失状况监测</w:t>
                              </w:r>
                            </w:p>
                          </w:txbxContent>
                        </wps:txbx>
                        <wps:bodyPr lIns="18000" tIns="0" rIns="18000" bIns="0" upright="1"/>
                      </wps:wsp>
                      <wps:wsp>
                        <wps:cNvPr id="201" name="文本框 201"/>
                        <wps:cNvSpPr txBox="1"/>
                        <wps:spPr>
                          <a:xfrm>
                            <a:off x="2503805" y="3562350"/>
                            <a:ext cx="735330" cy="3981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00" w:lineRule="exact"/>
                                <w:jc w:val="center"/>
                                <w:rPr>
                                  <w:rFonts w:ascii="仿宋_GB2312" w:hAnsi="仿宋" w:eastAsia="仿宋_GB2312"/>
                                  <w:sz w:val="18"/>
                                  <w:szCs w:val="21"/>
                                </w:rPr>
                              </w:pPr>
                              <w:r>
                                <w:rPr>
                                  <w:rFonts w:hint="eastAsia" w:ascii="仿宋_GB2312" w:hAnsi="仿宋" w:eastAsia="仿宋_GB2312"/>
                                  <w:sz w:val="18"/>
                                  <w:szCs w:val="21"/>
                                </w:rPr>
                                <w:t>扰动土地监测</w:t>
                              </w:r>
                            </w:p>
                          </w:txbxContent>
                        </wps:txbx>
                        <wps:bodyPr lIns="18000" tIns="0" rIns="18000" bIns="0" upright="1"/>
                      </wps:wsp>
                      <wps:wsp>
                        <wps:cNvPr id="202" name="文本框 202"/>
                        <wps:cNvSpPr txBox="1"/>
                        <wps:spPr>
                          <a:xfrm>
                            <a:off x="3476625" y="3549015"/>
                            <a:ext cx="735330" cy="3981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00" w:lineRule="exact"/>
                                <w:jc w:val="center"/>
                                <w:rPr>
                                  <w:rFonts w:ascii="仿宋_GB2312" w:hAnsi="仿宋" w:eastAsia="仿宋_GB2312"/>
                                  <w:sz w:val="18"/>
                                  <w:szCs w:val="21"/>
                                </w:rPr>
                              </w:pPr>
                              <w:r>
                                <w:rPr>
                                  <w:rFonts w:hint="eastAsia" w:ascii="仿宋_GB2312" w:hAnsi="仿宋" w:eastAsia="仿宋_GB2312"/>
                                  <w:sz w:val="18"/>
                                  <w:szCs w:val="21"/>
                                </w:rPr>
                                <w:t>水土流失危害监测</w:t>
                              </w:r>
                            </w:p>
                          </w:txbxContent>
                        </wps:txbx>
                        <wps:bodyPr lIns="18000" tIns="0" rIns="18000" bIns="0" upright="1"/>
                      </wps:wsp>
                      <wps:wsp>
                        <wps:cNvPr id="203" name="文本框 203"/>
                        <wps:cNvSpPr txBox="1"/>
                        <wps:spPr>
                          <a:xfrm>
                            <a:off x="4529455" y="3535045"/>
                            <a:ext cx="735330" cy="3981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00" w:lineRule="exact"/>
                                <w:jc w:val="center"/>
                                <w:rPr>
                                  <w:rFonts w:ascii="仿宋_GB2312" w:hAnsi="仿宋" w:eastAsia="仿宋_GB2312"/>
                                  <w:sz w:val="18"/>
                                  <w:szCs w:val="21"/>
                                </w:rPr>
                              </w:pPr>
                              <w:r>
                                <w:rPr>
                                  <w:rFonts w:hint="eastAsia" w:ascii="仿宋_GB2312" w:hAnsi="仿宋" w:eastAsia="仿宋_GB2312"/>
                                  <w:sz w:val="18"/>
                                  <w:szCs w:val="21"/>
                                </w:rPr>
                                <w:t>水土流失防治成效监测</w:t>
                              </w:r>
                            </w:p>
                          </w:txbxContent>
                        </wps:txbx>
                        <wps:bodyPr lIns="18000" tIns="0" rIns="18000" bIns="0" upright="1"/>
                      </wps:wsp>
                      <wpg:wgp>
                        <wpg:cNvPr id="212" name="组合 212"/>
                        <wpg:cNvGrpSpPr/>
                        <wpg:grpSpPr>
                          <a:xfrm>
                            <a:off x="436880" y="3960495"/>
                            <a:ext cx="4697095" cy="201930"/>
                            <a:chOff x="-707" y="6852"/>
                            <a:chExt cx="7397" cy="318"/>
                          </a:xfrm>
                        </wpg:grpSpPr>
                        <wps:wsp>
                          <wps:cNvPr id="204" name="直接连接符 204"/>
                          <wps:cNvCnPr/>
                          <wps:spPr>
                            <a:xfrm>
                              <a:off x="1754" y="6915"/>
                              <a:ext cx="1" cy="255"/>
                            </a:xfrm>
                            <a:prstGeom prst="line">
                              <a:avLst/>
                            </a:prstGeom>
                            <a:ln w="9525" cap="flat" cmpd="sng">
                              <a:solidFill>
                                <a:srgbClr val="000000"/>
                              </a:solidFill>
                              <a:prstDash val="solid"/>
                              <a:headEnd type="none" w="med" len="med"/>
                              <a:tailEnd type="none" w="med" len="med"/>
                            </a:ln>
                          </wps:spPr>
                          <wps:bodyPr/>
                        </wps:wsp>
                        <wps:wsp>
                          <wps:cNvPr id="205" name="直接连接符 205"/>
                          <wps:cNvCnPr/>
                          <wps:spPr>
                            <a:xfrm>
                              <a:off x="2986" y="6852"/>
                              <a:ext cx="1" cy="255"/>
                            </a:xfrm>
                            <a:prstGeom prst="line">
                              <a:avLst/>
                            </a:prstGeom>
                            <a:ln w="9525" cap="flat" cmpd="sng">
                              <a:solidFill>
                                <a:srgbClr val="000000"/>
                              </a:solidFill>
                              <a:prstDash val="solid"/>
                              <a:headEnd type="none" w="med" len="med"/>
                              <a:tailEnd type="none" w="med" len="med"/>
                            </a:ln>
                          </wps:spPr>
                          <wps:bodyPr/>
                        </wps:wsp>
                        <wps:wsp>
                          <wps:cNvPr id="206" name="直接连接符 206"/>
                          <wps:cNvCnPr/>
                          <wps:spPr>
                            <a:xfrm>
                              <a:off x="4191" y="6852"/>
                              <a:ext cx="1" cy="255"/>
                            </a:xfrm>
                            <a:prstGeom prst="line">
                              <a:avLst/>
                            </a:prstGeom>
                            <a:ln w="9525" cap="flat" cmpd="sng">
                              <a:solidFill>
                                <a:srgbClr val="000000"/>
                              </a:solidFill>
                              <a:prstDash val="solid"/>
                              <a:headEnd type="none" w="med" len="med"/>
                              <a:tailEnd type="none" w="med" len="med"/>
                            </a:ln>
                          </wps:spPr>
                          <wps:bodyPr/>
                        </wps:wsp>
                        <wps:wsp>
                          <wps:cNvPr id="207" name="直接连接符 207"/>
                          <wps:cNvCnPr/>
                          <wps:spPr>
                            <a:xfrm>
                              <a:off x="5489" y="6852"/>
                              <a:ext cx="1" cy="255"/>
                            </a:xfrm>
                            <a:prstGeom prst="line">
                              <a:avLst/>
                            </a:prstGeom>
                            <a:ln w="9525" cap="flat" cmpd="sng">
                              <a:solidFill>
                                <a:srgbClr val="000000"/>
                              </a:solidFill>
                              <a:prstDash val="solid"/>
                              <a:headEnd type="none" w="med" len="med"/>
                              <a:tailEnd type="none" w="med" len="med"/>
                            </a:ln>
                          </wps:spPr>
                          <wps:bodyPr/>
                        </wps:wsp>
                        <wps:wsp>
                          <wps:cNvPr id="208" name="直接连接符 208"/>
                          <wps:cNvCnPr/>
                          <wps:spPr>
                            <a:xfrm>
                              <a:off x="6688" y="6852"/>
                              <a:ext cx="2" cy="317"/>
                            </a:xfrm>
                            <a:prstGeom prst="line">
                              <a:avLst/>
                            </a:prstGeom>
                            <a:ln w="9525" cap="flat" cmpd="sng">
                              <a:solidFill>
                                <a:srgbClr val="000000"/>
                              </a:solidFill>
                              <a:prstDash val="solid"/>
                              <a:headEnd type="none" w="med" len="med"/>
                              <a:tailEnd type="none" w="med" len="med"/>
                            </a:ln>
                          </wps:spPr>
                          <wps:bodyPr/>
                        </wps:wsp>
                        <wps:wsp>
                          <wps:cNvPr id="209" name="直接连接符 209"/>
                          <wps:cNvCnPr/>
                          <wps:spPr>
                            <a:xfrm>
                              <a:off x="537" y="6852"/>
                              <a:ext cx="1" cy="255"/>
                            </a:xfrm>
                            <a:prstGeom prst="line">
                              <a:avLst/>
                            </a:prstGeom>
                            <a:ln w="9525" cap="flat" cmpd="sng">
                              <a:solidFill>
                                <a:srgbClr val="000000"/>
                              </a:solidFill>
                              <a:prstDash val="solid"/>
                              <a:headEnd type="none" w="med" len="med"/>
                              <a:tailEnd type="none" w="med" len="med"/>
                            </a:ln>
                          </wps:spPr>
                          <wps:bodyPr/>
                        </wps:wsp>
                        <wps:wsp>
                          <wps:cNvPr id="210" name="直接连接符 210"/>
                          <wps:cNvCnPr/>
                          <wps:spPr>
                            <a:xfrm>
                              <a:off x="-707" y="6915"/>
                              <a:ext cx="1" cy="255"/>
                            </a:xfrm>
                            <a:prstGeom prst="line">
                              <a:avLst/>
                            </a:prstGeom>
                            <a:ln w="9525" cap="flat" cmpd="sng">
                              <a:solidFill>
                                <a:srgbClr val="000000"/>
                              </a:solidFill>
                              <a:prstDash val="solid"/>
                              <a:headEnd type="none" w="med" len="med"/>
                              <a:tailEnd type="none" w="med" len="med"/>
                            </a:ln>
                          </wps:spPr>
                          <wps:bodyPr/>
                        </wps:wsp>
                        <wps:wsp>
                          <wps:cNvPr id="211" name="直接箭头连接符 211"/>
                          <wps:cNvCnPr/>
                          <wps:spPr>
                            <a:xfrm>
                              <a:off x="-707" y="7169"/>
                              <a:ext cx="7397" cy="1"/>
                            </a:xfrm>
                            <a:prstGeom prst="straightConnector1">
                              <a:avLst/>
                            </a:prstGeom>
                            <a:ln w="9525" cap="flat" cmpd="sng">
                              <a:solidFill>
                                <a:srgbClr val="000000"/>
                              </a:solidFill>
                              <a:prstDash val="solid"/>
                              <a:headEnd type="none" w="med" len="med"/>
                              <a:tailEnd type="none" w="med" len="med"/>
                            </a:ln>
                          </wps:spPr>
                          <wps:bodyPr/>
                        </wps:wsp>
                      </wpg:wgp>
                      <wps:wsp>
                        <wps:cNvPr id="213" name="直接连接符 213"/>
                        <wps:cNvCnPr/>
                        <wps:spPr>
                          <a:xfrm>
                            <a:off x="3879215" y="3353435"/>
                            <a:ext cx="6350" cy="172085"/>
                          </a:xfrm>
                          <a:prstGeom prst="line">
                            <a:avLst/>
                          </a:prstGeom>
                          <a:ln w="12700" cap="flat" cmpd="sng">
                            <a:solidFill>
                              <a:srgbClr val="000000"/>
                            </a:solidFill>
                            <a:prstDash val="solid"/>
                            <a:headEnd type="none" w="med" len="med"/>
                            <a:tailEnd type="triangle" w="sm" len="med"/>
                          </a:ln>
                        </wps:spPr>
                        <wps:bodyPr/>
                      </wps:wsp>
                      <wps:wsp>
                        <wps:cNvPr id="214" name="直接连接符 214"/>
                        <wps:cNvCnPr/>
                        <wps:spPr>
                          <a:xfrm>
                            <a:off x="478790" y="3363595"/>
                            <a:ext cx="0" cy="228600"/>
                          </a:xfrm>
                          <a:prstGeom prst="line">
                            <a:avLst/>
                          </a:prstGeom>
                          <a:ln w="12700" cap="flat" cmpd="sng">
                            <a:solidFill>
                              <a:srgbClr val="000000"/>
                            </a:solidFill>
                            <a:prstDash val="solid"/>
                            <a:headEnd type="none" w="med" len="med"/>
                            <a:tailEnd type="triangle" w="sm" len="med"/>
                          </a:ln>
                        </wps:spPr>
                        <wps:bodyPr/>
                      </wps:wsp>
                      <wps:wsp>
                        <wps:cNvPr id="215" name="直接连接符 215"/>
                        <wps:cNvCnPr/>
                        <wps:spPr>
                          <a:xfrm>
                            <a:off x="1203325" y="3346450"/>
                            <a:ext cx="0" cy="228600"/>
                          </a:xfrm>
                          <a:prstGeom prst="line">
                            <a:avLst/>
                          </a:prstGeom>
                          <a:ln w="12700" cap="flat" cmpd="sng">
                            <a:solidFill>
                              <a:srgbClr val="000000"/>
                            </a:solidFill>
                            <a:prstDash val="solid"/>
                            <a:headEnd type="none" w="med" len="med"/>
                            <a:tailEnd type="triangle" w="sm" len="med"/>
                          </a:ln>
                        </wps:spPr>
                        <wps:bodyPr/>
                      </wps:wsp>
                      <wps:wsp>
                        <wps:cNvPr id="216" name="直接连接符 216"/>
                        <wps:cNvCnPr/>
                        <wps:spPr>
                          <a:xfrm>
                            <a:off x="2051050" y="3350260"/>
                            <a:ext cx="0" cy="228600"/>
                          </a:xfrm>
                          <a:prstGeom prst="line">
                            <a:avLst/>
                          </a:prstGeom>
                          <a:ln w="12700" cap="flat" cmpd="sng">
                            <a:solidFill>
                              <a:srgbClr val="000000"/>
                            </a:solidFill>
                            <a:prstDash val="solid"/>
                            <a:headEnd type="none" w="med" len="med"/>
                            <a:tailEnd type="triangle" w="sm" len="med"/>
                          </a:ln>
                        </wps:spPr>
                        <wps:bodyPr/>
                      </wps:wsp>
                      <wps:wsp>
                        <wps:cNvPr id="217" name="直接连接符 217"/>
                        <wps:cNvCnPr/>
                        <wps:spPr>
                          <a:xfrm>
                            <a:off x="4860925" y="3363595"/>
                            <a:ext cx="7620" cy="167640"/>
                          </a:xfrm>
                          <a:prstGeom prst="line">
                            <a:avLst/>
                          </a:prstGeom>
                          <a:ln w="12700" cap="flat" cmpd="sng">
                            <a:solidFill>
                              <a:srgbClr val="000000"/>
                            </a:solidFill>
                            <a:prstDash val="solid"/>
                            <a:headEnd type="none" w="med" len="med"/>
                            <a:tailEnd type="triangle" w="sm" len="med"/>
                          </a:ln>
                        </wps:spPr>
                        <wps:bodyPr/>
                      </wps:wsp>
                      <wps:wsp>
                        <wps:cNvPr id="218" name="直接连接符 218"/>
                        <wps:cNvCnPr/>
                        <wps:spPr>
                          <a:xfrm>
                            <a:off x="483870" y="3361055"/>
                            <a:ext cx="4381500" cy="635"/>
                          </a:xfrm>
                          <a:prstGeom prst="line">
                            <a:avLst/>
                          </a:prstGeom>
                          <a:ln w="9525" cap="flat" cmpd="sng">
                            <a:solidFill>
                              <a:srgbClr val="000000"/>
                            </a:solidFill>
                            <a:prstDash val="solid"/>
                            <a:headEnd type="none" w="med" len="med"/>
                            <a:tailEnd type="none" w="med" len="med"/>
                          </a:ln>
                        </wps:spPr>
                        <wps:bodyPr/>
                      </wps:wsp>
                    </wpc:wpc>
                  </a:graphicData>
                </a:graphic>
              </wp:inline>
            </w:drawing>
          </mc:Choice>
          <mc:Fallback>
            <w:pict>
              <v:group id="_x0000_s1026" o:spid="_x0000_s1026" o:spt="203" style="height:652.8pt;width:419.7pt;" coordsize="5330190,8290560" editas="canvas" o:gfxdata="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">
                <o:lock v:ext="edit" aspectratio="f"/>
                <v:shape id="_x0000_s1026" o:spid="_x0000_s1026" style="position:absolute;left:0;top:0;height:8290560;width:5330190;" filled="f" stroked="f" coordsize="21600,21600" o:gfxdata="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">
                  <v:fill on="f" focussize="0,0"/>
                  <v:stroke on="f"/>
                  <v:imagedata o:title=""/>
                  <o:lock v:ext="edit" aspectratio="t"/>
                </v:shape>
                <v:shape id="文本框 157" o:spid="_x0000_s1026" o:spt="202" type="#_x0000_t202" style="position:absolute;left:1933575;top:66675;height:266700;width:1838325;"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T6lK2tYAAAAGAQAADwAAAAAA&#10;AAABACAAAAAiAAAAZHJzL2Rvd25yZXYueG1sUEsBAhQAFAAAAAgAh07iQMoGzqQVAgAARAQAAA4A&#10;AAAAAAAAAQAgAAAAJQEAAGRycy9lMm9Eb2MueG1sUEsFBgAAAAAGAAYAWQEAAKwFAAAAAA==&#10;">
                  <v:fill on="t" focussize="0,0"/>
                  <v:stroke color="#000000" joinstyle="miter"/>
                  <v:imagedata o:title=""/>
                  <o:lock v:ext="edit" aspectratio="f"/>
                  <v:textbox>
                    <w:txbxContent>
                      <w:p>
                        <w:pPr>
                          <w:jc w:val="center"/>
                          <w:rPr>
                            <w:rFonts w:ascii="仿宋_GB2312" w:hAnsi="仿宋" w:eastAsia="仿宋_GB2312"/>
                          </w:rPr>
                        </w:pPr>
                        <w:r>
                          <w:rPr>
                            <w:rFonts w:hint="eastAsia" w:ascii="仿宋_GB2312" w:hAnsi="仿宋" w:eastAsia="仿宋_GB2312"/>
                            <w:szCs w:val="21"/>
                          </w:rPr>
                          <w:t>背景值调查、收集资料</w:t>
                        </w:r>
                      </w:p>
                    </w:txbxContent>
                  </v:textbox>
                </v:shape>
                <v:shape id="文本框 158" o:spid="_x0000_s1026" o:spt="202" type="#_x0000_t202" style="position:absolute;left:1933575;top:590550;height:266700;width:1838325;"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T6lK2tYAAAAGAQAADwAA&#10;AAAAAAABACAAAAAiAAAAZHJzL2Rvd25yZXYueG1sUEsBAhQAFAAAAAgAh07iQBbAXtYYAgAARQQA&#10;AA4AAAAAAAAAAQAgAAAAJQEAAGRycy9lMm9Eb2MueG1sUEsFBgAAAAAGAAYAWQEAAK8FAAAAAA==&#10;">
                  <v:fill on="t" focussize="0,0"/>
                  <v:stroke color="#000000" joinstyle="miter"/>
                  <v:imagedata o:title=""/>
                  <o:lock v:ext="edit" aspectratio="f"/>
                  <v:textbox>
                    <w:txbxContent>
                      <w:p>
                        <w:pPr>
                          <w:jc w:val="center"/>
                          <w:rPr>
                            <w:rFonts w:ascii="仿宋_GB2312" w:hAnsi="仿宋" w:eastAsia="仿宋_GB2312"/>
                          </w:rPr>
                        </w:pPr>
                        <w:r>
                          <w:rPr>
                            <w:rFonts w:hint="eastAsia" w:ascii="仿宋_GB2312" w:hAnsi="仿宋" w:eastAsia="仿宋_GB2312"/>
                            <w:szCs w:val="21"/>
                          </w:rPr>
                          <w:t>编制监测设施方案</w:t>
                        </w:r>
                      </w:p>
                    </w:txbxContent>
                  </v:textbox>
                </v:shape>
                <v:shape id="_x0000_s1026" o:spid="_x0000_s1026" o:spt="202" type="#_x0000_t202" style="position:absolute;left:1924050;top:1114425;height:266700;width:1847850;"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PqUra1gAAAAYBAAAPAAAA&#10;AAAAAAEAIAAAACIAAABkcnMvZG93bnJldi54bWxQSwECFAAUAAAACACHTuJAm+KzPRcCAABGBAAA&#10;DgAAAAAAAAABACAAAAAlAQAAZHJzL2Uyb0RvYy54bWxQSwUGAAAAAAYABgBZAQAArgUAAAAA&#10;">
                  <v:fill on="t" focussize="0,0"/>
                  <v:stroke color="#000000" joinstyle="miter"/>
                  <v:imagedata o:title=""/>
                  <o:lock v:ext="edit" aspectratio="f"/>
                  <v:textbox>
                    <w:txbxContent>
                      <w:p>
                        <w:pPr>
                          <w:jc w:val="center"/>
                          <w:rPr>
                            <w:rFonts w:ascii="仿宋_GB2312" w:hAnsi="仿宋" w:eastAsia="仿宋_GB2312"/>
                            <w:szCs w:val="21"/>
                          </w:rPr>
                        </w:pPr>
                        <w:r>
                          <w:rPr>
                            <w:rFonts w:hint="eastAsia" w:ascii="仿宋_GB2312" w:hAnsi="仿宋" w:eastAsia="仿宋_GB2312"/>
                            <w:szCs w:val="21"/>
                          </w:rPr>
                          <w:t>准备监测设备、仪器、工具</w:t>
                        </w:r>
                      </w:p>
                    </w:txbxContent>
                  </v:textbox>
                </v:shape>
                <v:shape id="文本框 160" o:spid="_x0000_s1026" o:spt="202" type="#_x0000_t202" style="position:absolute;left:1924050;top:1657350;height:266700;width:1847850;"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pStrWAAAABgEAAA8AAAAA&#10;AAAAAQAgAAAAIgAAAGRycy9kb3ducmV2LnhtbFBLAQIUABQAAAAIAIdO4kB/u8UDFgIAAEYEAAAO&#10;AAAAAAAAAAEAIAAAACUBAABkcnMvZTJvRG9jLnhtbFBLBQYAAAAABgAGAFkBAACtBQAAAAA=&#10;">
                  <v:fill on="t" focussize="0,0"/>
                  <v:stroke color="#000000" joinstyle="miter"/>
                  <v:imagedata o:title=""/>
                  <o:lock v:ext="edit" aspectratio="f"/>
                  <v:textbox>
                    <w:txbxContent>
                      <w:p>
                        <w:pPr>
                          <w:jc w:val="center"/>
                          <w:rPr>
                            <w:rFonts w:ascii="仿宋_GB2312" w:hAnsi="仿宋" w:eastAsia="仿宋_GB2312"/>
                            <w:szCs w:val="21"/>
                          </w:rPr>
                        </w:pPr>
                        <w:r>
                          <w:rPr>
                            <w:rFonts w:hint="eastAsia" w:ascii="仿宋_GB2312" w:hAnsi="仿宋" w:eastAsia="仿宋_GB2312"/>
                            <w:szCs w:val="21"/>
                          </w:rPr>
                          <w:t>现场布设</w:t>
                        </w:r>
                      </w:p>
                    </w:txbxContent>
                  </v:textbox>
                </v:shape>
                <v:shape id="_x0000_s1026" o:spid="_x0000_s1026" o:spt="202" type="#_x0000_t202" style="position:absolute;left:4067175;top:1684020;height:266700;width:971550;"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pStrWAAAABgEAAA8AAAAA&#10;AAAAAQAgAAAAIgAAAGRycy9kb3ducmV2LnhtbFBLAQIUABQAAAAIAIdO4kBtKaGjFgIAAEUEAAAO&#10;AAAAAAAAAAEAIAAAACUBAABkcnMvZTJvRG9jLnhtbFBLBQYAAAAABgAGAFkBAACtBQAAAAA=&#10;">
                  <v:fill on="t" focussize="0,0"/>
                  <v:stroke color="#000000" joinstyle="miter"/>
                  <v:imagedata o:title=""/>
                  <o:lock v:ext="edit" aspectratio="f"/>
                  <v:textbox>
                    <w:txbxContent>
                      <w:p>
                        <w:pPr>
                          <w:jc w:val="center"/>
                          <w:rPr>
                            <w:rFonts w:ascii="仿宋_GB2312" w:hAnsi="仿宋" w:eastAsia="仿宋_GB2312"/>
                            <w:szCs w:val="21"/>
                          </w:rPr>
                        </w:pPr>
                        <w:r>
                          <w:rPr>
                            <w:rFonts w:hint="eastAsia" w:ascii="仿宋_GB2312" w:hAnsi="仿宋" w:eastAsia="仿宋_GB2312"/>
                            <w:szCs w:val="21"/>
                          </w:rPr>
                          <w:t>调查监测</w:t>
                        </w:r>
                      </w:p>
                    </w:txbxContent>
                  </v:textbox>
                </v:shape>
                <v:shape id="_x0000_s1026" o:spid="_x0000_s1026" o:spt="202" type="#_x0000_t202" style="position:absolute;left:476250;top:1657350;height:266700;width:1095375;"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pStrWAAAABgEAAA8AAAAA&#10;AAAAAQAgAAAAIgAAAGRycy9kb3ducmV2LnhtbFBLAQIUABQAAAAIAIdO4kAH57a8FgIAAEUEAAAO&#10;AAAAAAAAAAEAIAAAACUBAABkcnMvZTJvRG9jLnhtbFBLBQYAAAAABgAGAFkBAACtBQAAAAA=&#10;">
                  <v:fill on="t" focussize="0,0"/>
                  <v:stroke color="#000000" joinstyle="miter"/>
                  <v:imagedata o:title=""/>
                  <o:lock v:ext="edit" aspectratio="f"/>
                  <v:textbox>
                    <w:txbxContent>
                      <w:p>
                        <w:pPr>
                          <w:jc w:val="center"/>
                          <w:rPr>
                            <w:rFonts w:ascii="仿宋_GB2312" w:hAnsi="仿宋" w:eastAsia="仿宋_GB2312"/>
                          </w:rPr>
                        </w:pPr>
                        <w:r>
                          <w:rPr>
                            <w:rFonts w:hint="eastAsia" w:ascii="仿宋_GB2312" w:hAnsi="仿宋" w:eastAsia="仿宋_GB2312"/>
                            <w:szCs w:val="21"/>
                          </w:rPr>
                          <w:t>地面定点观</w:t>
                        </w:r>
                        <w:r>
                          <w:rPr>
                            <w:rFonts w:hint="eastAsia" w:ascii="仿宋_GB2312" w:hAnsi="仿宋" w:eastAsia="仿宋_GB2312"/>
                          </w:rPr>
                          <w:t>测</w:t>
                        </w:r>
                      </w:p>
                    </w:txbxContent>
                  </v:textbox>
                </v:shape>
                <v:shape id="文本框 163" o:spid="_x0000_s1026" o:spt="202" type="#_x0000_t202" style="position:absolute;left:476250;top:2143125;height:266700;width:1095375;"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pStrWAAAABgEAAA8A&#10;AAAAAAAAAQAgAAAAIgAAAGRycy9kb3ducmV2LnhtbFBLAQIUABQAAAAIAIdO4kBRBW06GQIAAEUE&#10;AAAOAAAAAAAAAAEAIAAAACUBAABkcnMvZTJvRG9jLnhtbFBLBQYAAAAABgAGAFkBAACwBQAAAAA=&#10;">
                  <v:fill on="t" focussize="0,0"/>
                  <v:stroke color="#000000" joinstyle="miter"/>
                  <v:imagedata o:title=""/>
                  <o:lock v:ext="edit" aspectratio="f"/>
                  <v:textbox>
                    <w:txbxContent>
                      <w:p>
                        <w:pPr>
                          <w:jc w:val="center"/>
                          <w:rPr>
                            <w:rFonts w:ascii="仿宋_GB2312" w:hAnsi="仿宋" w:eastAsia="仿宋_GB2312"/>
                          </w:rPr>
                        </w:pPr>
                        <w:r>
                          <w:rPr>
                            <w:rFonts w:hint="eastAsia" w:ascii="仿宋_GB2312" w:hAnsi="仿宋" w:eastAsia="仿宋_GB2312"/>
                            <w:szCs w:val="21"/>
                          </w:rPr>
                          <w:t>布设定点观</w:t>
                        </w:r>
                        <w:r>
                          <w:rPr>
                            <w:rFonts w:hint="eastAsia" w:ascii="仿宋_GB2312" w:hAnsi="仿宋" w:eastAsia="仿宋_GB2312"/>
                          </w:rPr>
                          <w:t>测</w:t>
                        </w:r>
                      </w:p>
                    </w:txbxContent>
                  </v:textbox>
                </v:shape>
                <v:shape id="_x0000_s1026" o:spid="_x0000_s1026" o:spt="202" type="#_x0000_t202" style="position:absolute;left:2933700;top:2080260;height:266700;width:2200275;"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pStrWAAAABgEAAA8AAAAAAAAA&#10;AQAgAAAAIgAAAGRycy9kb3ducmV2LnhtbFBLAQIUABQAAAAIAIdO4kB+6uZwEwIAAEYEAAAOAAAA&#10;AAAAAAEAIAAAACUBAABkcnMvZTJvRG9jLnhtbFBLBQYAAAAABgAGAFkBAACqBQAAAAA=&#10;">
                  <v:fill on="t" focussize="0,0"/>
                  <v:stroke color="#000000" joinstyle="miter"/>
                  <v:imagedata o:title=""/>
                  <o:lock v:ext="edit" aspectratio="f"/>
                  <v:textbox>
                    <w:txbxContent>
                      <w:p>
                        <w:pPr>
                          <w:jc w:val="center"/>
                          <w:rPr>
                            <w:rFonts w:ascii="仿宋_GB2312" w:hAnsi="仿宋" w:eastAsia="仿宋_GB2312"/>
                          </w:rPr>
                        </w:pPr>
                        <w:r>
                          <w:rPr>
                            <w:rFonts w:hint="eastAsia" w:ascii="仿宋_GB2312" w:hAnsi="仿宋" w:eastAsia="仿宋_GB2312"/>
                            <w:szCs w:val="21"/>
                          </w:rPr>
                          <w:t>普查、抽样调查、巡查、样方</w:t>
                        </w:r>
                        <w:r>
                          <w:rPr>
                            <w:rFonts w:hint="eastAsia" w:ascii="仿宋_GB2312" w:hAnsi="仿宋" w:eastAsia="仿宋_GB2312"/>
                          </w:rPr>
                          <w:t>调查</w:t>
                        </w:r>
                      </w:p>
                    </w:txbxContent>
                  </v:textbox>
                </v:shape>
                <v:shape id="文本框 165" o:spid="_x0000_s1026" o:spt="202" type="#_x0000_t202" style="position:absolute;left:1924050;top:2828925;height:266700;width:1847850;"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T6lK2tYAAAAGAQAADwAA&#10;AAAAAAABACAAAAAiAAAAZHJzL2Rvd25yZXYueG1sUEsBAhQAFAAAAAgAh07iQOtUP10YAgAARgQA&#10;AA4AAAAAAAAAAQAgAAAAJQEAAGRycy9lMm9Eb2MueG1sUEsFBgAAAAAGAAYAWQEAAK8FAAAAAA==&#10;">
                  <v:fill on="t" focussize="0,0"/>
                  <v:stroke color="#000000" joinstyle="miter"/>
                  <v:imagedata o:title=""/>
                  <o:lock v:ext="edit" aspectratio="f"/>
                  <v:textbox>
                    <w:txbxContent>
                      <w:p>
                        <w:pPr>
                          <w:jc w:val="center"/>
                          <w:rPr>
                            <w:rFonts w:ascii="仿宋_GB2312" w:hAnsi="仿宋" w:eastAsia="仿宋_GB2312"/>
                            <w:szCs w:val="21"/>
                          </w:rPr>
                        </w:pPr>
                        <w:r>
                          <w:rPr>
                            <w:rFonts w:hint="eastAsia" w:ascii="仿宋_GB2312" w:hAnsi="仿宋" w:eastAsia="仿宋_GB2312"/>
                            <w:szCs w:val="21"/>
                          </w:rPr>
                          <w:t>实施监测</w:t>
                        </w:r>
                      </w:p>
                    </w:txbxContent>
                  </v:textbox>
                </v:shape>
                <v:shape id="_x0000_s1026" o:spid="_x0000_s1026" o:spt="202" type="#_x0000_t202" style="position:absolute;left:44450;top:3562350;height:398145;width:735330;" fillcolor="#FFFFFF" filled="t" stroked="t" coordsize="21600,21600" o:gfxdata="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d5SB+1gAAAAYBAAAPAAAAAAAAAAEAIAAAACIAAABkcnMvZG93bnJldi54bWxQSwECFAAUAAAA&#10;CACHTuJAGi5CvCkCAABvBAAADgAAAAAAAAABACAAAAAlAQAAZHJzL2Uyb0RvYy54bWxQSwUGAAAA&#10;AAYABgBZAQAAwAUAAAAA&#10;">
                  <v:fill on="t" focussize="0,0"/>
                  <v:stroke color="#000000" joinstyle="miter"/>
                  <v:imagedata o:title=""/>
                  <o:lock v:ext="edit" aspectratio="f"/>
                  <v:textbox inset="0.5mm,0mm,0.5mm,0mm">
                    <w:txbxContent>
                      <w:p>
                        <w:pPr>
                          <w:spacing w:line="300" w:lineRule="exact"/>
                          <w:jc w:val="center"/>
                          <w:rPr>
                            <w:rFonts w:ascii="仿宋_GB2312" w:hAnsi="仿宋" w:eastAsia="仿宋_GB2312"/>
                            <w:sz w:val="18"/>
                            <w:szCs w:val="21"/>
                          </w:rPr>
                        </w:pPr>
                        <w:r>
                          <w:rPr>
                            <w:rFonts w:hint="eastAsia" w:ascii="仿宋_GB2312" w:hAnsi="仿宋" w:eastAsia="仿宋_GB2312"/>
                            <w:sz w:val="18"/>
                            <w:szCs w:val="21"/>
                          </w:rPr>
                          <w:t>水土流失影响因素监测</w:t>
                        </w:r>
                      </w:p>
                    </w:txbxContent>
                  </v:textbox>
                </v:shape>
                <v:shape id="_x0000_s1026" o:spid="_x0000_s1026" o:spt="202" type="#_x0000_t202" style="position:absolute;left:1876425;top:4629150;height:266700;width:1847850;"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PqUra1gAAAAYBAAAPAAAA&#10;AAAAAAEAIAAAACIAAABkcnMvZG93bnJldi54bWxQSwECFAAUAAAACACHTuJAQK4YrhcCAABGBAAA&#10;DgAAAAAAAAABACAAAAAlAQAAZHJzL2Uyb0RvYy54bWxQSwUGAAAAAAYABgBZAQAArgUAAAAA&#10;">
                  <v:fill on="t" focussize="0,0"/>
                  <v:stroke color="#000000" joinstyle="miter"/>
                  <v:imagedata o:title=""/>
                  <o:lock v:ext="edit" aspectratio="f"/>
                  <v:textbox>
                    <w:txbxContent>
                      <w:p>
                        <w:pPr>
                          <w:jc w:val="center"/>
                          <w:rPr>
                            <w:rFonts w:ascii="仿宋_GB2312" w:hAnsi="仿宋" w:eastAsia="仿宋_GB2312"/>
                            <w:szCs w:val="21"/>
                          </w:rPr>
                        </w:pPr>
                        <w:r>
                          <w:rPr>
                            <w:rFonts w:hint="eastAsia" w:ascii="仿宋_GB2312" w:hAnsi="仿宋" w:eastAsia="仿宋_GB2312"/>
                            <w:szCs w:val="21"/>
                          </w:rPr>
                          <w:t>监测资料整理、汇总分析</w:t>
                        </w:r>
                      </w:p>
                    </w:txbxContent>
                  </v:textbox>
                </v:shape>
                <v:shape id="文本框 168" o:spid="_x0000_s1026" o:spt="202" type="#_x0000_t202" style="position:absolute;left:1876425;top:5143500;height:266700;width:1847850;"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pStrWAAAABgEAAA8AAAAA&#10;AAAAAQAgAAAAIgAAAGRycy9kb3ducmV2LnhtbFBLAQIUABQAAAAIAIdO4kD1/RQgFgIAAEYEAAAO&#10;AAAAAAAAAAEAIAAAACUBAABkcnMvZTJvRG9jLnhtbFBLBQYAAAAABgAGAFkBAACtBQAAAAA=&#10;">
                  <v:fill on="t" focussize="0,0"/>
                  <v:stroke color="#000000" joinstyle="miter"/>
                  <v:imagedata o:title=""/>
                  <o:lock v:ext="edit" aspectratio="f"/>
                  <v:textbox>
                    <w:txbxContent>
                      <w:p>
                        <w:pPr>
                          <w:jc w:val="center"/>
                          <w:rPr>
                            <w:rFonts w:ascii="仿宋_GB2312" w:hAnsi="仿宋" w:eastAsia="仿宋_GB2312"/>
                            <w:color w:val="0070C0"/>
                            <w:szCs w:val="21"/>
                          </w:rPr>
                        </w:pPr>
                        <w:r>
                          <w:rPr>
                            <w:rFonts w:hint="eastAsia" w:ascii="仿宋_GB2312" w:hAnsi="仿宋" w:eastAsia="仿宋_GB2312"/>
                            <w:szCs w:val="21"/>
                          </w:rPr>
                          <w:t>监测季度及年度报告</w:t>
                        </w:r>
                      </w:p>
                    </w:txbxContent>
                  </v:textbox>
                </v:shape>
                <v:shape id="_x0000_s1026" o:spid="_x0000_s1026" o:spt="202" type="#_x0000_t202" style="position:absolute;left:1876425;top:5686425;height:266700;width:1847850;"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pStrWAAAABgEAAA8AAAAA&#10;AAAAAQAgAAAAIgAAAGRycy9kb3ducmV2LnhtbFBLAQIUABQAAAAIAIdO4kDepHmzFgIAAEYEAAAO&#10;AAAAAAAAAAEAIAAAACUBAABkcnMvZTJvRG9jLnhtbFBLBQYAAAAABgAGAFkBAACtBQAAAAA=&#10;">
                  <v:fill on="t" focussize="0,0"/>
                  <v:stroke color="#000000" joinstyle="miter"/>
                  <v:imagedata o:title=""/>
                  <o:lock v:ext="edit" aspectratio="f"/>
                  <v:textbox>
                    <w:txbxContent>
                      <w:p>
                        <w:pPr>
                          <w:jc w:val="center"/>
                          <w:rPr>
                            <w:rFonts w:ascii="仿宋_GB2312" w:hAnsi="仿宋" w:eastAsia="仿宋_GB2312"/>
                            <w:szCs w:val="21"/>
                          </w:rPr>
                        </w:pPr>
                        <w:r>
                          <w:rPr>
                            <w:rFonts w:hint="eastAsia" w:ascii="仿宋_GB2312" w:hAnsi="仿宋" w:eastAsia="仿宋_GB2312"/>
                            <w:szCs w:val="21"/>
                          </w:rPr>
                          <w:t>监测成果汇总与评价</w:t>
                        </w:r>
                      </w:p>
                    </w:txbxContent>
                  </v:textbox>
                </v:shape>
                <v:shape id="文本框 170" o:spid="_x0000_s1026" o:spt="202" type="#_x0000_t202" style="position:absolute;left:2000250;top:6448425;height:266700;width:895350;"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pStrWAAAABgEAAA8A&#10;AAAAAAAAAQAgAAAAIgAAAGRycy9kb3ducmV2LnhtbFBLAQIUABQAAAAIAIdO4kCpgHjcGQIAAEUE&#10;AAAOAAAAAAAAAAEAIAAAACUBAABkcnMvZTJvRG9jLnhtbFBLBQYAAAAABgAGAFkBAACwBQAAAAA=&#10;">
                  <v:fill on="t" focussize="0,0"/>
                  <v:stroke color="#000000" joinstyle="miter"/>
                  <v:imagedata o:title=""/>
                  <o:lock v:ext="edit" aspectratio="f"/>
                  <v:textbox>
                    <w:txbxContent>
                      <w:p>
                        <w:pPr>
                          <w:jc w:val="center"/>
                          <w:rPr>
                            <w:rFonts w:ascii="仿宋_GB2312" w:hAnsi="仿宋" w:eastAsia="仿宋_GB2312"/>
                          </w:rPr>
                        </w:pPr>
                        <w:r>
                          <w:rPr>
                            <w:rFonts w:hint="eastAsia" w:ascii="仿宋_GB2312" w:hAnsi="仿宋" w:eastAsia="仿宋_GB2312"/>
                            <w:szCs w:val="21"/>
                          </w:rPr>
                          <w:t>监测记录</w:t>
                        </w:r>
                        <w:r>
                          <w:rPr>
                            <w:rFonts w:hint="eastAsia" w:ascii="仿宋_GB2312" w:hAnsi="仿宋" w:eastAsia="仿宋_GB2312"/>
                          </w:rPr>
                          <w:t>表</w:t>
                        </w:r>
                      </w:p>
                    </w:txbxContent>
                  </v:textbox>
                </v:shape>
                <v:shape id="文本框 171" o:spid="_x0000_s1026" o:spt="202" type="#_x0000_t202" style="position:absolute;left:2952750;top:6448425;height:266700;width:1019175;"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pStrWAAAABgEAAA8A&#10;AAAAAAAAAQAgAAAAIgAAAGRycy9kb3ducmV2LnhtbFBLAQIUABQAAAAIAIdO4kBJlMoSGQIAAEYE&#10;AAAOAAAAAAAAAAEAIAAAACUBAABkcnMvZTJvRG9jLnhtbFBLBQYAAAAABgAGAFkBAACwBQAAAAA=&#10;">
                  <v:fill on="t" focussize="0,0"/>
                  <v:stroke color="#000000" joinstyle="miter"/>
                  <v:imagedata o:title=""/>
                  <o:lock v:ext="edit" aspectratio="f"/>
                  <v:textbox>
                    <w:txbxContent>
                      <w:p>
                        <w:pPr>
                          <w:jc w:val="center"/>
                          <w:rPr>
                            <w:rFonts w:ascii="仿宋_GB2312" w:hAnsi="仿宋" w:eastAsia="仿宋_GB2312"/>
                          </w:rPr>
                        </w:pPr>
                        <w:r>
                          <w:rPr>
                            <w:rFonts w:hint="eastAsia" w:ascii="仿宋_GB2312" w:hAnsi="仿宋" w:eastAsia="仿宋_GB2312"/>
                            <w:szCs w:val="21"/>
                          </w:rPr>
                          <w:t>监测影像资</w:t>
                        </w:r>
                        <w:r>
                          <w:rPr>
                            <w:rFonts w:hint="eastAsia" w:ascii="仿宋_GB2312" w:hAnsi="仿宋" w:eastAsia="仿宋_GB2312"/>
                          </w:rPr>
                          <w:t>料</w:t>
                        </w:r>
                      </w:p>
                    </w:txbxContent>
                  </v:textbox>
                </v:shape>
                <v:shape id="_x0000_s1026" o:spid="_x0000_s1026" o:spt="202" type="#_x0000_t202" style="position:absolute;left:4029075;top:6448425;height:266700;width:1171575;"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T6lK2tYAAAAGAQAADwAA&#10;AAAAAAABACAAAAAiAAAAZHJzL2Rvd25yZXYueG1sUEsBAhQAFAAAAAgAh07iQHoSb/MYAgAARgQA&#10;AA4AAAAAAAAAAQAgAAAAJQEAAGRycy9lMm9Eb2MueG1sUEsFBgAAAAAGAAYAWQEAAK8FAAAAAA==&#10;">
                  <v:fill on="t" focussize="0,0"/>
                  <v:stroke color="#000000" joinstyle="miter"/>
                  <v:imagedata o:title=""/>
                  <o:lock v:ext="edit" aspectratio="f"/>
                  <v:textbox>
                    <w:txbxContent>
                      <w:p>
                        <w:pPr>
                          <w:jc w:val="center"/>
                          <w:rPr>
                            <w:rFonts w:ascii="仿宋_GB2312" w:hAnsi="仿宋" w:eastAsia="仿宋_GB2312"/>
                            <w:szCs w:val="21"/>
                          </w:rPr>
                        </w:pPr>
                        <w:r>
                          <w:rPr>
                            <w:rFonts w:hint="eastAsia" w:ascii="仿宋_GB2312" w:hAnsi="仿宋" w:eastAsia="仿宋_GB2312"/>
                            <w:szCs w:val="21"/>
                          </w:rPr>
                          <w:t>监测汇报材料</w:t>
                        </w:r>
                      </w:p>
                    </w:txbxContent>
                  </v:textbox>
                </v:shape>
                <v:shape id="_x0000_s1026" o:spid="_x0000_s1026" o:spt="202" type="#_x0000_t202" style="position:absolute;left:0;top:6448425;height:266700;width:1943100;"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T6lK2tYAAAAGAQAADwAAAAAAAAAB&#10;ACAAAAAiAAAAZHJzL2Rvd25yZXYueG1sUEsBAhQAFAAAAAgAh07iQJdeOAESAgAAQAQAAA4AAAAA&#10;AAAAAQAgAAAAJQEAAGRycy9lMm9Eb2MueG1sUEsFBgAAAAAGAAYAWQEAAKkFAAAAAA==&#10;">
                  <v:fill on="t" focussize="0,0"/>
                  <v:stroke color="#000000" joinstyle="miter"/>
                  <v:imagedata o:title=""/>
                  <o:lock v:ext="edit" aspectratio="f"/>
                  <v:textbox>
                    <w:txbxContent>
                      <w:p>
                        <w:pPr>
                          <w:jc w:val="center"/>
                          <w:rPr>
                            <w:rFonts w:ascii="仿宋_GB2312" w:hAnsi="仿宋" w:eastAsia="仿宋_GB2312"/>
                          </w:rPr>
                        </w:pPr>
                        <w:r>
                          <w:rPr>
                            <w:rFonts w:hint="eastAsia" w:ascii="仿宋_GB2312" w:hAnsi="仿宋" w:eastAsia="仿宋_GB2312"/>
                            <w:szCs w:val="21"/>
                          </w:rPr>
                          <w:t>编写监测总结报告及相关图</w:t>
                        </w:r>
                        <w:r>
                          <w:rPr>
                            <w:rFonts w:hint="eastAsia" w:ascii="仿宋_GB2312" w:hAnsi="仿宋" w:eastAsia="仿宋_GB2312"/>
                          </w:rPr>
                          <w:t>件</w:t>
                        </w:r>
                      </w:p>
                    </w:txbxContent>
                  </v:textbox>
                </v:shape>
                <v:shape id="_x0000_s1026" o:spid="_x0000_s1026" o:spt="202" type="#_x0000_t202" style="position:absolute;left:1809750;top:7019925;height:266700;width:1847850;"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pStrWAAAABgEAAA8AAAAA&#10;AAAAAQAgAAAAIgAAAGRycy9kb3ducmV2LnhtbFBLAQIUABQAAAAIAIdO4kB56iDdFgIAAEYEAAAO&#10;AAAAAAAAAAEAIAAAACUBAABkcnMvZTJvRG9jLnhtbFBLBQYAAAAABgAGAFkBAACtBQAAAAA=&#10;">
                  <v:fill on="t" focussize="0,0"/>
                  <v:stroke color="#000000" joinstyle="miter"/>
                  <v:imagedata o:title=""/>
                  <o:lock v:ext="edit" aspectratio="f"/>
                  <v:textbox>
                    <w:txbxContent>
                      <w:p>
                        <w:pPr>
                          <w:jc w:val="center"/>
                          <w:rPr>
                            <w:rFonts w:ascii="仿宋_GB2312" w:hAnsi="仿宋" w:eastAsia="仿宋_GB2312"/>
                          </w:rPr>
                        </w:pPr>
                        <w:r>
                          <w:rPr>
                            <w:rFonts w:hint="eastAsia" w:ascii="仿宋_GB2312" w:hAnsi="仿宋" w:eastAsia="仿宋_GB2312"/>
                            <w:szCs w:val="21"/>
                          </w:rPr>
                          <w:t>提交监测成果</w:t>
                        </w:r>
                      </w:p>
                    </w:txbxContent>
                  </v:textbox>
                </v:shape>
                <v:shape id="_x0000_s1026" o:spid="_x0000_s1026" o:spt="202" type="#_x0000_t202" style="position:absolute;left:1809750;top:7553325;height:266700;width:971550;"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PqUra1gAAAAYBAAAPAAAA&#10;AAAAAAEAIAAAACIAAABkcnMvZG93bnJldi54bWxQSwECFAAUAAAACACHTuJAl78G+RcCAABFBAAA&#10;DgAAAAAAAAABACAAAAAlAQAAZHJzL2Uyb0RvYy54bWxQSwUGAAAAAAYABgBZAQAArgUAAAAA&#10;">
                  <v:fill on="t" focussize="0,0"/>
                  <v:stroke color="#000000" joinstyle="miter"/>
                  <v:imagedata o:title=""/>
                  <o:lock v:ext="edit" aspectratio="f"/>
                  <v:textbox>
                    <w:txbxContent>
                      <w:p>
                        <w:pPr>
                          <w:jc w:val="center"/>
                          <w:rPr>
                            <w:rFonts w:ascii="仿宋_GB2312" w:hAnsi="仿宋" w:eastAsia="仿宋_GB2312"/>
                          </w:rPr>
                        </w:pPr>
                        <w:r>
                          <w:rPr>
                            <w:rFonts w:hint="eastAsia" w:ascii="仿宋_GB2312" w:hAnsi="仿宋" w:eastAsia="仿宋_GB2312"/>
                            <w:szCs w:val="21"/>
                          </w:rPr>
                          <w:t>备案</w:t>
                        </w:r>
                      </w:p>
                    </w:txbxContent>
                  </v:textbox>
                </v:shape>
                <v:shape id="_x0000_s1026" o:spid="_x0000_s1026" o:spt="202" type="#_x0000_t202" style="position:absolute;left:3257550;top:7553325;height:266700;width:1114425;" fillcolor="#FFFFFF" filled="t" stroked="t" coordsize="21600,21600" o:gfxdata="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pStrWAAAABgEAAA8AAAAA&#10;AAAAAQAgAAAAIgAAAGRycy9kb3ducmV2LnhtbFBLAQIUABQAAAAIAIdO4kAK1XDGFgIAAEYEAAAO&#10;AAAAAAAAAAEAIAAAACUBAABkcnMvZTJvRG9jLnhtbFBLBQYAAAAABgAGAFkBAACtBQAAAAA=&#10;">
                  <v:fill on="t" focussize="0,0"/>
                  <v:stroke color="#000000" joinstyle="miter"/>
                  <v:imagedata o:title=""/>
                  <o:lock v:ext="edit" aspectratio="f"/>
                  <v:textbox>
                    <w:txbxContent>
                      <w:p>
                        <w:pPr>
                          <w:jc w:val="center"/>
                          <w:rPr>
                            <w:rFonts w:ascii="仿宋_GB2312" w:hAnsi="仿宋" w:eastAsia="仿宋_GB2312"/>
                          </w:rPr>
                        </w:pPr>
                        <w:r>
                          <w:rPr>
                            <w:rFonts w:hint="eastAsia" w:ascii="仿宋_GB2312" w:hAnsi="仿宋" w:eastAsia="仿宋_GB2312"/>
                            <w:szCs w:val="21"/>
                          </w:rPr>
                          <w:t>竣工验收依据</w:t>
                        </w:r>
                      </w:p>
                    </w:txbxContent>
                  </v:textbox>
                </v:shape>
                <v:line id="_x0000_s1026" o:spid="_x0000_s1026" o:spt="20" style="position:absolute;left:2867025;top:333375;height:257175;width:0;" filled="f" stroked="t" coordsize="21600,21600" o:gfxdata="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rovey2AAAAAYBAAAPAAAAAAAAAAEAIAAAACIAAABkcnMvZG93&#10;bnJldi54bWxQSwECFAAUAAAACACHTuJA/2yqTgACAADqAwAADgAAAAAAAAABACAAAAAnAQAAZHJz&#10;L2Uyb0RvYy54bWxQSwUGAAAAAAYABgBZAQAAmQUAAAAA&#10;">
                  <v:fill on="f" focussize="0,0"/>
                  <v:stroke color="#000000" joinstyle="round" endarrow="block"/>
                  <v:imagedata o:title=""/>
                  <o:lock v:ext="edit" aspectratio="f"/>
                </v:line>
                <v:line id="_x0000_s1026" o:spid="_x0000_s1026" o:spt="20" style="position:absolute;left:2867025;top:857250;height:257175;width:635;" filled="f" stroked="t" coordsize="21600,21600" o:gfxdata="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rovey2AAAAAYBAAAPAAAAAAAAAAEAIAAAACIAAABkcnMvZG93&#10;bnJldi54bWxQSwECFAAUAAAACACHTuJAHsbQOwACAADsAwAADgAAAAAAAAABACAAAAAnAQAAZHJz&#10;L2Uyb0RvYy54bWxQSwUGAAAAAAYABgBZAQAAmQUAAAAA&#10;">
                  <v:fill on="f" focussize="0,0"/>
                  <v:stroke color="#000000" joinstyle="round" endarrow="block"/>
                  <v:imagedata o:title=""/>
                  <o:lock v:ext="edit" aspectratio="f"/>
                </v:line>
                <v:line id="_x0000_s1026" o:spid="_x0000_s1026" o:spt="20" style="position:absolute;left:2867025;top:1381125;height:276225;width:635;" filled="f" stroked="t" coordsize="21600,21600" o:gfxdata="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ui97LYAAAABgEAAA8AAAAAAAAAAQAgAAAAIgAAAGRycy9k&#10;b3ducmV2LnhtbFBLAQIUABQAAAAIAIdO4kCamQXJAgIAAO0DAAAOAAAAAAAAAAEAIAAAACcBAABk&#10;cnMvZTJvRG9jLnhtbFBLBQYAAAAABgAGAFkBAACbBQAAAAA=&#10;">
                  <v:fill on="f" focussize="0,0"/>
                  <v:stroke color="#000000" joinstyle="round" endarrow="block"/>
                  <v:imagedata o:title=""/>
                  <o:lock v:ext="edit" aspectratio="f"/>
                </v:line>
                <v:line id="_x0000_s1026" o:spid="_x0000_s1026" o:spt="20" style="position:absolute;left:1571625;top:1819275;flip:x;height:635;width:352425;" filled="f" stroked="t" coordsize="21600,21600" o:gfxdata="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BfRsn2AAAAAYBAAAPAAAAAAAAAAEAIAAAACIA&#10;AABkcnMvZG93bnJldi54bWxQSwECFAAUAAAACACHTuJAey1fQQkCAAD3AwAADgAAAAAAAAABACAA&#10;AAAnAQAAZHJzL2Uyb0RvYy54bWxQSwUGAAAAAAYABgBZAQAAogUAAAAA&#10;">
                  <v:fill on="f" focussize="0,0"/>
                  <v:stroke color="#000000" joinstyle="round" endarrow="block"/>
                  <v:imagedata o:title=""/>
                  <o:lock v:ext="edit" aspectratio="f"/>
                </v:line>
                <v:line id="_x0000_s1026" o:spid="_x0000_s1026" o:spt="20" style="position:absolute;left:3771900;top:1783080;height:635;width:295275;" filled="f" stroked="t" coordsize="21600,21600" o:gfxdata="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K6L3stgAAAAGAQAADwAAAAAAAAABACAAAAAiAAAAZHJzL2Rv&#10;d25yZXYueG1sUEsBAhQAFAAAAAgAh07iQC7PvvIBAgAA7QMAAA4AAAAAAAAAAQAgAAAAJwEAAGRy&#10;cy9lMm9Eb2MueG1sUEsFBgAAAAAGAAYAWQEAAJoFAAAAAA==&#10;">
                  <v:fill on="f" focussize="0,0"/>
                  <v:stroke color="#000000" joinstyle="round" endarrow="block"/>
                  <v:imagedata o:title=""/>
                  <o:lock v:ext="edit" aspectratio="f"/>
                </v:line>
                <v:line id="_x0000_s1026" o:spid="_x0000_s1026" o:spt="20" style="position:absolute;left:1076325;top:1924050;height:219075;width:0;" filled="f" stroked="t" coordsize="21600,21600" o:gfxdata="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ui97LYAAAABgEAAA8AAAAAAAAAAQAgAAAAIgAAAGRycy9kb3du&#10;cmV2LnhtbFBLAQIUABQAAAAIAIdO4kBrY7wa/wEAAOsDAAAOAAAAAAAAAAEAIAAAACcBAABkcnMv&#10;ZTJvRG9jLnhtbFBLBQYAAAAABgAGAFkBAACYBQAAAAA=&#10;">
                  <v:fill on="f" focussize="0,0"/>
                  <v:stroke color="#000000" joinstyle="round" endarrow="block"/>
                  <v:imagedata o:title=""/>
                  <o:lock v:ext="edit" aspectratio="f"/>
                </v:line>
                <v:line id="_x0000_s1026" o:spid="_x0000_s1026" o:spt="20" style="position:absolute;left:4534535;top:1914525;flip:x;height:191135;width:8890;" filled="f" stroked="t" coordsize="21600,21600" o:gfxdata="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F9GyfYAAAABgEAAA8AAAAAAAAAAQAgAAAAIgAA&#10;AGRycy9kb3ducmV2LnhtbFBLAQIUABQAAAAIAIdO4kC8u/+GCAIAAPgDAAAOAAAAAAAAAAEAIAAA&#10;ACcBAABkcnMvZTJvRG9jLnhtbFBLBQYAAAAABgAGAFkBAAChBQAAAAA=&#10;">
                  <v:fill on="f" focussize="0,0"/>
                  <v:stroke color="#000000" joinstyle="round" endarrow="block"/>
                  <v:imagedata o:title=""/>
                  <o:lock v:ext="edit" aspectratio="f"/>
                </v:line>
                <v:shape id="_x0000_s1026" o:spid="_x0000_s1026" o:spt="34" type="#_x0000_t34" style="position:absolute;left:2623185;top:787400;flip:x y;height:3009900;width:62865;rotation:5898240f;" filled="f" stroked="t" coordsize="21600,21600" o:gfxdata="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8p7UAAAABgEAAA8AAAAAAAAAAQAgAAAAIgAAAGRycy9kb3du&#10;cmV2LnhtbFBLAQIUABQAAAAIAIdO4kB3fcnxPAIAAFAEAAAOAAAAAAAAAAEAIAAAACMBAABkcnMv&#10;ZTJvRG9jLnhtbFBLBQYAAAAABgAGAFkBAADRBQAAAAA=&#10;" adj="-78545">
                  <v:fill on="f" focussize="0,0"/>
                  <v:stroke color="#000000" joinstyle="miter"/>
                  <v:imagedata o:title=""/>
                  <o:lock v:ext="edit" aspectratio="f"/>
                </v:shape>
                <v:line id="_x0000_s1026" o:spid="_x0000_s1026" o:spt="20" style="position:absolute;left:2867025;top:2628900;height:200025;width:0;" filled="f" stroked="t" coordsize="21600,21600" o:gfxdata="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Cui97LYAAAABgEAAA8AAAAAAAAAAQAgAAAAIgAAAGRycy9kb3ducmV2&#10;LnhtbFBLAQIUABQAAAAIAIdO4kCNRl5g/AEAAOsDAAAOAAAAAAAAAAEAIAAAACcBAABkcnMvZTJv&#10;RG9jLnhtbFBLBQYAAAAABgAGAFkBAACVBQAAAAA=&#10;">
                  <v:fill on="f" focussize="0,0"/>
                  <v:stroke color="#000000" joinstyle="round" endarrow="block"/>
                  <v:imagedata o:title=""/>
                  <o:lock v:ext="edit" aspectratio="f"/>
                </v:line>
                <v:line id="_x0000_s1026" o:spid="_x0000_s1026" o:spt="20" style="position:absolute;left:2867025;top:3095625;height:338455;width:635;" filled="f" stroked="t" coordsize="21600,21600" o:gfxdata="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rovey2AAAAAYBAAAPAAAAAAAAAAEAIAAAACIAAABkcnMv&#10;ZG93bnJldi54bWxQSwECFAAUAAAACACHTuJAcy4OBwMCAADtAwAADgAAAAAAAAABACAAAAAnAQAA&#10;ZHJzL2Uyb0RvYy54bWxQSwUGAAAAAAYABgBZAQAAnAUAAAAA&#10;">
                  <v:fill on="f" focussize="0,0"/>
                  <v:stroke color="#000000" joinstyle="round" endarrow="block"/>
                  <v:imagedata o:title=""/>
                  <o:lock v:ext="edit" aspectratio="f"/>
                </v:line>
                <v:line id="_x0000_s1026" o:spid="_x0000_s1026" o:spt="20" style="position:absolute;left:2781300;top:4161790;height:467360;width:635;" filled="f" stroked="t" coordsize="21600,21600" o:gfxdata="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&#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ui97LYAAAABgEAAA8AAAAAAAAAAQAgAAAAIgAAAGRy&#10;cy9kb3ducmV2LnhtbFBLAQIUABQAAAAIAIdO4kBR2dY9BQIAAO0DAAAOAAAAAAAAAAEAIAAAACcB&#10;AABkcnMvZTJvRG9jLnhtbFBLBQYAAAAABgAGAFkBAACeBQAAAAA=&#10;">
                  <v:fill on="f" focussize="0,0"/>
                  <v:stroke color="#000000" joinstyle="round" endarrow="block"/>
                  <v:imagedata o:title=""/>
                  <o:lock v:ext="edit" aspectratio="f"/>
                </v:line>
                <v:line id="_x0000_s1026" o:spid="_x0000_s1026" o:spt="20" style="position:absolute;left:2781300;top:4895850;height:247650;width:635;" filled="f" stroked="t" coordsize="21600,21600" o:gfxdata="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&#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ui97LYAAAABgEAAA8AAAAAAAAAAQAgAAAAIgAAAGRy&#10;cy9kb3ducmV2LnhtbFBLAQIUABQAAAAIAIdO4kAApP/5BQIAAO0DAAAOAAAAAAAAAAEAIAAAACcB&#10;AABkcnMvZTJvRG9jLnhtbFBLBQYAAAAABgAGAFkBAACeBQAAAAA=&#10;">
                  <v:fill on="f" focussize="0,0"/>
                  <v:stroke color="#000000" joinstyle="round" endarrow="block"/>
                  <v:imagedata o:title=""/>
                  <o:lock v:ext="edit" aspectratio="f"/>
                </v:line>
                <v:line id="_x0000_s1026" o:spid="_x0000_s1026" o:spt="20" style="position:absolute;left:2781300;top:5410200;height:276225;width:635;" filled="f" stroked="t" coordsize="21600,21600" o:gfxdata="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K6L3stgAAAAGAQAADwAAAAAAAAABACAAAAAiAAAAZHJz&#10;L2Rvd25yZXYueG1sUEsBAhQAFAAAAAgAh07iQKcHJAsEAgAA7QMAAA4AAAAAAAAAAQAgAAAAJwEA&#10;AGRycy9lMm9Eb2MueG1sUEsFBgAAAAAGAAYAWQEAAJ0FAAAAAA==&#10;">
                  <v:fill on="f" focussize="0,0"/>
                  <v:stroke color="#000000" joinstyle="round" endarrow="block"/>
                  <v:imagedata o:title=""/>
                  <o:lock v:ext="edit" aspectratio="f"/>
                </v:line>
                <v:shape id="_x0000_s1026" o:spid="_x0000_s1026" o:spt="34" type="#_x0000_t34" style="position:absolute;left:2592705;top:4426585;flip:y;height:3643630;width:635;rotation:-5898240f;" filled="f" stroked="t" coordsize="21600,21600" o:gfxdata="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O8cqqDWAAAABgEAAA8AAAAAAAAAAQAgAAAAIgAAAGRycy9kb3du&#10;cmV2LnhtbFBLAQIUABQAAAAIAIdO4kAOCc/iOgIAAE8EAAAOAAAAAAAAAAEAIAAAACUBAABkcnMv&#10;ZTJvRG9jLnhtbFBLBQYAAAAABgAGAFkBAADRBQAAAAA=&#10;" adj="-7776000">
                  <v:fill on="f" focussize="0,0"/>
                  <v:stroke color="#000000" joinstyle="miter" startarrow="block" endarrow="block"/>
                  <v:imagedata o:title=""/>
                  <o:lock v:ext="edit" aspectratio="f"/>
                </v:shape>
                <v:line id="_x0000_s1026" o:spid="_x0000_s1026" o:spt="20" style="position:absolute;left:2781300;top:5953125;height:219075;width:635;" filled="f" stroked="t" coordsize="21600,21600" o:gfxdata="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rovey2AAAAAYBAAAPAAAAAAAAAAEAIAAAACIAAABk&#10;cnMvZG93bnJldi54bWxQSwECFAAUAAAACACHTuJAwjhxEAYCAADtAwAADgAAAAAAAAABACAAAAAn&#10;AQAAZHJzL2Uyb0RvYy54bWxQSwUGAAAAAAYABgBZAQAAnwUAAAAA&#10;">
                  <v:fill on="f" focussize="0,0"/>
                  <v:stroke color="#000000" joinstyle="round" endarrow="block"/>
                  <v:imagedata o:title=""/>
                  <o:lock v:ext="edit" aspectratio="f"/>
                </v:line>
                <v:line id="_x0000_s1026" o:spid="_x0000_s1026" o:spt="20" style="position:absolute;left:2219325;top:6715125;height:304800;width:635;" filled="f" stroked="t" coordsize="21600,21600" o:gfxdata="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K6L3stgAAAAGAQAADwAAAAAAAAABACAAAAAiAAAAZHJz&#10;L2Rvd25yZXYueG1sUEsBAhQAFAAAAAgAh07iQNimdH8EAgAA7QMAAA4AAAAAAAAAAQAgAAAAJwEA&#10;AGRycy9lMm9Eb2MueG1sUEsFBgAAAAAGAAYAWQEAAJ0FAAAAAA==&#10;">
                  <v:fill on="f" focussize="0,0"/>
                  <v:stroke color="#000000" joinstyle="round" endarrow="block"/>
                  <v:imagedata o:title=""/>
                  <o:lock v:ext="edit" aspectratio="f"/>
                </v:line>
                <v:line id="_x0000_s1026" o:spid="_x0000_s1026" o:spt="20" style="position:absolute;left:3257550;top:6715125;height:304800;width:635;" filled="f" stroked="t" coordsize="21600,21600" o:gfxdata="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K6L3stgAAAAGAQAADwAAAAAAAAABACAAAAAiAAAA&#10;ZHJzL2Rvd25yZXYueG1sUEsBAhQAFAAAAAgAh07iQEdOYFAHAgAA7QMAAA4AAAAAAAAAAQAgAAAA&#10;JwEAAGRycy9lMm9Eb2MueG1sUEsFBgAAAAAGAAYAWQEAAKAFAAAAAA==&#10;">
                  <v:fill on="f" focussize="0,0"/>
                  <v:stroke color="#000000" joinstyle="round" endarrow="block"/>
                  <v:imagedata o:title=""/>
                  <o:lock v:ext="edit" aspectratio="f"/>
                </v:line>
                <v:shape id="_x0000_s1026" o:spid="_x0000_s1026" o:spt="33" type="#_x0000_t33" style="position:absolute;left:1171575;top:6515100;flip:x;height:838200;width:438150;rotation:5898240f;" filled="f" stroked="t" coordsize="21600,21600" o:gfxdata="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YjBsi1wAAAAYBAAAPAAAAAAAAAAEAIAAAACIAAABkcnMvZG93bnJldi54bWxQSwECFAAUAAAA&#10;CACHTuJAR1+OmCgCAAAdBAAADgAAAAAAAAABACAAAAAmAQAAZHJzL2Uyb0RvYy54bWxQSwUGAAAA&#10;AAYABgBZAQAAwAUAAAAA&#10;">
                  <v:fill on="f" focussize="0,0"/>
                  <v:stroke color="#000000" joinstyle="miter" endarrow="block"/>
                  <v:imagedata o:title=""/>
                  <o:lock v:ext="edit" aspectratio="f"/>
                </v:shape>
                <v:shape id="_x0000_s1026" o:spid="_x0000_s1026" o:spt="33" type="#_x0000_t33" style="position:absolute;left:3917315;top:6455410;height:957580;width:438150;rotation:5898240f;" filled="f" stroked="t" coordsize="21600,21600" o:gfxdata="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Hpblg7Y&#10;AAAABgEAAA8AAAAAAAAAAQAgAAAAIgAAAGRycy9kb3ducmV2LnhtbFBLAQIUABQAAAAIAIdO4kAb&#10;oMlXIAIAABIEAAAOAAAAAAAAAAEAIAAAACcBAABkcnMvZTJvRG9jLnhtbFBLBQYAAAAABgAGAFkB&#10;AAC5BQAAAAA=&#10;">
                  <v:fill on="f" focussize="0,0"/>
                  <v:stroke color="#000000" joinstyle="miter" endarrow="block"/>
                  <v:imagedata o:title=""/>
                  <o:lock v:ext="edit" aspectratio="f"/>
                </v:shape>
                <v:line id="_x0000_s1026" o:spid="_x0000_s1026" o:spt="20" style="position:absolute;left:2219325;top:7286625;height:266700;width:635;" filled="f" stroked="t" coordsize="21600,21600" o:gfxdata="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K6L3stgAAAAGAQAADwAAAAAAAAABACAAAAAiAAAAZHJz&#10;L2Rvd25yZXYueG1sUEsBAhQAFAAAAAgAh07iQMZ/77IEAgAA7QMAAA4AAAAAAAAAAQAgAAAAJwEA&#10;AGRycy9lMm9Eb2MueG1sUEsFBgAAAAAGAAYAWQEAAJ0FAAAAAA==&#10;">
                  <v:fill on="f" focussize="0,0"/>
                  <v:stroke color="#000000" joinstyle="round" endarrow="block"/>
                  <v:imagedata o:title=""/>
                  <o:lock v:ext="edit" aspectratio="f"/>
                </v:line>
                <v:line id="_x0000_s1026" o:spid="_x0000_s1026" o:spt="20" style="position:absolute;left:2781300;top:7686675;height:635;width:476250;" filled="f" stroked="t" coordsize="21600,21600" o:gfxdata="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rovey2AAAAAYBAAAPAAAAAAAAAAEAIAAAACIAAABk&#10;cnMvZG93bnJldi54bWxQSwECFAAUAAAACACHTuJAMWFYgwYCAADtAwAADgAAAAAAAAABACAAAAAn&#10;AQAAZHJzL2Uyb0RvYy54bWxQSwUGAAAAAAYABgBZAQAAnwUAAAAA&#10;">
                  <v:fill on="f" focussize="0,0"/>
                  <v:stroke color="#000000" joinstyle="round" endarrow="block"/>
                  <v:imagedata o:title=""/>
                  <o:lock v:ext="edit" aspectratio="f"/>
                </v:line>
                <v:shape id="_x0000_s1026" o:spid="_x0000_s1026" o:spt="202" type="#_x0000_t202" style="position:absolute;left:1400175;top:8017510;height:270510;width:2638425;" fillcolor="#FFFFFF" filled="t" stroked="f" coordsize="21600,21600" o:gfxdata="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Dw8U91QAAAAYBAAAPAAAAAAAAAAEAIAAAACIAAABkcnMvZG93&#10;bnJldi54bWxQSwECFAAUAAAACACHTuJAKKYZJsoBAACHAwAADgAAAAAAAAABACAAAAAkAQAAZHJz&#10;L2Uyb0RvYy54bWxQSwUGAAAAAAYABgBZAQAAYAUAAAAA&#10;">
                  <v:fill on="t" focussize="0,0"/>
                  <v:stroke on="f"/>
                  <v:imagedata o:title=""/>
                  <o:lock v:ext="edit" aspectratio="f"/>
                  <v:textbox>
                    <w:txbxContent>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图</w:t>
                        </w:r>
                        <w:r>
                          <w:rPr>
                            <w:rFonts w:hint="eastAsia" w:ascii="Times New Roman" w:hAnsi="Times New Roman" w:eastAsia="微软雅黑" w:cs="Times New Roman"/>
                          </w:rPr>
                          <w:t>6</w:t>
                        </w:r>
                        <w:r>
                          <w:rPr>
                            <w:rFonts w:hint="eastAsia" w:eastAsia="微软雅黑" w:cs="Times New Roman"/>
                            <w:lang w:val="en-US" w:eastAsia="zh-CN"/>
                          </w:rPr>
                          <w:t>-1</w:t>
                        </w:r>
                        <w:r>
                          <w:rPr>
                            <w:rFonts w:hint="default" w:ascii="Times New Roman" w:hAnsi="Times New Roman" w:eastAsia="微软雅黑" w:cs="Times New Roman"/>
                          </w:rPr>
                          <w:t xml:space="preserve">  水土保持监测流程图</w:t>
                        </w:r>
                      </w:p>
                    </w:txbxContent>
                  </v:textbox>
                </v:shape>
                <v:shape id="_x0000_s1026" o:spid="_x0000_s1026" o:spt="202" type="#_x0000_t202" style="position:absolute;left:836295;top:3562350;height:398145;width:735330;" fillcolor="#FFFFFF" filled="t" stroked="t" coordsize="21600,21600" o:gfxdata="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HeUgftYAAAAGAQAADwAAAAAAAAABACAAAAAiAAAAZHJzL2Rvd25yZXYueG1sUEsBAhQAFAAA&#10;AAgAh07iQG6QgqoqAgAAcAQAAA4AAAAAAAAAAQAgAAAAJQEAAGRycy9lMm9Eb2MueG1sUEsFBgAA&#10;AAAGAAYAWQEAAMEFAAAAAA==&#10;">
                  <v:fill on="t" focussize="0,0"/>
                  <v:stroke color="#000000" joinstyle="miter"/>
                  <v:imagedata o:title=""/>
                  <o:lock v:ext="edit" aspectratio="f"/>
                  <v:textbox inset="0.5mm,0mm,0.5mm,0mm">
                    <w:txbxContent>
                      <w:p>
                        <w:pPr>
                          <w:spacing w:line="300" w:lineRule="exact"/>
                          <w:jc w:val="center"/>
                          <w:rPr>
                            <w:rFonts w:ascii="仿宋_GB2312" w:hAnsi="仿宋" w:eastAsia="仿宋_GB2312"/>
                            <w:sz w:val="18"/>
                            <w:szCs w:val="21"/>
                          </w:rPr>
                        </w:pPr>
                        <w:r>
                          <w:rPr>
                            <w:rFonts w:hint="eastAsia" w:ascii="仿宋_GB2312" w:hAnsi="仿宋" w:eastAsia="仿宋_GB2312"/>
                            <w:sz w:val="18"/>
                            <w:szCs w:val="21"/>
                          </w:rPr>
                          <w:t>本底值监测</w:t>
                        </w:r>
                      </w:p>
                    </w:txbxContent>
                  </v:textbox>
                </v:shape>
                <v:shape id="_x0000_s1026" o:spid="_x0000_s1026" o:spt="202" type="#_x0000_t202" style="position:absolute;left:1612265;top:3562350;height:398145;width:735330;" fillcolor="#FFFFFF" filled="t" stroked="t" coordsize="21600,21600" o:gfxdata="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HeUgftYAAAAGAQAADwAAAAAAAAABACAAAAAiAAAAZHJzL2Rvd25yZXYueG1sUEsBAhQAFAAA&#10;AAgAh07iQG0BeBIqAgAAcQQAAA4AAAAAAAAAAQAgAAAAJQEAAGRycy9lMm9Eb2MueG1sUEsFBgAA&#10;AAAGAAYAWQEAAMEFAAAAAA==&#10;">
                  <v:fill on="t" focussize="0,0"/>
                  <v:stroke color="#000000" joinstyle="miter"/>
                  <v:imagedata o:title=""/>
                  <o:lock v:ext="edit" aspectratio="f"/>
                  <v:textbox inset="0.5mm,0mm,0.5mm,0mm">
                    <w:txbxContent>
                      <w:p>
                        <w:pPr>
                          <w:spacing w:line="300" w:lineRule="exact"/>
                          <w:jc w:val="center"/>
                          <w:rPr>
                            <w:rFonts w:ascii="仿宋_GB2312" w:hAnsi="仿宋" w:eastAsia="仿宋_GB2312"/>
                            <w:sz w:val="18"/>
                            <w:szCs w:val="21"/>
                          </w:rPr>
                        </w:pPr>
                        <w:r>
                          <w:rPr>
                            <w:rFonts w:hint="eastAsia" w:ascii="仿宋_GB2312" w:hAnsi="仿宋" w:eastAsia="仿宋_GB2312"/>
                            <w:sz w:val="18"/>
                            <w:szCs w:val="21"/>
                          </w:rPr>
                          <w:t>水土流失状况监测</w:t>
                        </w:r>
                      </w:p>
                    </w:txbxContent>
                  </v:textbox>
                </v:shape>
                <v:shape id="_x0000_s1026" o:spid="_x0000_s1026" o:spt="202" type="#_x0000_t202" style="position:absolute;left:2503805;top:3562350;height:398145;width:735330;" fillcolor="#FFFFFF" filled="t" stroked="t" coordsize="21600,21600" o:gfxdata="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B3lIH7WAAAABgEAAA8AAAAAAAAAAQAgAAAAIgAAAGRycy9kb3ducmV2LnhtbFBLAQIUABQA&#10;AAAIAIdO4kCeRGSPKwIAAHEEAAAOAAAAAAAAAAEAIAAAACUBAABkcnMvZTJvRG9jLnhtbFBLBQYA&#10;AAAABgAGAFkBAADCBQAAAAA=&#10;">
                  <v:fill on="t" focussize="0,0"/>
                  <v:stroke color="#000000" joinstyle="miter"/>
                  <v:imagedata o:title=""/>
                  <o:lock v:ext="edit" aspectratio="f"/>
                  <v:textbox inset="0.5mm,0mm,0.5mm,0mm">
                    <w:txbxContent>
                      <w:p>
                        <w:pPr>
                          <w:spacing w:line="300" w:lineRule="exact"/>
                          <w:jc w:val="center"/>
                          <w:rPr>
                            <w:rFonts w:ascii="仿宋_GB2312" w:hAnsi="仿宋" w:eastAsia="仿宋_GB2312"/>
                            <w:sz w:val="18"/>
                            <w:szCs w:val="21"/>
                          </w:rPr>
                        </w:pPr>
                        <w:r>
                          <w:rPr>
                            <w:rFonts w:hint="eastAsia" w:ascii="仿宋_GB2312" w:hAnsi="仿宋" w:eastAsia="仿宋_GB2312"/>
                            <w:sz w:val="18"/>
                            <w:szCs w:val="21"/>
                          </w:rPr>
                          <w:t>扰动土地监测</w:t>
                        </w:r>
                      </w:p>
                    </w:txbxContent>
                  </v:textbox>
                </v:shape>
                <v:shape id="_x0000_s1026" o:spid="_x0000_s1026" o:spt="202" type="#_x0000_t202" style="position:absolute;left:3476625;top:3549015;height:398145;width:735330;" fillcolor="#FFFFFF" filled="t" stroked="t" coordsize="21600,21600" o:gfxdata="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HeUgftYAAAAGAQAADwAAAAAAAAABACAAAAAiAAAAZHJzL2Rvd25yZXYueG1sUEsBAhQA&#10;FAAAAAgAh07iQJDc+LctAgAAcQQAAA4AAAAAAAAAAQAgAAAAJQEAAGRycy9lMm9Eb2MueG1sUEsF&#10;BgAAAAAGAAYAWQEAAMQFAAAAAA==&#10;">
                  <v:fill on="t" focussize="0,0"/>
                  <v:stroke color="#000000" joinstyle="miter"/>
                  <v:imagedata o:title=""/>
                  <o:lock v:ext="edit" aspectratio="f"/>
                  <v:textbox inset="0.5mm,0mm,0.5mm,0mm">
                    <w:txbxContent>
                      <w:p>
                        <w:pPr>
                          <w:spacing w:line="300" w:lineRule="exact"/>
                          <w:jc w:val="center"/>
                          <w:rPr>
                            <w:rFonts w:ascii="仿宋_GB2312" w:hAnsi="仿宋" w:eastAsia="仿宋_GB2312"/>
                            <w:sz w:val="18"/>
                            <w:szCs w:val="21"/>
                          </w:rPr>
                        </w:pPr>
                        <w:r>
                          <w:rPr>
                            <w:rFonts w:hint="eastAsia" w:ascii="仿宋_GB2312" w:hAnsi="仿宋" w:eastAsia="仿宋_GB2312"/>
                            <w:sz w:val="18"/>
                            <w:szCs w:val="21"/>
                          </w:rPr>
                          <w:t>水土流失危害监测</w:t>
                        </w:r>
                      </w:p>
                    </w:txbxContent>
                  </v:textbox>
                </v:shape>
                <v:shape id="_x0000_s1026" o:spid="_x0000_s1026" o:spt="202" type="#_x0000_t202" style="position:absolute;left:4529455;top:3535045;height:398145;width:735330;" fillcolor="#FFFFFF" filled="t" stroked="t" coordsize="21600,21600" o:gfxdata="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d5SB+1gAAAAYBAAAPAAAAAAAAAAEAIAAAACIAAABkcnMvZG93bnJldi54bWxQSwECFAAU&#10;AAAACACHTuJA5XLRliwCAABxBAAADgAAAAAAAAABACAAAAAlAQAAZHJzL2Uyb0RvYy54bWxQSwUG&#10;AAAAAAYABgBZAQAAwwUAAAAA&#10;">
                  <v:fill on="t" focussize="0,0"/>
                  <v:stroke color="#000000" joinstyle="miter"/>
                  <v:imagedata o:title=""/>
                  <o:lock v:ext="edit" aspectratio="f"/>
                  <v:textbox inset="0.5mm,0mm,0.5mm,0mm">
                    <w:txbxContent>
                      <w:p>
                        <w:pPr>
                          <w:spacing w:line="300" w:lineRule="exact"/>
                          <w:jc w:val="center"/>
                          <w:rPr>
                            <w:rFonts w:ascii="仿宋_GB2312" w:hAnsi="仿宋" w:eastAsia="仿宋_GB2312"/>
                            <w:sz w:val="18"/>
                            <w:szCs w:val="21"/>
                          </w:rPr>
                        </w:pPr>
                        <w:r>
                          <w:rPr>
                            <w:rFonts w:hint="eastAsia" w:ascii="仿宋_GB2312" w:hAnsi="仿宋" w:eastAsia="仿宋_GB2312"/>
                            <w:sz w:val="18"/>
                            <w:szCs w:val="21"/>
                          </w:rPr>
                          <w:t>水土流失防治成效监测</w:t>
                        </w:r>
                      </w:p>
                    </w:txbxContent>
                  </v:textbox>
                </v:shape>
                <v:group id="_x0000_s1026" o:spid="_x0000_s1026" o:spt="203" style="position:absolute;left:436880;top:3960495;height:201930;width:4697095;" coordorigin="-707,6852" coordsize="7397,318" o:gfxdata="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">
                  <o:lock v:ext="edit" aspectratio="f"/>
                  <v:line id="_x0000_s1026" o:spid="_x0000_s1026" o:spt="20" style="position:absolute;left:1754;top:6915;height:255;width:1;" filled="f" stroked="t" coordsize="21600,21600" o:gfxdata="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4/5Y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2986;top:6852;height:255;width:1;" filled="f" stroked="t" coordsize="21600,21600" o:gfxdata="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r1vD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4191;top:6852;height:255;width:1;" filled="f" stroked="t" coordsize="21600,21600" o:gfxdata="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fcW0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5489;top:6852;height:255;width:1;" filled="f" stroked="t" coordsize="21600,21600" o:gfxdata="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MWAv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6688;top:6852;height:317;width:2;" filled="f" stroked="t" coordsize="21600,21600" o:gfxdata="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rvRd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_x0000_s1026" o:spid="_x0000_s1026" o:spt="20" style="position:absolute;left:537;top:6852;height:255;width:1;" filled="f" stroked="t" coordsize="21600,21600" o:gfxdata="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4lHG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707;top:6915;height:255;width:1;" filled="f" stroked="t" coordsize="21600,21600" o:gfxdata="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6AW6G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shape id="_x0000_s1026" o:spid="_x0000_s1026" o:spt="32" type="#_x0000_t32" style="position:absolute;left:-707;top:7169;height:1;width:7397;" filled="f" stroked="t" coordsize="21600,21600" o:gfxdata="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HzY8e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shape>
                </v:group>
                <v:line id="_x0000_s1026" o:spid="_x0000_s1026" o:spt="20" style="position:absolute;left:3879215;top:3353435;height:172085;width:6350;" filled="f" stroked="t" coordsize="21600,21600" o:gfxdata="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Gyx3s1wAAAAYBAAAPAAAAAAAAAAEAIAAAACIAAABk&#10;cnMvZG93bnJldi54bWxQSwECFAAUAAAACACHTuJAud7qCgcCAADuAwAADgAAAAAAAAABACAAAAAm&#10;AQAAZHJzL2Uyb0RvYy54bWxQSwUGAAAAAAYABgBZAQAAnwUAAAAA&#10;">
                  <v:fill on="f" focussize="0,0"/>
                  <v:stroke weight="1pt" color="#000000" joinstyle="round" endarrow="block" endarrowwidth="narrow"/>
                  <v:imagedata o:title=""/>
                  <o:lock v:ext="edit" aspectratio="f"/>
                </v:line>
                <v:line id="_x0000_s1026" o:spid="_x0000_s1026" o:spt="20" style="position:absolute;left:478790;top:3363595;height:228600;width:0;" filled="f" stroked="t" coordsize="21600,21600" o:gfxdata="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&#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Gyx3s1wAAAAYBAAAPAAAAAAAAAAEAIAAAACIAAABk&#10;cnMvZG93bnJldi54bWxQSwECFAAUAAAACACHTuJASWGjnAcCAADqAwAADgAAAAAAAAABACAAAAAm&#10;AQAAZHJzL2Uyb0RvYy54bWxQSwUGAAAAAAYABgBZAQAAnwUAAAAA&#10;">
                  <v:fill on="f" focussize="0,0"/>
                  <v:stroke weight="1pt" color="#000000" joinstyle="round" endarrow="block" endarrowwidth="narrow"/>
                  <v:imagedata o:title=""/>
                  <o:lock v:ext="edit" aspectratio="f"/>
                </v:line>
                <v:line id="_x0000_s1026" o:spid="_x0000_s1026" o:spt="20" style="position:absolute;left:1203325;top:3346450;height:228600;width:0;" filled="f" stroked="t" coordsize="21600,21600" o:gfxdata="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Gyx3s1wAAAAYBAAAPAAAAAAAAAAEAIAAAACIAAABkcnMv&#10;ZG93bnJldi54bWxQSwECFAAUAAAACACHTuJAPmfRsQQCAADrAwAADgAAAAAAAAABACAAAAAmAQAA&#10;ZHJzL2Uyb0RvYy54bWxQSwUGAAAAAAYABgBZAQAAnAUAAAAA&#10;">
                  <v:fill on="f" focussize="0,0"/>
                  <v:stroke weight="1pt" color="#000000" joinstyle="round" endarrow="block" endarrowwidth="narrow"/>
                  <v:imagedata o:title=""/>
                  <o:lock v:ext="edit" aspectratio="f"/>
                </v:line>
                <v:line id="_x0000_s1026" o:spid="_x0000_s1026" o:spt="20" style="position:absolute;left:2051050;top:3350260;height:228600;width:0;" filled="f" stroked="t" coordsize="21600,21600" o:gfxdata="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Gyx3s1wAAAAYBAAAPAAAAAAAAAAEAIAAAACIAAABkcnMv&#10;ZG93bnJldi54bWxQSwECFAAUAAAACACHTuJA0oc+pAQCAADrAwAADgAAAAAAAAABACAAAAAmAQAA&#10;ZHJzL2Uyb0RvYy54bWxQSwUGAAAAAAYABgBZAQAAnAUAAAAA&#10;">
                  <v:fill on="f" focussize="0,0"/>
                  <v:stroke weight="1pt" color="#000000" joinstyle="round" endarrow="block" endarrowwidth="narrow"/>
                  <v:imagedata o:title=""/>
                  <o:lock v:ext="edit" aspectratio="f"/>
                </v:line>
                <v:line id="_x0000_s1026" o:spid="_x0000_s1026" o:spt="20" style="position:absolute;left:4860925;top:3363595;height:167640;width:7620;" filled="f" stroked="t" coordsize="21600,21600" o:gfxdata="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Rssd7NcAAAAGAQAADwAAAAAAAAABACAAAAAi&#10;AAAAZHJzL2Rvd25yZXYueG1sUEsBAhQAFAAAAAgAh07iQE6fWS0LAgAA7gMAAA4AAAAAAAAAAQAg&#10;AAAAJgEAAGRycy9lMm9Eb2MueG1sUEsFBgAAAAAGAAYAWQEAAKMFAAAAAA==&#10;">
                  <v:fill on="f" focussize="0,0"/>
                  <v:stroke weight="1pt" color="#000000" joinstyle="round" endarrow="block" endarrowwidth="narrow"/>
                  <v:imagedata o:title=""/>
                  <o:lock v:ext="edit" aspectratio="f"/>
                </v:line>
                <v:line id="_x0000_s1026" o:spid="_x0000_s1026" o:spt="20" style="position:absolute;left:483870;top:3361055;height:635;width:4381500;" filled="f" stroked="t" coordsize="21600,21600" o:gfxdata="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SWBHDdUAAAAGAQAADwAAAAAAAAABACAAAAAiAAAAZHJzL2Rvd25yZXYu&#10;eG1sUEsBAhQAFAAAAAgAh07iQOdTMaT+AQAA6QMAAA4AAAAAAAAAAQAgAAAAJAEAAGRycy9lMm9E&#10;b2MueG1sUEsFBgAAAAAGAAYAWQEAAJQFAAAAAA==&#10;">
                  <v:fill on="f" focussize="0,0"/>
                  <v:stroke color="#000000" joinstyle="round"/>
                  <v:imagedata o:title=""/>
                  <o:lock v:ext="edit" aspectratio="f"/>
                </v:line>
                <w10:wrap type="none"/>
                <w10:anchorlock/>
              </v:group>
            </w:pict>
          </mc:Fallback>
        </mc:AlternateContent>
      </w:r>
    </w:p>
    <w:p>
      <w:pPr>
        <w:pStyle w:val="4"/>
        <w:bidi w:val="0"/>
        <w:rPr>
          <w:rFonts w:hint="default" w:ascii="Times New Roman" w:hAnsi="Times New Roman" w:cs="Times New Roman"/>
        </w:rPr>
      </w:pPr>
      <w:bookmarkStart w:id="409" w:name="_Toc10798"/>
      <w:bookmarkStart w:id="410" w:name="_Toc25920"/>
      <w:bookmarkStart w:id="411" w:name="_Toc3484"/>
      <w:r>
        <w:rPr>
          <w:rFonts w:hint="default" w:ascii="Times New Roman" w:hAnsi="Times New Roman" w:cs="Times New Roman"/>
        </w:rPr>
        <w:t>7水土保持投资估算及效益分析</w:t>
      </w:r>
      <w:bookmarkEnd w:id="409"/>
      <w:bookmarkEnd w:id="410"/>
      <w:bookmarkEnd w:id="411"/>
    </w:p>
    <w:p>
      <w:pPr>
        <w:pStyle w:val="5"/>
        <w:bidi w:val="0"/>
        <w:rPr>
          <w:rFonts w:hint="default" w:ascii="Times New Roman" w:hAnsi="Times New Roman" w:cs="Times New Roman"/>
        </w:rPr>
      </w:pPr>
      <w:bookmarkStart w:id="412" w:name="_7.1_编制原则及依据"/>
      <w:bookmarkEnd w:id="412"/>
      <w:bookmarkStart w:id="413" w:name="_Toc3255"/>
      <w:bookmarkStart w:id="414" w:name="_Toc5548"/>
      <w:bookmarkStart w:id="415" w:name="_Toc9995"/>
      <w:r>
        <w:rPr>
          <w:rFonts w:hint="default" w:ascii="Times New Roman" w:hAnsi="Times New Roman" w:cs="Times New Roman"/>
        </w:rPr>
        <w:t>7.1投资估算</w:t>
      </w:r>
      <w:bookmarkEnd w:id="413"/>
      <w:bookmarkEnd w:id="414"/>
      <w:bookmarkEnd w:id="415"/>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7.1.1编制原则及依据</w:t>
      </w:r>
    </w:p>
    <w:p>
      <w:pPr>
        <w:pStyle w:val="8"/>
        <w:keepNext/>
        <w:keepLines/>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baseline"/>
        <w:rPr>
          <w:rFonts w:hint="default" w:ascii="Times New Roman" w:hAnsi="Times New Roman" w:eastAsia="仿宋_GB2312" w:cs="Times New Roman"/>
          <w:b/>
          <w:bCs/>
          <w:kern w:val="2"/>
          <w:sz w:val="24"/>
          <w:szCs w:val="24"/>
          <w:highlight w:val="none"/>
        </w:rPr>
      </w:pPr>
      <w:r>
        <w:rPr>
          <w:rFonts w:hint="default" w:ascii="Times New Roman" w:hAnsi="Times New Roman" w:eastAsia="仿宋_GB2312" w:cs="Times New Roman"/>
          <w:b/>
          <w:bCs/>
          <w:kern w:val="2"/>
          <w:sz w:val="24"/>
          <w:szCs w:val="24"/>
          <w:highlight w:val="none"/>
        </w:rPr>
        <w:t>7.1.1.1编制原则</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（1）水土保持投资包括主体工程设计的水土保持功能工程投资及新增水土保持投资水土保持投资估算作为主体工程投资估算的重要组成部分，计入主体工程总投资估算中；</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（2）投资估算编制的项目划分、费用构成、表格形式等应依据水土保持工程概（估）算编制规定编写；</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（3）概算定额、取费项目及费率与主体工程一致，主体工程定额中没有的工程项目，应采用水土保持或相关行业的定额、取费项目及费率；</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（4）水土保持补偿费单独计列；</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（5）价格水平年与主体保持一致，为202</w:t>
      </w:r>
      <w:r>
        <w:rPr>
          <w:rFonts w:hint="eastAsia" w:eastAsia="仿宋_GB2312" w:cs="Times New Roman"/>
          <w:sz w:val="24"/>
          <w:highlight w:val="none"/>
          <w:lang w:val="en-US" w:eastAsia="zh-CN"/>
        </w:rPr>
        <w:t>3</w:t>
      </w:r>
      <w:r>
        <w:rPr>
          <w:rFonts w:hint="default" w:ascii="Times New Roman" w:hAnsi="Times New Roman" w:eastAsia="仿宋_GB2312" w:cs="Times New Roman"/>
          <w:sz w:val="24"/>
          <w:highlight w:val="none"/>
        </w:rPr>
        <w:t>年第</w:t>
      </w:r>
      <w:r>
        <w:rPr>
          <w:rFonts w:hint="eastAsia" w:eastAsia="仿宋_GB2312" w:cs="Times New Roman"/>
          <w:sz w:val="24"/>
          <w:highlight w:val="none"/>
          <w:lang w:val="en-US" w:eastAsia="zh-CN"/>
        </w:rPr>
        <w:t>一</w:t>
      </w:r>
      <w:r>
        <w:rPr>
          <w:rFonts w:hint="default" w:ascii="Times New Roman" w:hAnsi="Times New Roman" w:eastAsia="仿宋_GB2312" w:cs="Times New Roman"/>
          <w:sz w:val="24"/>
          <w:highlight w:val="none"/>
        </w:rPr>
        <w:t>季度价格水平。</w:t>
      </w:r>
    </w:p>
    <w:p>
      <w:pPr>
        <w:pStyle w:val="8"/>
        <w:keepNext/>
        <w:keepLines/>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baseline"/>
        <w:rPr>
          <w:rFonts w:hint="default" w:ascii="Times New Roman" w:hAnsi="Times New Roman" w:eastAsia="仿宋_GB2312" w:cs="Times New Roman"/>
          <w:b/>
          <w:bCs/>
          <w:kern w:val="2"/>
          <w:sz w:val="24"/>
          <w:szCs w:val="24"/>
          <w:highlight w:val="none"/>
        </w:rPr>
      </w:pPr>
      <w:r>
        <w:rPr>
          <w:rFonts w:hint="default" w:ascii="Times New Roman" w:hAnsi="Times New Roman" w:eastAsia="仿宋_GB2312" w:cs="Times New Roman"/>
          <w:b/>
          <w:bCs/>
          <w:kern w:val="2"/>
          <w:sz w:val="24"/>
          <w:szCs w:val="24"/>
          <w:highlight w:val="none"/>
        </w:rPr>
        <w:t>7.1.1.2编制依据</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（1）《水土保持工程概（估）算编制规定和定额》</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rPr>
        <w:t>水利部</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rPr>
        <w:t>水总〔2003〕67号</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rPr>
        <w:t>；</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（2）《开发建设项目水土保持工程概（估）算编制规定》；</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w:t>
      </w:r>
      <w:r>
        <w:rPr>
          <w:rFonts w:hint="eastAsia" w:eastAsia="仿宋_GB2312" w:cs="Times New Roman"/>
          <w:sz w:val="24"/>
          <w:highlight w:val="none"/>
          <w:lang w:val="en-US" w:eastAsia="zh-CN"/>
        </w:rPr>
        <w:t>3</w:t>
      </w:r>
      <w:r>
        <w:rPr>
          <w:rFonts w:hint="default" w:ascii="Times New Roman" w:hAnsi="Times New Roman" w:eastAsia="仿宋_GB2312" w:cs="Times New Roman"/>
          <w:sz w:val="24"/>
          <w:highlight w:val="none"/>
        </w:rPr>
        <w:t>）《关于进一步放开建设项目专业服务价格的通知》（国家发展改革委发改价格〔2015〕299号）；</w:t>
      </w:r>
    </w:p>
    <w:p>
      <w:pPr>
        <w:pageBreakBefore w:val="0"/>
        <w:kinsoku/>
        <w:wordWrap/>
        <w:bidi w:val="0"/>
        <w:spacing w:line="360" w:lineRule="auto"/>
        <w:ind w:firstLine="480" w:firstLineChars="200"/>
        <w:rPr>
          <w:rFonts w:hint="default" w:ascii="Times New Roman" w:hAnsi="Times New Roman" w:eastAsia="仿宋_GB2312" w:cs="Times New Roman"/>
          <w:snapToGrid w:val="0"/>
          <w:sz w:val="24"/>
          <w:highlight w:val="none"/>
        </w:rPr>
      </w:pPr>
      <w:r>
        <w:rPr>
          <w:rFonts w:hint="default" w:ascii="Times New Roman" w:hAnsi="Times New Roman" w:eastAsia="仿宋_GB2312" w:cs="Times New Roman"/>
          <w:sz w:val="24"/>
          <w:highlight w:val="none"/>
        </w:rPr>
        <w:t>（</w:t>
      </w:r>
      <w:r>
        <w:rPr>
          <w:rFonts w:hint="eastAsia" w:eastAsia="仿宋_GB2312" w:cs="Times New Roman"/>
          <w:sz w:val="24"/>
          <w:highlight w:val="none"/>
          <w:lang w:val="en-US" w:eastAsia="zh-CN"/>
        </w:rPr>
        <w:t>4</w:t>
      </w:r>
      <w:r>
        <w:rPr>
          <w:rFonts w:hint="default" w:ascii="Times New Roman" w:hAnsi="Times New Roman" w:eastAsia="仿宋_GB2312" w:cs="Times New Roman"/>
          <w:sz w:val="24"/>
          <w:highlight w:val="none"/>
        </w:rPr>
        <w:t>）《水利部办公厅关于调整水利工程计价依据增值税计算标准的通知》（办财务函〔2019〕448号</w:t>
      </w:r>
      <w:r>
        <w:rPr>
          <w:rFonts w:hint="default" w:ascii="Times New Roman" w:hAnsi="Times New Roman" w:eastAsia="仿宋_GB2312" w:cs="Times New Roman"/>
          <w:snapToGrid w:val="0"/>
          <w:sz w:val="24"/>
          <w:highlight w:val="none"/>
        </w:rPr>
        <w:t>）；</w:t>
      </w:r>
    </w:p>
    <w:p>
      <w:pPr>
        <w:pageBreakBefore w:val="0"/>
        <w:kinsoku/>
        <w:wordWrap/>
        <w:bidi w:val="0"/>
        <w:spacing w:line="360" w:lineRule="auto"/>
        <w:ind w:firstLine="480" w:firstLineChars="200"/>
        <w:rPr>
          <w:rFonts w:hint="default" w:ascii="Times New Roman" w:hAnsi="Times New Roman" w:eastAsia="仿宋_GB2312" w:cs="Times New Roman"/>
          <w:snapToGrid w:val="0"/>
          <w:sz w:val="24"/>
          <w:highlight w:val="none"/>
        </w:rPr>
      </w:pPr>
      <w:r>
        <w:rPr>
          <w:rFonts w:hint="default" w:ascii="Times New Roman" w:hAnsi="Times New Roman" w:eastAsia="仿宋_GB2312" w:cs="Times New Roman"/>
          <w:sz w:val="24"/>
          <w:highlight w:val="none"/>
        </w:rPr>
        <w:t>（</w:t>
      </w:r>
      <w:r>
        <w:rPr>
          <w:rFonts w:hint="eastAsia" w:eastAsia="仿宋_GB2312" w:cs="Times New Roman"/>
          <w:sz w:val="24"/>
          <w:highlight w:val="none"/>
          <w:lang w:val="en-US" w:eastAsia="zh-CN"/>
        </w:rPr>
        <w:t>5</w:t>
      </w:r>
      <w:r>
        <w:rPr>
          <w:rFonts w:hint="default" w:ascii="Times New Roman" w:hAnsi="Times New Roman" w:eastAsia="仿宋_GB2312" w:cs="Times New Roman"/>
          <w:sz w:val="24"/>
          <w:highlight w:val="none"/>
        </w:rPr>
        <w:t>）《吉林省住房和城乡建设厅关于调整定额人工综合工日单价和定额机械费的的通知》（吉建造〔2020〕4号</w:t>
      </w:r>
      <w:r>
        <w:rPr>
          <w:rFonts w:hint="default" w:ascii="Times New Roman" w:hAnsi="Times New Roman" w:eastAsia="仿宋_GB2312" w:cs="Times New Roman"/>
          <w:snapToGrid w:val="0"/>
          <w:sz w:val="24"/>
          <w:highlight w:val="none"/>
        </w:rPr>
        <w:t>）；</w:t>
      </w:r>
    </w:p>
    <w:p>
      <w:pPr>
        <w:pageBreakBefore w:val="0"/>
        <w:kinsoku/>
        <w:wordWrap/>
        <w:bidi w:val="0"/>
        <w:spacing w:line="360" w:lineRule="auto"/>
        <w:ind w:firstLine="480" w:firstLineChars="200"/>
        <w:rPr>
          <w:rFonts w:hint="default" w:ascii="Times New Roman" w:hAnsi="Times New Roman" w:eastAsia="仿宋_GB2312" w:cs="Times New Roman"/>
          <w:snapToGrid w:val="0"/>
          <w:kern w:val="0"/>
          <w:sz w:val="24"/>
          <w:highlight w:val="none"/>
        </w:rPr>
      </w:pPr>
      <w:r>
        <w:rPr>
          <w:rFonts w:hint="default" w:ascii="Times New Roman" w:hAnsi="Times New Roman" w:eastAsia="仿宋_GB2312" w:cs="Times New Roman"/>
          <w:sz w:val="24"/>
          <w:highlight w:val="none"/>
        </w:rPr>
        <w:t>（</w:t>
      </w:r>
      <w:r>
        <w:rPr>
          <w:rFonts w:hint="eastAsia" w:eastAsia="仿宋_GB2312" w:cs="Times New Roman"/>
          <w:sz w:val="24"/>
          <w:highlight w:val="none"/>
          <w:lang w:val="en-US" w:eastAsia="zh-CN"/>
        </w:rPr>
        <w:t>6</w:t>
      </w:r>
      <w:r>
        <w:rPr>
          <w:rFonts w:hint="default" w:ascii="Times New Roman" w:hAnsi="Times New Roman" w:eastAsia="仿宋_GB2312" w:cs="Times New Roman"/>
          <w:sz w:val="24"/>
          <w:highlight w:val="none"/>
        </w:rPr>
        <w:t>）《财政部 国家发展和改革委员会 水利部 中国人民银行关于印发&lt;水土保持补偿费征收使用管理办法&gt;的通知》（财综〔2014〕8号）</w:t>
      </w:r>
      <w:r>
        <w:rPr>
          <w:rFonts w:hint="default" w:ascii="Times New Roman" w:hAnsi="Times New Roman" w:eastAsia="仿宋_GB2312" w:cs="Times New Roman"/>
          <w:snapToGrid w:val="0"/>
          <w:kern w:val="0"/>
          <w:sz w:val="24"/>
          <w:highlight w:val="none"/>
        </w:rPr>
        <w:t>；</w:t>
      </w:r>
    </w:p>
    <w:p>
      <w:pPr>
        <w:spacing w:line="360" w:lineRule="auto"/>
        <w:ind w:firstLine="48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w:t>
      </w:r>
      <w:r>
        <w:rPr>
          <w:rFonts w:hint="eastAsia" w:eastAsia="仿宋_GB2312" w:cs="Times New Roman"/>
          <w:sz w:val="24"/>
          <w:highlight w:val="none"/>
          <w:lang w:val="en-US" w:eastAsia="zh-CN"/>
        </w:rPr>
        <w:t>7</w:t>
      </w:r>
      <w:r>
        <w:rPr>
          <w:rFonts w:hint="default" w:ascii="Times New Roman" w:hAnsi="Times New Roman" w:eastAsia="仿宋_GB2312" w:cs="Times New Roman"/>
          <w:sz w:val="24"/>
          <w:highlight w:val="none"/>
        </w:rPr>
        <w:t>）《财政部关于水土保持补偿费等四项非税收入划转税务部门征收的通知》（财税〔2020〕58号）</w:t>
      </w:r>
    </w:p>
    <w:p>
      <w:pPr>
        <w:spacing w:line="360" w:lineRule="auto"/>
        <w:ind w:firstLine="480"/>
        <w:rPr>
          <w:rFonts w:hint="default" w:ascii="Times New Roman" w:hAnsi="Times New Roman" w:eastAsia="仿宋_GB2312" w:cs="Times New Roman"/>
          <w:sz w:val="24"/>
          <w:highlight w:val="none"/>
          <w:lang w:eastAsia="zh-CN"/>
        </w:rPr>
      </w:pPr>
      <w:r>
        <w:rPr>
          <w:rFonts w:hint="default" w:ascii="Times New Roman" w:hAnsi="Times New Roman" w:eastAsia="仿宋_GB2312" w:cs="Times New Roman"/>
          <w:sz w:val="24"/>
          <w:highlight w:val="none"/>
        </w:rPr>
        <w:t>（</w:t>
      </w:r>
      <w:r>
        <w:rPr>
          <w:rFonts w:hint="eastAsia" w:eastAsia="仿宋_GB2312" w:cs="Times New Roman"/>
          <w:sz w:val="24"/>
          <w:highlight w:val="none"/>
          <w:lang w:val="en-US" w:eastAsia="zh-CN"/>
        </w:rPr>
        <w:t>8</w:t>
      </w:r>
      <w:r>
        <w:rPr>
          <w:rFonts w:hint="default" w:ascii="Times New Roman" w:hAnsi="Times New Roman" w:eastAsia="仿宋_GB2312" w:cs="Times New Roman"/>
          <w:sz w:val="24"/>
          <w:highlight w:val="none"/>
        </w:rPr>
        <w:t>）《吉林省财政厅 吉林省发展和改革委员会 吉林省水利厅 国家税务总局吉林省税务局 中国人民银行长春中心支行关于印发&lt;吉林省水土保持补偿费征收使用管理办法&gt;的通知》（吉财税〔2022〕952号）</w:t>
      </w:r>
      <w:r>
        <w:rPr>
          <w:rFonts w:hint="default" w:ascii="Times New Roman" w:hAnsi="Times New Roman" w:eastAsia="仿宋_GB2312" w:cs="Times New Roman"/>
          <w:sz w:val="24"/>
          <w:highlight w:val="none"/>
          <w:lang w:eastAsia="zh-CN"/>
        </w:rPr>
        <w:t>；</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w:t>
      </w:r>
      <w:r>
        <w:rPr>
          <w:rFonts w:hint="eastAsia" w:eastAsia="仿宋_GB2312" w:cs="Times New Roman"/>
          <w:sz w:val="24"/>
          <w:highlight w:val="none"/>
          <w:lang w:val="en-US" w:eastAsia="zh-CN"/>
        </w:rPr>
        <w:t>9</w:t>
      </w:r>
      <w:r>
        <w:rPr>
          <w:rFonts w:hint="default" w:ascii="Times New Roman" w:hAnsi="Times New Roman" w:eastAsia="仿宋_GB2312" w:cs="Times New Roman"/>
          <w:sz w:val="24"/>
          <w:highlight w:val="none"/>
        </w:rPr>
        <w:t>）《吉林省发展改革委 吉林省财政厅 吉林省水利厅关于核定吉林省水土保持补偿费收费标准及有关问题的通知》（吉发改收费联〔2022〕670号）；</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w:t>
      </w:r>
      <w:r>
        <w:rPr>
          <w:rFonts w:hint="eastAsia" w:ascii="Times New Roman" w:hAnsi="Times New Roman" w:eastAsia="仿宋_GB2312" w:cs="Times New Roman"/>
          <w:sz w:val="24"/>
          <w:highlight w:val="none"/>
          <w:lang w:val="en-US" w:eastAsia="zh-CN"/>
        </w:rPr>
        <w:t>1</w:t>
      </w:r>
      <w:r>
        <w:rPr>
          <w:rFonts w:hint="eastAsia" w:eastAsia="仿宋_GB2312" w:cs="Times New Roman"/>
          <w:sz w:val="24"/>
          <w:highlight w:val="none"/>
          <w:lang w:val="en-US" w:eastAsia="zh-CN"/>
        </w:rPr>
        <w:t>0</w:t>
      </w:r>
      <w:r>
        <w:rPr>
          <w:rFonts w:hint="default" w:ascii="Times New Roman" w:hAnsi="Times New Roman" w:eastAsia="仿宋_GB2312" w:cs="Times New Roman"/>
          <w:sz w:val="24"/>
          <w:highlight w:val="none"/>
        </w:rPr>
        <w:t>）《国家税务总局吉林省税务局 吉林省财政厅 吉林省水利厅关于印发&lt;吉林省水土保持补偿费、地方水库移民扶持基金征管职责划转工作实施方案&gt;的通知》（吉税发〔2020〕67号）</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w:t>
      </w:r>
      <w:r>
        <w:rPr>
          <w:rFonts w:hint="eastAsia" w:ascii="Times New Roman" w:hAnsi="Times New Roman" w:eastAsia="仿宋_GB2312" w:cs="Times New Roman"/>
          <w:sz w:val="24"/>
          <w:highlight w:val="none"/>
          <w:lang w:val="en-US" w:eastAsia="zh-CN"/>
        </w:rPr>
        <w:t>1</w:t>
      </w:r>
      <w:r>
        <w:rPr>
          <w:rFonts w:hint="eastAsia" w:eastAsia="仿宋_GB2312" w:cs="Times New Roman"/>
          <w:sz w:val="24"/>
          <w:highlight w:val="none"/>
          <w:lang w:val="en-US" w:eastAsia="zh-CN"/>
        </w:rPr>
        <w:t>1</w:t>
      </w:r>
      <w:r>
        <w:rPr>
          <w:rFonts w:hint="default" w:ascii="Times New Roman" w:hAnsi="Times New Roman" w:eastAsia="仿宋_GB2312" w:cs="Times New Roman"/>
          <w:sz w:val="24"/>
          <w:highlight w:val="none"/>
        </w:rPr>
        <w:t>）《吉林省水利厅关于进一步</w:t>
      </w:r>
      <w:r>
        <w:rPr>
          <w:rFonts w:hint="default" w:ascii="Times New Roman" w:hAnsi="Times New Roman" w:eastAsia="仿宋_GB2312" w:cs="Times New Roman"/>
          <w:sz w:val="24"/>
          <w:highlight w:val="none"/>
          <w:lang w:val="en-US" w:eastAsia="zh-CN"/>
        </w:rPr>
        <w:t>做好全省</w:t>
      </w:r>
      <w:r>
        <w:rPr>
          <w:rFonts w:hint="default" w:ascii="Times New Roman" w:hAnsi="Times New Roman" w:eastAsia="仿宋_GB2312" w:cs="Times New Roman"/>
          <w:sz w:val="24"/>
          <w:highlight w:val="none"/>
        </w:rPr>
        <w:t>水土保持补偿费征收</w:t>
      </w:r>
      <w:r>
        <w:rPr>
          <w:rFonts w:hint="default" w:ascii="Times New Roman" w:hAnsi="Times New Roman" w:eastAsia="仿宋_GB2312" w:cs="Times New Roman"/>
          <w:sz w:val="24"/>
          <w:highlight w:val="none"/>
          <w:lang w:val="en-US" w:eastAsia="zh-CN"/>
        </w:rPr>
        <w:t>使用</w:t>
      </w:r>
      <w:r>
        <w:rPr>
          <w:rFonts w:hint="default" w:ascii="Times New Roman" w:hAnsi="Times New Roman" w:eastAsia="仿宋_GB2312" w:cs="Times New Roman"/>
          <w:sz w:val="24"/>
          <w:highlight w:val="none"/>
        </w:rPr>
        <w:t>有关工作的通知》（吉水保函〔202</w:t>
      </w:r>
      <w:r>
        <w:rPr>
          <w:rFonts w:hint="default" w:ascii="Times New Roman" w:hAnsi="Times New Roman" w:eastAsia="仿宋_GB2312" w:cs="Times New Roman"/>
          <w:sz w:val="24"/>
          <w:highlight w:val="none"/>
          <w:lang w:val="en-US" w:eastAsia="zh-CN"/>
        </w:rPr>
        <w:t>3</w:t>
      </w:r>
      <w:r>
        <w:rPr>
          <w:rFonts w:hint="default" w:ascii="Times New Roman" w:hAnsi="Times New Roman" w:eastAsia="仿宋_GB2312" w:cs="Times New Roman"/>
          <w:sz w:val="24"/>
          <w:highlight w:val="none"/>
        </w:rPr>
        <w:t>〕1号）。</w:t>
      </w:r>
    </w:p>
    <w:p>
      <w:pPr>
        <w:pStyle w:val="6"/>
        <w:bidi w:val="0"/>
        <w:rPr>
          <w:rFonts w:hint="default" w:ascii="Times New Roman" w:hAnsi="Times New Roman" w:cs="Times New Roman"/>
          <w:lang w:val="en-US" w:eastAsia="zh-CN"/>
        </w:rPr>
      </w:pPr>
      <w:r>
        <w:rPr>
          <w:rFonts w:hint="default" w:ascii="Times New Roman" w:hAnsi="Times New Roman" w:cs="Times New Roman"/>
          <w:lang w:val="en-US" w:eastAsia="zh-CN"/>
        </w:rPr>
        <w:t>7.1.2编制说明与估算成果</w:t>
      </w:r>
    </w:p>
    <w:p>
      <w:pPr>
        <w:pStyle w:val="8"/>
        <w:keepNext/>
        <w:keepLines/>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baseline"/>
        <w:rPr>
          <w:rFonts w:hint="default" w:ascii="Times New Roman" w:hAnsi="Times New Roman" w:eastAsia="仿宋_GB2312" w:cs="Times New Roman"/>
          <w:b/>
          <w:bCs/>
          <w:kern w:val="2"/>
          <w:sz w:val="24"/>
          <w:szCs w:val="24"/>
          <w:highlight w:val="none"/>
        </w:rPr>
      </w:pPr>
      <w:r>
        <w:rPr>
          <w:rFonts w:hint="default" w:ascii="Times New Roman" w:hAnsi="Times New Roman" w:eastAsia="仿宋_GB2312" w:cs="Times New Roman"/>
          <w:b/>
          <w:bCs/>
          <w:kern w:val="2"/>
          <w:sz w:val="24"/>
          <w:szCs w:val="24"/>
          <w:highlight w:val="none"/>
        </w:rPr>
        <w:t>7.1.2.1基础单价</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bookmarkStart w:id="416" w:name="_7.2_费用构成"/>
      <w:bookmarkEnd w:id="416"/>
      <w:r>
        <w:rPr>
          <w:rFonts w:hint="default" w:ascii="Times New Roman" w:hAnsi="Times New Roman" w:eastAsia="仿宋_GB2312" w:cs="Times New Roman"/>
          <w:sz w:val="24"/>
          <w:highlight w:val="none"/>
        </w:rPr>
        <w:t>水土保持工程投资概（估）算以水利部水总〔2003〕67号文发布的《水土保持生态建设工程概（估）算编制规定》为主要依据，并根据国家有关水土保持工程的规程、规范和有关标准，结合</w:t>
      </w:r>
      <w:r>
        <w:rPr>
          <w:rFonts w:hint="default" w:ascii="Times New Roman" w:hAnsi="Times New Roman" w:eastAsia="仿宋_GB2312" w:cs="Times New Roman"/>
          <w:sz w:val="24"/>
          <w:highlight w:val="none"/>
          <w:lang w:eastAsia="zh-CN"/>
        </w:rPr>
        <w:t>本期工程</w:t>
      </w:r>
      <w:r>
        <w:rPr>
          <w:rFonts w:hint="default" w:ascii="Times New Roman" w:hAnsi="Times New Roman" w:eastAsia="仿宋_GB2312" w:cs="Times New Roman"/>
          <w:sz w:val="24"/>
          <w:highlight w:val="none"/>
        </w:rPr>
        <w:t>的具体情况进行编制。水土保持工程投资包括水土保持工程费和水土保持补偿费两部分。水土保持工程费用由水土保持工程措施、植物措施、临时工程、独立费用及基本预备费组成。</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（1）人工工资预算价格</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bCs/>
          <w:iCs/>
          <w:sz w:val="24"/>
          <w:highlight w:val="none"/>
        </w:rPr>
        <w:t>人工工资预算单价与主体工程一致，</w:t>
      </w:r>
      <w:r>
        <w:rPr>
          <w:rFonts w:hint="default" w:ascii="Times New Roman" w:hAnsi="Times New Roman" w:eastAsia="仿宋_GB2312" w:cs="Times New Roman"/>
          <w:sz w:val="24"/>
          <w:highlight w:val="none"/>
        </w:rPr>
        <w:t>人工工时估算单价为20.00元/工时。</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lang w:val="en-US" w:eastAsia="zh-CN"/>
        </w:rPr>
        <w:t>2</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rPr>
        <w:t>主要材料价格估算价格</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材料价格中主要包括材料原价、材料运杂费、材料采购保险费等。工程所需主要材料均可就近供应，其材料及植物价格均参照当地现行价格计算。</w:t>
      </w:r>
    </w:p>
    <w:p>
      <w:pPr>
        <w:pageBreakBefore w:val="0"/>
        <w:kinsoku/>
        <w:wordWrap/>
        <w:bidi w:val="0"/>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（3）定额及取费标准</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color w:val="auto"/>
          <w:sz w:val="24"/>
        </w:rPr>
        <w:t>水土保持工程定额执行水利部水总〔2003〕67号文发布的《水土保持工程概算定额》。费率计取依据《开发建设项目水土保持工程概（估）算编制规定》。</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lang w:val="en-US" w:eastAsia="zh-CN"/>
        </w:rPr>
        <w:t>4</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rPr>
        <w:t>水电费</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工程用水按2.50元/t计，电费按1.00元/kw.h计。</w:t>
      </w:r>
    </w:p>
    <w:p>
      <w:pPr>
        <w:pStyle w:val="8"/>
        <w:keepNext/>
        <w:keepLines/>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baseline"/>
        <w:rPr>
          <w:rFonts w:hint="default" w:ascii="Times New Roman" w:hAnsi="Times New Roman" w:eastAsia="仿宋_GB2312" w:cs="Times New Roman"/>
          <w:b/>
          <w:bCs/>
          <w:kern w:val="2"/>
          <w:sz w:val="24"/>
          <w:szCs w:val="24"/>
          <w:highlight w:val="none"/>
        </w:rPr>
      </w:pPr>
      <w:r>
        <w:rPr>
          <w:rFonts w:hint="default" w:ascii="Times New Roman" w:hAnsi="Times New Roman" w:eastAsia="仿宋_GB2312" w:cs="Times New Roman"/>
          <w:b/>
          <w:bCs/>
          <w:kern w:val="2"/>
          <w:sz w:val="24"/>
          <w:szCs w:val="24"/>
          <w:highlight w:val="none"/>
        </w:rPr>
        <w:t>7.1.2.2费用构成</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工程措施定额与主体工程一致，不足部分采用水土保持定额，植物措施采用《开发建设项目水土保持工程概（估）算编制规定》（水利部水总〔2003〕67号文）及</w:t>
      </w:r>
      <w:r>
        <w:rPr>
          <w:rFonts w:hint="default" w:ascii="Times New Roman" w:hAnsi="Times New Roman" w:eastAsia="仿宋_GB2312" w:cs="Times New Roman"/>
          <w:snapToGrid w:val="0"/>
          <w:color w:val="auto"/>
          <w:kern w:val="0"/>
          <w:sz w:val="24"/>
        </w:rPr>
        <w:t>《水利部办公厅关于调整水利工程计价依据增值税计算标准的通知》（办财务函〔2019〕448号）计取。</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（1）其他直接费：按直接费的4.00%计取，植物措施按直接费的2.50%计取。</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（2）现场经费：以直接费为计费基础，工程措施取5.00%；植物措施按直接费的4.00%计取。</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（3）间接费：工程措施以直接工程费为计费基础，工程措施取4.40%；植物措施按直接工程费的3.30%计取。</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（4）企业利润：工程措施按直接工程费和间接费之和的7.00%计取。植物措施按直接工程费和间接费之和的5.00%计取。</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（5）税金：部分工程措施和植物措施，均按直接工程费、间接费、企业利润之和的9.00%计取。</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（6）扩大系数：由于</w:t>
      </w:r>
      <w:r>
        <w:rPr>
          <w:rFonts w:hint="default" w:ascii="Times New Roman" w:hAnsi="Times New Roman" w:eastAsia="仿宋_GB2312" w:cs="Times New Roman"/>
          <w:bCs/>
          <w:sz w:val="24"/>
          <w:highlight w:val="none"/>
          <w:lang w:eastAsia="zh-CN"/>
        </w:rPr>
        <w:t>本期项目</w:t>
      </w:r>
      <w:r>
        <w:rPr>
          <w:rFonts w:hint="default" w:ascii="Times New Roman" w:hAnsi="Times New Roman" w:eastAsia="仿宋_GB2312" w:cs="Times New Roman"/>
          <w:bCs/>
          <w:sz w:val="24"/>
          <w:highlight w:val="none"/>
        </w:rPr>
        <w:t>设计阶段为可行性研究，故单价乘以10.00%的扩大系数。</w:t>
      </w:r>
    </w:p>
    <w:p>
      <w:pPr>
        <w:pageBreakBefore w:val="0"/>
        <w:kinsoku/>
        <w:wordWrap/>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费用构成及取费标准详见表7-1。</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sz w:val="21"/>
          <w:szCs w:val="21"/>
        </w:rPr>
        <w:t>表7-1</w:t>
      </w:r>
      <w:r>
        <w:rPr>
          <w:rFonts w:hint="default"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rPr>
        <w:t>工程费率表</w:t>
      </w:r>
    </w:p>
    <w:tbl>
      <w:tblPr>
        <w:tblStyle w:val="88"/>
        <w:tblW w:w="5000" w:type="pct"/>
        <w:jc w:val="center"/>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735"/>
        <w:gridCol w:w="1747"/>
        <w:gridCol w:w="3563"/>
        <w:gridCol w:w="1242"/>
        <w:gridCol w:w="1242"/>
      </w:tblGrid>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31" w:type="pct"/>
            <w:vMerge w:val="restar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b/>
                <w:snapToGrid w:val="0"/>
                <w:kern w:val="0"/>
                <w:szCs w:val="21"/>
                <w:highlight w:val="none"/>
              </w:rPr>
            </w:pPr>
            <w:r>
              <w:rPr>
                <w:rFonts w:hint="default" w:ascii="Times New Roman" w:hAnsi="Times New Roman" w:eastAsia="仿宋_GB2312" w:cs="Times New Roman"/>
                <w:b/>
                <w:snapToGrid w:val="0"/>
                <w:kern w:val="0"/>
                <w:szCs w:val="21"/>
                <w:highlight w:val="none"/>
              </w:rPr>
              <w:t>序号</w:t>
            </w:r>
          </w:p>
        </w:tc>
        <w:tc>
          <w:tcPr>
            <w:tcW w:w="1024" w:type="pct"/>
            <w:vMerge w:val="restar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b/>
                <w:snapToGrid w:val="0"/>
                <w:kern w:val="0"/>
                <w:szCs w:val="21"/>
                <w:highlight w:val="none"/>
              </w:rPr>
            </w:pPr>
            <w:r>
              <w:rPr>
                <w:rFonts w:hint="default" w:ascii="Times New Roman" w:hAnsi="Times New Roman" w:eastAsia="仿宋_GB2312" w:cs="Times New Roman"/>
                <w:b/>
                <w:snapToGrid w:val="0"/>
                <w:kern w:val="0"/>
                <w:szCs w:val="21"/>
                <w:highlight w:val="none"/>
              </w:rPr>
              <w:t>项目</w:t>
            </w:r>
          </w:p>
        </w:tc>
        <w:tc>
          <w:tcPr>
            <w:tcW w:w="2088" w:type="pct"/>
            <w:vMerge w:val="restar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b/>
                <w:snapToGrid w:val="0"/>
                <w:kern w:val="0"/>
                <w:szCs w:val="21"/>
                <w:highlight w:val="none"/>
              </w:rPr>
            </w:pPr>
            <w:r>
              <w:rPr>
                <w:rFonts w:hint="default" w:ascii="Times New Roman" w:hAnsi="Times New Roman" w:eastAsia="仿宋_GB2312" w:cs="Times New Roman"/>
                <w:b/>
                <w:snapToGrid w:val="0"/>
                <w:kern w:val="0"/>
                <w:szCs w:val="21"/>
                <w:highlight w:val="none"/>
              </w:rPr>
              <w:t>计算基数</w:t>
            </w:r>
          </w:p>
        </w:tc>
        <w:tc>
          <w:tcPr>
            <w:tcW w:w="1455" w:type="pct"/>
            <w:gridSpan w:val="2"/>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b/>
                <w:snapToGrid w:val="0"/>
                <w:kern w:val="0"/>
                <w:szCs w:val="21"/>
                <w:highlight w:val="none"/>
              </w:rPr>
            </w:pPr>
            <w:r>
              <w:rPr>
                <w:rFonts w:hint="default" w:ascii="Times New Roman" w:hAnsi="Times New Roman" w:eastAsia="仿宋_GB2312" w:cs="Times New Roman"/>
                <w:b/>
                <w:snapToGrid w:val="0"/>
                <w:kern w:val="0"/>
                <w:szCs w:val="21"/>
                <w:highlight w:val="none"/>
              </w:rPr>
              <w:t>费率（%）</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31" w:type="pct"/>
            <w:vMerge w:val="continue"/>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b/>
                <w:snapToGrid w:val="0"/>
                <w:kern w:val="0"/>
                <w:szCs w:val="21"/>
                <w:highlight w:val="none"/>
              </w:rPr>
            </w:pPr>
          </w:p>
        </w:tc>
        <w:tc>
          <w:tcPr>
            <w:tcW w:w="1024" w:type="pct"/>
            <w:vMerge w:val="continue"/>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b/>
                <w:snapToGrid w:val="0"/>
                <w:kern w:val="0"/>
                <w:szCs w:val="21"/>
                <w:highlight w:val="none"/>
              </w:rPr>
            </w:pPr>
          </w:p>
        </w:tc>
        <w:tc>
          <w:tcPr>
            <w:tcW w:w="2088" w:type="pct"/>
            <w:vMerge w:val="continue"/>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b/>
                <w:snapToGrid w:val="0"/>
                <w:kern w:val="0"/>
                <w:szCs w:val="21"/>
                <w:highlight w:val="none"/>
              </w:rPr>
            </w:pPr>
          </w:p>
        </w:tc>
        <w:tc>
          <w:tcPr>
            <w:tcW w:w="728"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b/>
                <w:snapToGrid w:val="0"/>
                <w:kern w:val="0"/>
                <w:szCs w:val="21"/>
                <w:highlight w:val="none"/>
              </w:rPr>
            </w:pPr>
            <w:r>
              <w:rPr>
                <w:rFonts w:hint="default" w:ascii="Times New Roman" w:hAnsi="Times New Roman" w:eastAsia="仿宋_GB2312" w:cs="Times New Roman"/>
                <w:b/>
                <w:snapToGrid w:val="0"/>
                <w:kern w:val="0"/>
                <w:szCs w:val="21"/>
                <w:highlight w:val="none"/>
              </w:rPr>
              <w:t>工程措施</w:t>
            </w:r>
          </w:p>
        </w:tc>
        <w:tc>
          <w:tcPr>
            <w:tcW w:w="726"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b/>
                <w:snapToGrid w:val="0"/>
                <w:kern w:val="0"/>
                <w:szCs w:val="21"/>
                <w:highlight w:val="none"/>
              </w:rPr>
            </w:pPr>
            <w:r>
              <w:rPr>
                <w:rFonts w:hint="default" w:ascii="Times New Roman" w:hAnsi="Times New Roman" w:eastAsia="仿宋_GB2312" w:cs="Times New Roman"/>
                <w:b/>
                <w:snapToGrid w:val="0"/>
                <w:kern w:val="0"/>
                <w:szCs w:val="21"/>
                <w:highlight w:val="none"/>
              </w:rPr>
              <w:t>植物措施</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31"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1</w:t>
            </w:r>
          </w:p>
        </w:tc>
        <w:tc>
          <w:tcPr>
            <w:tcW w:w="1024"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其他直接费率</w:t>
            </w:r>
          </w:p>
        </w:tc>
        <w:tc>
          <w:tcPr>
            <w:tcW w:w="2088"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直接费</w:t>
            </w:r>
          </w:p>
        </w:tc>
        <w:tc>
          <w:tcPr>
            <w:tcW w:w="728"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4.00</w:t>
            </w:r>
          </w:p>
        </w:tc>
        <w:tc>
          <w:tcPr>
            <w:tcW w:w="726"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2.50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31"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2</w:t>
            </w:r>
          </w:p>
        </w:tc>
        <w:tc>
          <w:tcPr>
            <w:tcW w:w="1024"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现场经费费率</w:t>
            </w:r>
          </w:p>
        </w:tc>
        <w:tc>
          <w:tcPr>
            <w:tcW w:w="2088"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直接费</w:t>
            </w:r>
          </w:p>
        </w:tc>
        <w:tc>
          <w:tcPr>
            <w:tcW w:w="728"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5.00</w:t>
            </w:r>
          </w:p>
        </w:tc>
        <w:tc>
          <w:tcPr>
            <w:tcW w:w="726"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4.00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31"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3</w:t>
            </w:r>
          </w:p>
        </w:tc>
        <w:tc>
          <w:tcPr>
            <w:tcW w:w="1024"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间接费率</w:t>
            </w:r>
          </w:p>
        </w:tc>
        <w:tc>
          <w:tcPr>
            <w:tcW w:w="2088"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直接工程费</w:t>
            </w:r>
          </w:p>
        </w:tc>
        <w:tc>
          <w:tcPr>
            <w:tcW w:w="728"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4.40</w:t>
            </w:r>
          </w:p>
        </w:tc>
        <w:tc>
          <w:tcPr>
            <w:tcW w:w="726"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3.30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31"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4</w:t>
            </w:r>
          </w:p>
        </w:tc>
        <w:tc>
          <w:tcPr>
            <w:tcW w:w="1024"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企业利润</w:t>
            </w:r>
          </w:p>
        </w:tc>
        <w:tc>
          <w:tcPr>
            <w:tcW w:w="2088"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直接工程费+间接费</w:t>
            </w:r>
          </w:p>
        </w:tc>
        <w:tc>
          <w:tcPr>
            <w:tcW w:w="728"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7.00</w:t>
            </w:r>
          </w:p>
        </w:tc>
        <w:tc>
          <w:tcPr>
            <w:tcW w:w="726"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5.00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31"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5</w:t>
            </w:r>
          </w:p>
        </w:tc>
        <w:tc>
          <w:tcPr>
            <w:tcW w:w="1024"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税金</w:t>
            </w:r>
          </w:p>
        </w:tc>
        <w:tc>
          <w:tcPr>
            <w:tcW w:w="2088"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直接工程费+间接费+企业利润</w:t>
            </w:r>
          </w:p>
        </w:tc>
        <w:tc>
          <w:tcPr>
            <w:tcW w:w="728"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9.00</w:t>
            </w:r>
          </w:p>
        </w:tc>
        <w:tc>
          <w:tcPr>
            <w:tcW w:w="726"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9.00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31"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6</w:t>
            </w:r>
          </w:p>
        </w:tc>
        <w:tc>
          <w:tcPr>
            <w:tcW w:w="1024"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扩大系数</w:t>
            </w:r>
          </w:p>
        </w:tc>
        <w:tc>
          <w:tcPr>
            <w:tcW w:w="2088"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直接工程费+间接费+企业利润+税金</w:t>
            </w:r>
          </w:p>
        </w:tc>
        <w:tc>
          <w:tcPr>
            <w:tcW w:w="728"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10.00</w:t>
            </w:r>
          </w:p>
        </w:tc>
        <w:tc>
          <w:tcPr>
            <w:tcW w:w="726" w:type="pct"/>
            <w:tcBorders>
              <w:tl2br w:val="nil"/>
              <w:tr2bl w:val="nil"/>
            </w:tcBorders>
            <w:noWrap w:val="0"/>
            <w:vAlign w:val="center"/>
          </w:tcPr>
          <w:p>
            <w:pPr>
              <w:pageBreakBefore w:val="0"/>
              <w:kinsoku/>
              <w:wordWrap/>
              <w:bidi w:val="0"/>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10.00</w:t>
            </w:r>
          </w:p>
        </w:tc>
      </w:tr>
    </w:tbl>
    <w:p>
      <w:pPr>
        <w:pStyle w:val="8"/>
        <w:keepNext/>
        <w:keepLines/>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baseline"/>
        <w:rPr>
          <w:rFonts w:hint="default" w:ascii="Times New Roman" w:hAnsi="Times New Roman" w:eastAsia="仿宋_GB2312" w:cs="Times New Roman"/>
          <w:b/>
          <w:bCs/>
          <w:kern w:val="2"/>
          <w:sz w:val="24"/>
          <w:szCs w:val="24"/>
          <w:highlight w:val="none"/>
        </w:rPr>
      </w:pPr>
      <w:r>
        <w:rPr>
          <w:rFonts w:hint="default" w:ascii="Times New Roman" w:hAnsi="Times New Roman" w:eastAsia="仿宋_GB2312" w:cs="Times New Roman"/>
          <w:b/>
          <w:bCs/>
          <w:kern w:val="2"/>
          <w:sz w:val="24"/>
          <w:szCs w:val="24"/>
          <w:highlight w:val="none"/>
        </w:rPr>
        <w:t>7.1.2.3独立费用</w:t>
      </w:r>
    </w:p>
    <w:p>
      <w:pPr>
        <w:pageBreakBefore w:val="0"/>
        <w:kinsoku/>
        <w:wordWrap/>
        <w:topLinePunct/>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水土保持独立费用主要包括建设管理费、科研勘测设计费、水土保持监理费、水土保持监测费、</w:t>
      </w:r>
      <w:r>
        <w:rPr>
          <w:rFonts w:hint="default" w:ascii="Times New Roman" w:hAnsi="Times New Roman" w:eastAsia="仿宋_GB2312" w:cs="Times New Roman"/>
          <w:bCs/>
          <w:sz w:val="24"/>
          <w:highlight w:val="none"/>
        </w:rPr>
        <w:t>水土保持设施验收费</w:t>
      </w:r>
      <w:r>
        <w:rPr>
          <w:rFonts w:hint="default" w:ascii="Times New Roman" w:hAnsi="Times New Roman" w:eastAsia="仿宋_GB2312" w:cs="Times New Roman"/>
          <w:sz w:val="24"/>
          <w:highlight w:val="none"/>
        </w:rPr>
        <w:t>。</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sz w:val="24"/>
          <w:highlight w:val="none"/>
        </w:rPr>
        <w:t>（1）建设管理费：按水土保持投资中第一至第三部分（工程措施、植物措施、</w:t>
      </w:r>
      <w:r>
        <w:rPr>
          <w:rFonts w:hint="default" w:ascii="Times New Roman" w:hAnsi="Times New Roman" w:eastAsia="仿宋_GB2312" w:cs="Times New Roman"/>
          <w:bCs/>
          <w:sz w:val="24"/>
          <w:highlight w:val="none"/>
        </w:rPr>
        <w:t>临时措施）新增投资和的2%计算；</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（2）水土保持监理费：按《关于进一步放开建设项目专业服务价格的通知》（发改价格〔2015〕299号），参考市场价格计列；</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（3）科研勘测设计费：方案编制费按签订的技术咨询合同计列，后续设计费按《关于进一步放开建设项目专业服务价格的通知》（发改价格〔2015〕299号），参考市场价格计列；</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4）水土保持监测费：水土保持监测费包含人工费、土建设施费、监测设备使用费和消耗性材料费，参考相关资料，结合实际工作量结果监测费用计算表计列。其中监测外业人工费按600元/工日计取、内业人工费按400元/工日计取；</w:t>
      </w:r>
    </w:p>
    <w:p>
      <w:pPr>
        <w:pageBreakBefore w:val="0"/>
        <w:kinsoku/>
        <w:wordWrap/>
        <w:topLinePunct/>
        <w:bidi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bCs/>
          <w:sz w:val="24"/>
          <w:highlight w:val="none"/>
        </w:rPr>
        <w:t>（5）水土保持设施验收费：按《关于进一步放开建设项目专业服务价格的通知》（国家发展改革委发改价格〔2015〕299号），参考市场价格计列。</w:t>
      </w:r>
    </w:p>
    <w:p>
      <w:pPr>
        <w:pStyle w:val="8"/>
        <w:keepNext/>
        <w:keepLines/>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baseline"/>
        <w:rPr>
          <w:rFonts w:hint="default" w:ascii="Times New Roman" w:hAnsi="Times New Roman" w:eastAsia="仿宋_GB2312" w:cs="Times New Roman"/>
          <w:b/>
          <w:bCs/>
          <w:kern w:val="2"/>
          <w:sz w:val="24"/>
          <w:szCs w:val="24"/>
          <w:highlight w:val="none"/>
        </w:rPr>
      </w:pPr>
      <w:r>
        <w:rPr>
          <w:rFonts w:hint="default" w:ascii="Times New Roman" w:hAnsi="Times New Roman" w:eastAsia="仿宋_GB2312" w:cs="Times New Roman"/>
          <w:b/>
          <w:bCs/>
          <w:kern w:val="2"/>
          <w:sz w:val="24"/>
          <w:szCs w:val="24"/>
          <w:highlight w:val="none"/>
        </w:rPr>
        <w:t>7.1.2.4基本预备费</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基本预备费按一到四部分新增投资和的6.00％计取。</w:t>
      </w:r>
    </w:p>
    <w:p>
      <w:pPr>
        <w:pStyle w:val="8"/>
        <w:keepNext/>
        <w:keepLines/>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baseline"/>
        <w:rPr>
          <w:rFonts w:hint="default" w:ascii="Times New Roman" w:hAnsi="Times New Roman" w:eastAsia="仿宋_GB2312" w:cs="Times New Roman"/>
          <w:b/>
          <w:bCs/>
          <w:kern w:val="2"/>
          <w:sz w:val="24"/>
          <w:szCs w:val="24"/>
          <w:highlight w:val="none"/>
        </w:rPr>
      </w:pPr>
      <w:r>
        <w:rPr>
          <w:rFonts w:hint="default" w:ascii="Times New Roman" w:hAnsi="Times New Roman" w:eastAsia="仿宋_GB2312" w:cs="Times New Roman"/>
          <w:b/>
          <w:bCs/>
          <w:kern w:val="2"/>
          <w:sz w:val="24"/>
          <w:szCs w:val="24"/>
          <w:highlight w:val="none"/>
        </w:rPr>
        <w:t>7.1.2.5水土保持补偿费</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依据</w:t>
      </w:r>
      <w:r>
        <w:rPr>
          <w:rFonts w:hint="eastAsia" w:eastAsia="仿宋_GB2312" w:cs="Times New Roman"/>
          <w:bCs/>
          <w:sz w:val="24"/>
          <w:highlight w:val="none"/>
          <w:lang w:val="en-US" w:eastAsia="zh-CN"/>
        </w:rPr>
        <w:t>水土保持法律法规</w:t>
      </w:r>
      <w:r>
        <w:rPr>
          <w:rFonts w:hint="default" w:ascii="Times New Roman" w:hAnsi="Times New Roman" w:eastAsia="仿宋_GB2312" w:cs="Times New Roman"/>
          <w:bCs/>
          <w:sz w:val="24"/>
          <w:highlight w:val="none"/>
        </w:rPr>
        <w:t>、《吉林省财政厅 吉林省发展和改革委员会 吉林省水利厅 国家税务总局吉林省税务局 中国人民银行长春中心支行关于印发&lt;吉林省水土保持补偿费征收使用管理办法&gt;的通知》（吉财税〔2022〕952号）</w:t>
      </w:r>
      <w:r>
        <w:rPr>
          <w:rFonts w:hint="eastAsia" w:eastAsia="仿宋_GB2312" w:cs="Times New Roman"/>
          <w:bCs/>
          <w:sz w:val="24"/>
          <w:highlight w:val="none"/>
          <w:lang w:eastAsia="zh-CN"/>
        </w:rPr>
        <w:t>、</w:t>
      </w:r>
      <w:r>
        <w:rPr>
          <w:rFonts w:hint="default" w:ascii="Times New Roman" w:hAnsi="Times New Roman" w:eastAsia="仿宋_GB2312" w:cs="Times New Roman"/>
          <w:bCs/>
          <w:sz w:val="24"/>
          <w:highlight w:val="none"/>
        </w:rPr>
        <w:t>《吉林省发展改革委 吉林省财政厅 吉林省水利厅关于核定吉林省水土保持补偿费收费标准及有关问题的通知》（吉发改收费联〔2022〕670号）</w:t>
      </w:r>
      <w:r>
        <w:rPr>
          <w:rFonts w:hint="eastAsia" w:eastAsia="仿宋_GB2312" w:cs="Times New Roman"/>
          <w:bCs/>
          <w:sz w:val="24"/>
          <w:highlight w:val="none"/>
          <w:lang w:val="en-US" w:eastAsia="zh-CN"/>
        </w:rPr>
        <w:t>等有关规定，</w:t>
      </w:r>
      <w:r>
        <w:rPr>
          <w:rFonts w:hint="default" w:ascii="Times New Roman" w:hAnsi="Times New Roman" w:eastAsia="仿宋_GB2312" w:cs="Times New Roman"/>
          <w:bCs/>
          <w:sz w:val="24"/>
          <w:highlight w:val="none"/>
        </w:rPr>
        <w:t>对一般性生产建设项目，</w:t>
      </w:r>
      <w:r>
        <w:rPr>
          <w:rFonts w:hint="eastAsia" w:eastAsia="仿宋_GB2312" w:cs="Times New Roman"/>
          <w:bCs/>
          <w:sz w:val="24"/>
          <w:highlight w:val="none"/>
          <w:lang w:val="en-US" w:eastAsia="zh-CN"/>
        </w:rPr>
        <w:t>建设期水土保持补偿费</w:t>
      </w:r>
      <w:r>
        <w:rPr>
          <w:rFonts w:hint="default" w:ascii="Times New Roman" w:hAnsi="Times New Roman" w:eastAsia="仿宋_GB2312" w:cs="Times New Roman"/>
          <w:bCs/>
          <w:sz w:val="24"/>
          <w:highlight w:val="none"/>
        </w:rPr>
        <w:t>按照征占用土地面积一次性计征，</w:t>
      </w:r>
      <w:r>
        <w:rPr>
          <w:rFonts w:hint="eastAsia" w:eastAsia="仿宋_GB2312" w:cs="Times New Roman"/>
          <w:bCs/>
          <w:sz w:val="24"/>
          <w:highlight w:val="none"/>
          <w:lang w:val="en-US" w:eastAsia="zh-CN"/>
        </w:rPr>
        <w:t>执行</w:t>
      </w:r>
      <w:r>
        <w:rPr>
          <w:rFonts w:hint="default" w:ascii="Times New Roman" w:hAnsi="Times New Roman" w:eastAsia="仿宋_GB2312" w:cs="Times New Roman"/>
          <w:bCs/>
          <w:sz w:val="24"/>
          <w:highlight w:val="none"/>
        </w:rPr>
        <w:t>每平方米0.45元</w:t>
      </w:r>
      <w:r>
        <w:rPr>
          <w:rFonts w:hint="default" w:ascii="Times New Roman" w:hAnsi="Times New Roman" w:eastAsia="仿宋_GB2312" w:cs="Times New Roman"/>
          <w:bCs/>
          <w:sz w:val="24"/>
          <w:highlight w:val="none"/>
          <w:lang w:eastAsia="zh-CN"/>
        </w:rPr>
        <w:t>（</w:t>
      </w:r>
      <w:r>
        <w:rPr>
          <w:rFonts w:hint="default" w:ascii="Times New Roman" w:hAnsi="Times New Roman" w:eastAsia="仿宋_GB2312" w:cs="Times New Roman"/>
          <w:bCs/>
          <w:sz w:val="24"/>
          <w:highlight w:val="none"/>
        </w:rPr>
        <w:t>不足1平方米的按1平方米计</w:t>
      </w:r>
      <w:r>
        <w:rPr>
          <w:rFonts w:hint="default" w:ascii="Times New Roman" w:hAnsi="Times New Roman" w:eastAsia="仿宋_GB2312" w:cs="Times New Roman"/>
          <w:bCs/>
          <w:sz w:val="24"/>
          <w:highlight w:val="none"/>
          <w:lang w:eastAsia="zh-CN"/>
        </w:rPr>
        <w:t>）</w:t>
      </w:r>
      <w:r>
        <w:rPr>
          <w:rFonts w:hint="eastAsia" w:eastAsia="仿宋_GB2312" w:cs="Times New Roman"/>
          <w:bCs/>
          <w:sz w:val="24"/>
          <w:highlight w:val="none"/>
          <w:lang w:val="en-US" w:eastAsia="zh-CN"/>
        </w:rPr>
        <w:t>收费标准</w:t>
      </w:r>
      <w:r>
        <w:rPr>
          <w:rFonts w:hint="default" w:ascii="Times New Roman" w:hAnsi="Times New Roman" w:eastAsia="仿宋_GB2312" w:cs="Times New Roman"/>
          <w:bCs/>
          <w:sz w:val="24"/>
          <w:highlight w:val="none"/>
        </w:rPr>
        <w:t>。缴纳义务人应当在项目开工前一次性缴纳水土保持补偿费。</w:t>
      </w:r>
      <w:r>
        <w:rPr>
          <w:rFonts w:hint="eastAsia" w:eastAsia="仿宋_GB2312" w:cs="Times New Roman"/>
          <w:sz w:val="24"/>
          <w:szCs w:val="24"/>
          <w:highlight w:val="none"/>
          <w:lang w:val="en-US" w:eastAsia="zh-CN"/>
        </w:rPr>
        <w:t>在《</w:t>
      </w:r>
      <w:r>
        <w:rPr>
          <w:rFonts w:hint="default" w:ascii="Times New Roman" w:hAnsi="Times New Roman" w:eastAsia="仿宋_GB2312" w:cs="Times New Roman"/>
          <w:snapToGrid w:val="0"/>
          <w:kern w:val="0"/>
          <w:sz w:val="24"/>
          <w:highlight w:val="none"/>
          <w:lang w:eastAsia="zh-CN"/>
        </w:rPr>
        <w:t>长春国际物流经济开发区新兴建材产业园区建设项目水土保持方案报告书</w:t>
      </w:r>
      <w:r>
        <w:rPr>
          <w:rFonts w:hint="eastAsia" w:eastAsia="仿宋_GB2312" w:cs="Times New Roman"/>
          <w:sz w:val="24"/>
          <w:szCs w:val="24"/>
          <w:highlight w:val="none"/>
          <w:lang w:val="en-US" w:eastAsia="zh-CN"/>
        </w:rPr>
        <w:t>》中已计列B地块水土保持补偿费，并按要求</w:t>
      </w:r>
      <w:r>
        <w:rPr>
          <w:rFonts w:hint="default" w:ascii="Times New Roman" w:hAnsi="Times New Roman" w:eastAsia="仿宋_GB2312" w:cs="Times New Roman"/>
          <w:color w:val="auto"/>
          <w:sz w:val="24"/>
          <w:szCs w:val="24"/>
          <w:lang w:val="en-US" w:eastAsia="zh-CN"/>
        </w:rPr>
        <w:t>一次性缴纳完整项目的水土保持补偿费</w:t>
      </w:r>
      <w:r>
        <w:rPr>
          <w:rFonts w:hint="eastAsia" w:ascii="Times New Roman" w:hAnsi="Times New Roman" w:eastAsia="仿宋_GB2312" w:cs="Times New Roman"/>
          <w:color w:val="auto"/>
          <w:sz w:val="24"/>
          <w:szCs w:val="24"/>
          <w:lang w:val="en-US" w:eastAsia="zh-CN"/>
        </w:rPr>
        <w:t>，故本方案不再重复计列</w:t>
      </w:r>
      <w:r>
        <w:rPr>
          <w:rFonts w:hint="eastAsia" w:eastAsia="仿宋_GB2312" w:cs="Times New Roman"/>
          <w:color w:val="auto"/>
          <w:sz w:val="24"/>
          <w:szCs w:val="24"/>
          <w:lang w:val="en-US" w:eastAsia="zh-CN"/>
        </w:rPr>
        <w:t>。</w:t>
      </w:r>
    </w:p>
    <w:p>
      <w:pPr>
        <w:pStyle w:val="8"/>
        <w:keepNext/>
        <w:keepLines/>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baseline"/>
        <w:rPr>
          <w:rFonts w:hint="default" w:ascii="Times New Roman" w:hAnsi="Times New Roman" w:eastAsia="仿宋_GB2312" w:cs="Times New Roman"/>
          <w:b/>
          <w:bCs/>
          <w:kern w:val="2"/>
          <w:sz w:val="24"/>
          <w:szCs w:val="24"/>
          <w:highlight w:val="none"/>
        </w:rPr>
      </w:pPr>
      <w:r>
        <w:rPr>
          <w:rFonts w:hint="default" w:ascii="Times New Roman" w:hAnsi="Times New Roman" w:eastAsia="仿宋_GB2312" w:cs="Times New Roman"/>
          <w:b/>
          <w:bCs/>
          <w:kern w:val="2"/>
          <w:sz w:val="24"/>
          <w:szCs w:val="24"/>
          <w:highlight w:val="none"/>
        </w:rPr>
        <w:t>7.1.2.6水土保持投资估算</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lang w:eastAsia="zh-CN"/>
        </w:rPr>
        <w:t>本期项目</w:t>
      </w:r>
      <w:r>
        <w:rPr>
          <w:rFonts w:hint="default" w:ascii="Times New Roman" w:hAnsi="Times New Roman" w:eastAsia="仿宋_GB2312" w:cs="Times New Roman"/>
          <w:bCs/>
          <w:sz w:val="24"/>
          <w:highlight w:val="none"/>
        </w:rPr>
        <w:t>水土保持总投资为</w:t>
      </w:r>
      <w:r>
        <w:rPr>
          <w:rFonts w:hint="eastAsia" w:eastAsia="仿宋_GB2312" w:cs="Times New Roman"/>
          <w:bCs/>
          <w:sz w:val="24"/>
          <w:highlight w:val="none"/>
          <w:lang w:eastAsia="zh-CN"/>
        </w:rPr>
        <w:t>842.14</w:t>
      </w:r>
      <w:r>
        <w:rPr>
          <w:rFonts w:hint="default" w:ascii="Times New Roman" w:hAnsi="Times New Roman" w:eastAsia="仿宋_GB2312" w:cs="Times New Roman"/>
          <w:bCs/>
          <w:sz w:val="24"/>
          <w:highlight w:val="none"/>
        </w:rPr>
        <w:t>万元，其中：工程措施投资</w:t>
      </w:r>
      <w:r>
        <w:rPr>
          <w:rFonts w:hint="eastAsia" w:eastAsia="仿宋_GB2312" w:cs="Times New Roman"/>
          <w:bCs/>
          <w:sz w:val="24"/>
          <w:highlight w:val="none"/>
          <w:lang w:eastAsia="zh-CN"/>
        </w:rPr>
        <w:t>285.61</w:t>
      </w:r>
      <w:r>
        <w:rPr>
          <w:rFonts w:hint="default" w:ascii="Times New Roman" w:hAnsi="Times New Roman" w:eastAsia="仿宋_GB2312" w:cs="Times New Roman"/>
          <w:bCs/>
          <w:sz w:val="24"/>
          <w:highlight w:val="none"/>
        </w:rPr>
        <w:t>万元、植物措施投资</w:t>
      </w:r>
      <w:r>
        <w:rPr>
          <w:rFonts w:hint="eastAsia" w:eastAsia="仿宋_GB2312" w:cs="Times New Roman"/>
          <w:bCs/>
          <w:sz w:val="24"/>
          <w:highlight w:val="none"/>
          <w:lang w:eastAsia="zh-CN"/>
        </w:rPr>
        <w:t>479.20</w:t>
      </w:r>
      <w:r>
        <w:rPr>
          <w:rFonts w:hint="default" w:ascii="Times New Roman" w:hAnsi="Times New Roman" w:eastAsia="仿宋_GB2312" w:cs="Times New Roman"/>
          <w:bCs/>
          <w:sz w:val="24"/>
          <w:highlight w:val="none"/>
        </w:rPr>
        <w:t>万元、临时措施投资</w:t>
      </w:r>
      <w:r>
        <w:rPr>
          <w:rFonts w:hint="eastAsia" w:eastAsia="仿宋_GB2312" w:cs="Times New Roman"/>
          <w:bCs/>
          <w:sz w:val="24"/>
          <w:highlight w:val="none"/>
          <w:lang w:val="en-US" w:eastAsia="zh-CN"/>
        </w:rPr>
        <w:t>3.34</w:t>
      </w:r>
      <w:r>
        <w:rPr>
          <w:rFonts w:hint="default" w:ascii="Times New Roman" w:hAnsi="Times New Roman" w:eastAsia="仿宋_GB2312" w:cs="Times New Roman"/>
          <w:bCs/>
          <w:sz w:val="24"/>
          <w:highlight w:val="none"/>
        </w:rPr>
        <w:t>万元、独立费用</w:t>
      </w:r>
      <w:r>
        <w:rPr>
          <w:rFonts w:hint="eastAsia" w:eastAsia="仿宋_GB2312" w:cs="Times New Roman"/>
          <w:bCs/>
          <w:sz w:val="24"/>
          <w:highlight w:val="none"/>
          <w:lang w:val="en-US" w:eastAsia="zh-CN"/>
        </w:rPr>
        <w:t>69.67</w:t>
      </w:r>
      <w:r>
        <w:rPr>
          <w:rFonts w:hint="default" w:ascii="Times New Roman" w:hAnsi="Times New Roman" w:eastAsia="仿宋_GB2312" w:cs="Times New Roman"/>
          <w:bCs/>
          <w:sz w:val="24"/>
          <w:highlight w:val="none"/>
        </w:rPr>
        <w:t>万元（其中建设管理费</w:t>
      </w:r>
      <w:r>
        <w:rPr>
          <w:rFonts w:hint="eastAsia" w:eastAsia="仿宋_GB2312" w:cs="Times New Roman"/>
          <w:bCs/>
          <w:sz w:val="24"/>
          <w:highlight w:val="none"/>
          <w:lang w:val="en-US" w:eastAsia="zh-CN"/>
        </w:rPr>
        <w:t>0.05</w:t>
      </w:r>
      <w:r>
        <w:rPr>
          <w:rFonts w:hint="default" w:ascii="Times New Roman" w:hAnsi="Times New Roman" w:eastAsia="仿宋_GB2312" w:cs="Times New Roman"/>
          <w:bCs/>
          <w:sz w:val="24"/>
          <w:highlight w:val="none"/>
        </w:rPr>
        <w:t>万元、水土保持监理费</w:t>
      </w:r>
      <w:r>
        <w:rPr>
          <w:rFonts w:hint="eastAsia" w:eastAsia="仿宋_GB2312" w:cs="Times New Roman"/>
          <w:bCs/>
          <w:sz w:val="24"/>
          <w:highlight w:val="none"/>
          <w:lang w:val="en-US" w:eastAsia="zh-CN"/>
        </w:rPr>
        <w:t>16</w:t>
      </w:r>
      <w:r>
        <w:rPr>
          <w:rFonts w:hint="default" w:ascii="Times New Roman" w:hAnsi="Times New Roman" w:eastAsia="仿宋_GB2312" w:cs="Times New Roman"/>
          <w:bCs/>
          <w:sz w:val="24"/>
          <w:highlight w:val="none"/>
        </w:rPr>
        <w:t>万元、水土保持监测费</w:t>
      </w:r>
      <w:r>
        <w:rPr>
          <w:rFonts w:hint="eastAsia" w:eastAsia="仿宋_GB2312" w:cs="Times New Roman"/>
          <w:bCs/>
          <w:sz w:val="24"/>
          <w:highlight w:val="none"/>
          <w:lang w:val="en-US" w:eastAsia="zh-CN"/>
        </w:rPr>
        <w:t>15.62</w:t>
      </w:r>
      <w:r>
        <w:rPr>
          <w:rFonts w:hint="default" w:ascii="Times New Roman" w:hAnsi="Times New Roman" w:eastAsia="仿宋_GB2312" w:cs="Times New Roman"/>
          <w:bCs/>
          <w:sz w:val="24"/>
          <w:highlight w:val="none"/>
        </w:rPr>
        <w:t>万元、科研勘测设计费</w:t>
      </w:r>
      <w:r>
        <w:rPr>
          <w:rFonts w:hint="eastAsia" w:eastAsia="仿宋_GB2312" w:cs="Times New Roman"/>
          <w:bCs/>
          <w:sz w:val="24"/>
          <w:highlight w:val="none"/>
          <w:lang w:val="en-US" w:eastAsia="zh-CN"/>
        </w:rPr>
        <w:t>20</w:t>
      </w:r>
      <w:r>
        <w:rPr>
          <w:rFonts w:hint="default" w:ascii="Times New Roman" w:hAnsi="Times New Roman" w:eastAsia="仿宋_GB2312" w:cs="Times New Roman"/>
          <w:bCs/>
          <w:sz w:val="24"/>
          <w:highlight w:val="none"/>
        </w:rPr>
        <w:t>万元、水土保持设施验收费</w:t>
      </w:r>
      <w:r>
        <w:rPr>
          <w:rFonts w:hint="eastAsia" w:eastAsia="仿宋_GB2312" w:cs="Times New Roman"/>
          <w:bCs/>
          <w:sz w:val="24"/>
          <w:highlight w:val="none"/>
          <w:lang w:val="en-US" w:eastAsia="zh-CN"/>
        </w:rPr>
        <w:t>18</w:t>
      </w:r>
      <w:r>
        <w:rPr>
          <w:rFonts w:hint="default" w:ascii="Times New Roman" w:hAnsi="Times New Roman" w:eastAsia="仿宋_GB2312" w:cs="Times New Roman"/>
          <w:bCs/>
          <w:sz w:val="24"/>
          <w:highlight w:val="none"/>
        </w:rPr>
        <w:t>万元）、基本预备费</w:t>
      </w:r>
      <w:r>
        <w:rPr>
          <w:rFonts w:hint="eastAsia" w:eastAsia="仿宋_GB2312" w:cs="Times New Roman"/>
          <w:bCs/>
          <w:sz w:val="24"/>
          <w:highlight w:val="none"/>
          <w:lang w:val="en-US" w:eastAsia="zh-CN"/>
        </w:rPr>
        <w:t>4.33</w:t>
      </w:r>
      <w:r>
        <w:rPr>
          <w:rFonts w:hint="default" w:ascii="Times New Roman" w:hAnsi="Times New Roman" w:eastAsia="仿宋_GB2312" w:cs="Times New Roman"/>
          <w:bCs/>
          <w:sz w:val="24"/>
          <w:highlight w:val="none"/>
        </w:rPr>
        <w:t>万元。该投资由建设单位筹措，并列为主体工程总投资的一部分。</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水土保持投资估算见表7-2~表7-1</w:t>
      </w:r>
      <w:r>
        <w:rPr>
          <w:rFonts w:hint="eastAsia" w:eastAsia="仿宋_GB2312" w:cs="Times New Roman"/>
          <w:bCs/>
          <w:sz w:val="24"/>
          <w:highlight w:val="none"/>
          <w:lang w:val="en-US" w:eastAsia="zh-CN"/>
        </w:rPr>
        <w:t>0</w:t>
      </w:r>
      <w:r>
        <w:rPr>
          <w:rFonts w:hint="default" w:ascii="Times New Roman" w:hAnsi="Times New Roman" w:eastAsia="仿宋_GB2312" w:cs="Times New Roman"/>
          <w:bCs/>
          <w:sz w:val="24"/>
          <w:highlight w:val="none"/>
        </w:rPr>
        <w:t>。</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微软雅黑" w:cs="Times New Roman"/>
          <w:sz w:val="21"/>
          <w:szCs w:val="21"/>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微软雅黑" w:cs="Times New Roman"/>
          <w:sz w:val="21"/>
          <w:szCs w:val="21"/>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微软雅黑" w:cs="Times New Roman"/>
          <w:sz w:val="21"/>
          <w:szCs w:val="21"/>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微软雅黑" w:cs="Times New Roman"/>
          <w:sz w:val="21"/>
          <w:szCs w:val="21"/>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微软雅黑" w:cs="Times New Roman"/>
          <w:sz w:val="21"/>
          <w:szCs w:val="21"/>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微软雅黑" w:cs="Times New Roman"/>
          <w:sz w:val="21"/>
          <w:szCs w:val="21"/>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微软雅黑" w:cs="Times New Roman"/>
          <w:sz w:val="21"/>
          <w:szCs w:val="21"/>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微软雅黑" w:cs="Times New Roman"/>
          <w:sz w:val="21"/>
          <w:szCs w:val="21"/>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微软雅黑" w:cs="Times New Roman"/>
          <w:sz w:val="21"/>
          <w:szCs w:val="21"/>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微软雅黑" w:cs="Times New Roman"/>
          <w:sz w:val="21"/>
          <w:szCs w:val="21"/>
          <w:lang w:eastAsia="zh-CN"/>
        </w:rPr>
      </w:pPr>
      <w:r>
        <w:rPr>
          <w:rFonts w:hint="default" w:ascii="Times New Roman" w:hAnsi="Times New Roman" w:eastAsia="微软雅黑" w:cs="Times New Roman"/>
          <w:sz w:val="21"/>
          <w:szCs w:val="21"/>
        </w:rPr>
        <w:t>表7-2</w:t>
      </w:r>
      <w:r>
        <w:rPr>
          <w:rFonts w:hint="default"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rPr>
        <w:t>水土保持投资估算总表</w:t>
      </w:r>
    </w:p>
    <w:p>
      <w:pPr>
        <w:keepNext w:val="0"/>
        <w:keepLines w:val="0"/>
        <w:pageBreakBefore w:val="0"/>
        <w:widowControl w:val="0"/>
        <w:kinsoku/>
        <w:wordWrap/>
        <w:overflowPunct/>
        <w:topLinePunct w:val="0"/>
        <w:autoSpaceDE/>
        <w:autoSpaceDN/>
        <w:bidi w:val="0"/>
        <w:adjustRightInd/>
        <w:snapToGrid/>
        <w:spacing w:line="240" w:lineRule="auto"/>
        <w:ind w:firstLine="1160" w:firstLineChars="550"/>
        <w:jc w:val="right"/>
        <w:textAlignment w:val="auto"/>
        <w:rPr>
          <w:rFonts w:hint="default" w:ascii="Times New Roman" w:hAnsi="Times New Roman" w:eastAsia="仿宋_GB2312" w:cs="Times New Roman"/>
          <w:b/>
          <w:bCs/>
          <w:sz w:val="21"/>
          <w:szCs w:val="21"/>
          <w:highlight w:val="none"/>
        </w:rPr>
      </w:pPr>
      <w:r>
        <w:rPr>
          <w:rFonts w:hint="default" w:ascii="Times New Roman" w:hAnsi="Times New Roman" w:eastAsia="仿宋_GB2312" w:cs="Times New Roman"/>
          <w:b/>
          <w:bCs/>
          <w:sz w:val="21"/>
          <w:szCs w:val="21"/>
          <w:highlight w:val="none"/>
        </w:rPr>
        <w:t>单位：万元</w:t>
      </w:r>
    </w:p>
    <w:tbl>
      <w:tblPr>
        <w:tblStyle w:val="88"/>
        <w:tblW w:w="4998" w:type="pct"/>
        <w:jc w:val="center"/>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672"/>
        <w:gridCol w:w="2026"/>
        <w:gridCol w:w="1332"/>
        <w:gridCol w:w="1220"/>
        <w:gridCol w:w="1213"/>
        <w:gridCol w:w="1112"/>
        <w:gridCol w:w="951"/>
      </w:tblGrid>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val="0"/>
                <w:bCs w:val="0"/>
                <w:kern w:val="0"/>
                <w:sz w:val="20"/>
                <w:szCs w:val="20"/>
                <w:highlight w:val="none"/>
              </w:rPr>
            </w:pPr>
            <w:r>
              <w:rPr>
                <w:rFonts w:hint="default" w:ascii="Times New Roman" w:hAnsi="Times New Roman" w:eastAsia="仿宋_GB2312" w:cs="Times New Roman"/>
                <w:b w:val="0"/>
                <w:bCs w:val="0"/>
                <w:kern w:val="0"/>
                <w:sz w:val="20"/>
                <w:szCs w:val="20"/>
                <w:highlight w:val="none"/>
              </w:rPr>
              <w:t>序号</w:t>
            </w:r>
          </w:p>
        </w:tc>
        <w:tc>
          <w:tcPr>
            <w:tcW w:w="1188"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val="0"/>
                <w:bCs w:val="0"/>
                <w:kern w:val="0"/>
                <w:sz w:val="20"/>
                <w:szCs w:val="20"/>
                <w:highlight w:val="none"/>
              </w:rPr>
            </w:pPr>
            <w:r>
              <w:rPr>
                <w:rFonts w:hint="default" w:ascii="Times New Roman" w:hAnsi="Times New Roman" w:eastAsia="仿宋_GB2312" w:cs="Times New Roman"/>
                <w:b w:val="0"/>
                <w:bCs w:val="0"/>
                <w:kern w:val="0"/>
                <w:sz w:val="20"/>
                <w:szCs w:val="20"/>
                <w:highlight w:val="none"/>
              </w:rPr>
              <w:t>工程或费用名称</w:t>
            </w:r>
          </w:p>
        </w:tc>
        <w:tc>
          <w:tcPr>
            <w:tcW w:w="781"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val="0"/>
                <w:bCs w:val="0"/>
                <w:kern w:val="0"/>
                <w:sz w:val="20"/>
                <w:szCs w:val="20"/>
                <w:highlight w:val="none"/>
              </w:rPr>
            </w:pPr>
            <w:r>
              <w:rPr>
                <w:rFonts w:hint="default" w:ascii="Times New Roman" w:hAnsi="Times New Roman" w:eastAsia="仿宋_GB2312" w:cs="Times New Roman"/>
                <w:b w:val="0"/>
                <w:bCs w:val="0"/>
                <w:kern w:val="0"/>
                <w:sz w:val="20"/>
                <w:szCs w:val="20"/>
                <w:highlight w:val="none"/>
              </w:rPr>
              <w:t>建安工程费</w:t>
            </w:r>
          </w:p>
        </w:tc>
        <w:tc>
          <w:tcPr>
            <w:tcW w:w="1426"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val="0"/>
                <w:bCs w:val="0"/>
                <w:kern w:val="0"/>
                <w:sz w:val="20"/>
                <w:szCs w:val="20"/>
                <w:highlight w:val="none"/>
              </w:rPr>
            </w:pPr>
            <w:r>
              <w:rPr>
                <w:rFonts w:hint="default" w:ascii="Times New Roman" w:hAnsi="Times New Roman" w:eastAsia="仿宋_GB2312" w:cs="Times New Roman"/>
                <w:b w:val="0"/>
                <w:bCs w:val="0"/>
                <w:kern w:val="0"/>
                <w:sz w:val="20"/>
                <w:szCs w:val="20"/>
                <w:highlight w:val="none"/>
              </w:rPr>
              <w:t>林草工程费</w:t>
            </w:r>
          </w:p>
        </w:tc>
        <w:tc>
          <w:tcPr>
            <w:tcW w:w="652"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val="0"/>
                <w:bCs w:val="0"/>
                <w:kern w:val="0"/>
                <w:sz w:val="20"/>
                <w:szCs w:val="20"/>
                <w:highlight w:val="none"/>
              </w:rPr>
            </w:pPr>
            <w:r>
              <w:rPr>
                <w:rFonts w:hint="default" w:ascii="Times New Roman" w:hAnsi="Times New Roman" w:eastAsia="仿宋_GB2312" w:cs="Times New Roman"/>
                <w:b w:val="0"/>
                <w:bCs w:val="0"/>
                <w:kern w:val="0"/>
                <w:sz w:val="20"/>
                <w:szCs w:val="20"/>
                <w:highlight w:val="none"/>
              </w:rPr>
              <w:t>独立费用</w:t>
            </w:r>
          </w:p>
        </w:tc>
        <w:tc>
          <w:tcPr>
            <w:tcW w:w="557"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val="0"/>
                <w:bCs w:val="0"/>
                <w:kern w:val="0"/>
                <w:sz w:val="20"/>
                <w:szCs w:val="20"/>
                <w:highlight w:val="none"/>
              </w:rPr>
            </w:pPr>
            <w:r>
              <w:rPr>
                <w:rFonts w:hint="default" w:ascii="Times New Roman" w:hAnsi="Times New Roman" w:eastAsia="仿宋_GB2312" w:cs="Times New Roman"/>
                <w:b w:val="0"/>
                <w:bCs w:val="0"/>
                <w:kern w:val="0"/>
                <w:sz w:val="20"/>
                <w:szCs w:val="20"/>
                <w:highlight w:val="none"/>
              </w:rPr>
              <w:t>合计</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1188"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781"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71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color w:val="000000"/>
                <w:kern w:val="0"/>
                <w:sz w:val="20"/>
                <w:szCs w:val="20"/>
                <w:highlight w:val="none"/>
                <w:lang w:bidi="ar"/>
              </w:rPr>
              <w:t>栽植费</w:t>
            </w:r>
          </w:p>
        </w:tc>
        <w:tc>
          <w:tcPr>
            <w:tcW w:w="71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color w:val="000000"/>
                <w:kern w:val="0"/>
                <w:sz w:val="20"/>
                <w:szCs w:val="20"/>
                <w:highlight w:val="none"/>
                <w:lang w:bidi="ar"/>
              </w:rPr>
              <w:t>种子费</w:t>
            </w:r>
          </w:p>
        </w:tc>
        <w:tc>
          <w:tcPr>
            <w:tcW w:w="65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557"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一</w:t>
            </w:r>
          </w:p>
        </w:tc>
        <w:tc>
          <w:tcPr>
            <w:tcW w:w="118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工程措施</w:t>
            </w:r>
          </w:p>
        </w:tc>
        <w:tc>
          <w:tcPr>
            <w:tcW w:w="78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0"/>
                <w:szCs w:val="20"/>
                <w:highlight w:val="none"/>
                <w:lang w:val="en-US" w:eastAsia="zh-CN"/>
              </w:rPr>
            </w:pPr>
            <w:r>
              <w:rPr>
                <w:rFonts w:hint="eastAsia" w:eastAsia="仿宋_GB2312" w:cs="Times New Roman"/>
                <w:b/>
                <w:bCs/>
                <w:color w:val="000000"/>
                <w:kern w:val="0"/>
                <w:sz w:val="20"/>
                <w:szCs w:val="20"/>
                <w:highlight w:val="none"/>
                <w:lang w:val="en-US" w:eastAsia="zh-CN" w:bidi="ar"/>
              </w:rPr>
              <w:t>285.61</w:t>
            </w: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71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65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5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0"/>
                <w:szCs w:val="20"/>
                <w:highlight w:val="none"/>
                <w:lang w:eastAsia="zh-CN"/>
              </w:rPr>
            </w:pPr>
            <w:r>
              <w:rPr>
                <w:rFonts w:hint="eastAsia" w:eastAsia="仿宋_GB2312" w:cs="Times New Roman"/>
                <w:b/>
                <w:bCs/>
                <w:color w:val="000000"/>
                <w:kern w:val="0"/>
                <w:sz w:val="20"/>
                <w:szCs w:val="20"/>
                <w:highlight w:val="none"/>
                <w:lang w:eastAsia="zh-CN" w:bidi="ar"/>
              </w:rPr>
              <w:t>285.61</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1</w:t>
            </w:r>
          </w:p>
        </w:tc>
        <w:tc>
          <w:tcPr>
            <w:tcW w:w="118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工程建设区</w:t>
            </w:r>
          </w:p>
        </w:tc>
        <w:tc>
          <w:tcPr>
            <w:tcW w:w="78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rPr>
            </w:pPr>
            <w:r>
              <w:rPr>
                <w:rFonts w:hint="eastAsia" w:eastAsia="仿宋_GB2312" w:cs="Times New Roman"/>
                <w:color w:val="000000"/>
                <w:kern w:val="0"/>
                <w:sz w:val="20"/>
                <w:szCs w:val="20"/>
                <w:highlight w:val="none"/>
                <w:lang w:val="en-US" w:eastAsia="zh-CN" w:bidi="ar"/>
              </w:rPr>
              <w:t>285.61</w:t>
            </w: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71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65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5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eastAsia="zh-CN"/>
              </w:rPr>
            </w:pPr>
            <w:r>
              <w:rPr>
                <w:rFonts w:hint="eastAsia" w:eastAsia="仿宋_GB2312" w:cs="Times New Roman"/>
                <w:color w:val="000000"/>
                <w:kern w:val="0"/>
                <w:sz w:val="20"/>
                <w:szCs w:val="20"/>
                <w:highlight w:val="none"/>
                <w:lang w:val="en-US" w:eastAsia="zh-CN" w:bidi="ar"/>
              </w:rPr>
              <w:t>285.61</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二</w:t>
            </w:r>
          </w:p>
        </w:tc>
        <w:tc>
          <w:tcPr>
            <w:tcW w:w="118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植物措施</w:t>
            </w:r>
          </w:p>
        </w:tc>
        <w:tc>
          <w:tcPr>
            <w:tcW w:w="78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color w:val="000000"/>
                <w:kern w:val="0"/>
                <w:sz w:val="20"/>
                <w:szCs w:val="20"/>
                <w:highlight w:val="none"/>
                <w:lang w:eastAsia="zh-CN" w:bidi="ar"/>
              </w:rPr>
            </w:pPr>
          </w:p>
        </w:tc>
        <w:tc>
          <w:tcPr>
            <w:tcW w:w="1426" w:type="pct"/>
            <w:gridSpan w:val="2"/>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eastAsia" w:eastAsia="仿宋_GB2312" w:cs="Times New Roman"/>
                <w:b/>
                <w:bCs/>
                <w:color w:val="000000"/>
                <w:kern w:val="0"/>
                <w:sz w:val="20"/>
                <w:szCs w:val="20"/>
                <w:highlight w:val="none"/>
                <w:lang w:eastAsia="zh-CN" w:bidi="ar"/>
              </w:rPr>
              <w:t>479.20</w:t>
            </w:r>
          </w:p>
        </w:tc>
        <w:tc>
          <w:tcPr>
            <w:tcW w:w="65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5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0"/>
                <w:szCs w:val="20"/>
                <w:highlight w:val="none"/>
                <w:lang w:eastAsia="zh-CN"/>
              </w:rPr>
            </w:pPr>
            <w:r>
              <w:rPr>
                <w:rFonts w:hint="eastAsia" w:eastAsia="仿宋_GB2312" w:cs="Times New Roman"/>
                <w:b/>
                <w:bCs/>
                <w:color w:val="000000"/>
                <w:kern w:val="0"/>
                <w:sz w:val="20"/>
                <w:szCs w:val="20"/>
                <w:highlight w:val="none"/>
                <w:lang w:eastAsia="zh-CN" w:bidi="ar"/>
              </w:rPr>
              <w:t>479.20</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1</w:t>
            </w:r>
          </w:p>
        </w:tc>
        <w:tc>
          <w:tcPr>
            <w:tcW w:w="118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工程建设区</w:t>
            </w:r>
          </w:p>
        </w:tc>
        <w:tc>
          <w:tcPr>
            <w:tcW w:w="78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rPr>
            </w:pPr>
          </w:p>
        </w:tc>
        <w:tc>
          <w:tcPr>
            <w:tcW w:w="1426" w:type="pct"/>
            <w:gridSpan w:val="2"/>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eastAsia" w:eastAsia="仿宋_GB2312" w:cs="Times New Roman"/>
                <w:color w:val="000000"/>
                <w:kern w:val="0"/>
                <w:sz w:val="20"/>
                <w:szCs w:val="20"/>
                <w:highlight w:val="none"/>
                <w:lang w:eastAsia="zh-CN" w:bidi="ar"/>
              </w:rPr>
              <w:t>479.20</w:t>
            </w:r>
          </w:p>
        </w:tc>
        <w:tc>
          <w:tcPr>
            <w:tcW w:w="65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5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eastAsia="zh-CN"/>
              </w:rPr>
            </w:pPr>
            <w:r>
              <w:rPr>
                <w:rFonts w:hint="eastAsia" w:eastAsia="仿宋_GB2312" w:cs="Times New Roman"/>
                <w:color w:val="000000"/>
                <w:kern w:val="0"/>
                <w:sz w:val="20"/>
                <w:szCs w:val="20"/>
                <w:highlight w:val="none"/>
                <w:lang w:eastAsia="zh-CN" w:bidi="ar"/>
              </w:rPr>
              <w:t>479.20</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三</w:t>
            </w:r>
          </w:p>
        </w:tc>
        <w:tc>
          <w:tcPr>
            <w:tcW w:w="118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临时措施</w:t>
            </w:r>
          </w:p>
        </w:tc>
        <w:tc>
          <w:tcPr>
            <w:tcW w:w="78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0"/>
                <w:szCs w:val="20"/>
                <w:highlight w:val="none"/>
                <w:lang w:val="en-US" w:eastAsia="zh-CN"/>
              </w:rPr>
            </w:pPr>
            <w:r>
              <w:rPr>
                <w:rFonts w:hint="eastAsia" w:eastAsia="仿宋_GB2312" w:cs="Times New Roman"/>
                <w:b/>
                <w:bCs/>
                <w:kern w:val="0"/>
                <w:sz w:val="20"/>
                <w:szCs w:val="20"/>
                <w:highlight w:val="none"/>
                <w:lang w:val="en-US" w:eastAsia="zh-CN"/>
              </w:rPr>
              <w:t>3.34</w:t>
            </w:r>
          </w:p>
        </w:tc>
        <w:tc>
          <w:tcPr>
            <w:tcW w:w="71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0"/>
                <w:szCs w:val="20"/>
                <w:highlight w:val="none"/>
              </w:rPr>
            </w:pPr>
          </w:p>
        </w:tc>
        <w:tc>
          <w:tcPr>
            <w:tcW w:w="71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0"/>
                <w:szCs w:val="20"/>
                <w:highlight w:val="none"/>
              </w:rPr>
            </w:pPr>
          </w:p>
        </w:tc>
        <w:tc>
          <w:tcPr>
            <w:tcW w:w="65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0"/>
                <w:szCs w:val="20"/>
                <w:highlight w:val="none"/>
              </w:rPr>
            </w:pPr>
          </w:p>
        </w:tc>
        <w:tc>
          <w:tcPr>
            <w:tcW w:w="5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0"/>
                <w:szCs w:val="20"/>
                <w:highlight w:val="none"/>
                <w:lang w:val="en-US" w:eastAsia="zh-CN"/>
              </w:rPr>
            </w:pPr>
            <w:r>
              <w:rPr>
                <w:rFonts w:hint="eastAsia" w:eastAsia="仿宋_GB2312" w:cs="Times New Roman"/>
                <w:b/>
                <w:bCs/>
                <w:kern w:val="0"/>
                <w:sz w:val="20"/>
                <w:szCs w:val="20"/>
                <w:highlight w:val="none"/>
                <w:lang w:val="en-US" w:eastAsia="zh-CN"/>
              </w:rPr>
              <w:t>3.34</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1</w:t>
            </w:r>
          </w:p>
        </w:tc>
        <w:tc>
          <w:tcPr>
            <w:tcW w:w="118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工程建设区</w:t>
            </w:r>
          </w:p>
        </w:tc>
        <w:tc>
          <w:tcPr>
            <w:tcW w:w="78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rPr>
            </w:pPr>
            <w:r>
              <w:rPr>
                <w:rFonts w:hint="eastAsia" w:eastAsia="仿宋_GB2312" w:cs="Times New Roman"/>
                <w:kern w:val="0"/>
                <w:sz w:val="20"/>
                <w:szCs w:val="20"/>
                <w:highlight w:val="none"/>
                <w:lang w:val="en-US" w:eastAsia="zh-CN"/>
              </w:rPr>
              <w:t>3.33</w:t>
            </w: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71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65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951"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rPr>
            </w:pPr>
            <w:r>
              <w:rPr>
                <w:rFonts w:hint="eastAsia" w:eastAsia="仿宋_GB2312" w:cs="Times New Roman"/>
                <w:kern w:val="0"/>
                <w:sz w:val="20"/>
                <w:szCs w:val="20"/>
                <w:highlight w:val="none"/>
                <w:lang w:val="en-US" w:eastAsia="zh-CN"/>
              </w:rPr>
              <w:t>3.33</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2</w:t>
            </w:r>
          </w:p>
        </w:tc>
        <w:tc>
          <w:tcPr>
            <w:tcW w:w="118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其他临时措施</w:t>
            </w:r>
          </w:p>
        </w:tc>
        <w:tc>
          <w:tcPr>
            <w:tcW w:w="78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rPr>
            </w:pPr>
            <w:r>
              <w:rPr>
                <w:rFonts w:hint="eastAsia" w:eastAsia="仿宋_GB2312" w:cs="Times New Roman"/>
                <w:color w:val="000000"/>
                <w:kern w:val="0"/>
                <w:sz w:val="20"/>
                <w:szCs w:val="20"/>
                <w:highlight w:val="none"/>
                <w:lang w:val="en-US" w:eastAsia="zh-CN" w:bidi="ar"/>
              </w:rPr>
              <w:t>0.01</w:t>
            </w: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71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65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951"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rPr>
            </w:pPr>
            <w:r>
              <w:rPr>
                <w:rFonts w:hint="eastAsia" w:eastAsia="仿宋_GB2312" w:cs="Times New Roman"/>
                <w:color w:val="000000"/>
                <w:kern w:val="0"/>
                <w:sz w:val="20"/>
                <w:szCs w:val="20"/>
                <w:highlight w:val="none"/>
                <w:lang w:val="en-US" w:eastAsia="zh-CN" w:bidi="ar"/>
              </w:rPr>
              <w:t>0.01</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四</w:t>
            </w:r>
          </w:p>
        </w:tc>
        <w:tc>
          <w:tcPr>
            <w:tcW w:w="118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独立费用</w:t>
            </w:r>
          </w:p>
        </w:tc>
        <w:tc>
          <w:tcPr>
            <w:tcW w:w="78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71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65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eastAsia" w:eastAsia="仿宋_GB2312" w:cs="Times New Roman"/>
                <w:b/>
                <w:bCs/>
                <w:sz w:val="20"/>
                <w:szCs w:val="20"/>
                <w:highlight w:val="none"/>
                <w:lang w:val="en-US" w:eastAsia="zh-CN"/>
              </w:rPr>
              <w:t>69.67</w:t>
            </w:r>
          </w:p>
        </w:tc>
        <w:tc>
          <w:tcPr>
            <w:tcW w:w="557"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eastAsia" w:eastAsia="仿宋_GB2312" w:cs="Times New Roman"/>
                <w:b/>
                <w:bCs/>
                <w:sz w:val="20"/>
                <w:szCs w:val="20"/>
                <w:highlight w:val="none"/>
                <w:lang w:val="en-US" w:eastAsia="zh-CN"/>
              </w:rPr>
              <w:t>69.67</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1</w:t>
            </w:r>
          </w:p>
        </w:tc>
        <w:tc>
          <w:tcPr>
            <w:tcW w:w="118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lang w:eastAsia="zh-CN"/>
              </w:rPr>
            </w:pPr>
            <w:r>
              <w:rPr>
                <w:rFonts w:hint="default" w:ascii="Times New Roman" w:hAnsi="Times New Roman" w:eastAsia="仿宋_GB2312" w:cs="Times New Roman"/>
                <w:kern w:val="0"/>
                <w:sz w:val="20"/>
                <w:szCs w:val="20"/>
                <w:highlight w:val="none"/>
              </w:rPr>
              <w:t>建设管理费</w:t>
            </w:r>
          </w:p>
        </w:tc>
        <w:tc>
          <w:tcPr>
            <w:tcW w:w="78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71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65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rPr>
            </w:pPr>
            <w:r>
              <w:rPr>
                <w:rFonts w:hint="eastAsia" w:eastAsia="仿宋_GB2312" w:cs="Times New Roman"/>
                <w:color w:val="000000"/>
                <w:kern w:val="0"/>
                <w:sz w:val="20"/>
                <w:szCs w:val="20"/>
                <w:highlight w:val="none"/>
                <w:lang w:val="en-US" w:eastAsia="zh-CN" w:bidi="ar"/>
              </w:rPr>
              <w:t>0.05</w:t>
            </w:r>
          </w:p>
        </w:tc>
        <w:tc>
          <w:tcPr>
            <w:tcW w:w="5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rPr>
            </w:pPr>
            <w:r>
              <w:rPr>
                <w:rFonts w:hint="eastAsia" w:eastAsia="仿宋_GB2312" w:cs="Times New Roman"/>
                <w:kern w:val="0"/>
                <w:sz w:val="20"/>
                <w:szCs w:val="20"/>
                <w:highlight w:val="none"/>
                <w:lang w:val="en-US" w:eastAsia="zh-CN"/>
              </w:rPr>
              <w:t>0.05</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2</w:t>
            </w:r>
          </w:p>
        </w:tc>
        <w:tc>
          <w:tcPr>
            <w:tcW w:w="118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水土保持监理费</w:t>
            </w:r>
          </w:p>
        </w:tc>
        <w:tc>
          <w:tcPr>
            <w:tcW w:w="78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71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1112"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rPr>
            </w:pPr>
            <w:r>
              <w:rPr>
                <w:rFonts w:hint="eastAsia" w:eastAsia="仿宋_GB2312" w:cs="Times New Roman"/>
                <w:color w:val="000000"/>
                <w:kern w:val="0"/>
                <w:sz w:val="20"/>
                <w:szCs w:val="20"/>
                <w:highlight w:val="none"/>
                <w:lang w:val="en-US" w:eastAsia="zh-CN" w:bidi="ar"/>
              </w:rPr>
              <w:t>16</w:t>
            </w:r>
          </w:p>
        </w:tc>
        <w:tc>
          <w:tcPr>
            <w:tcW w:w="951"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rPr>
            </w:pPr>
            <w:r>
              <w:rPr>
                <w:rFonts w:hint="eastAsia" w:eastAsia="仿宋_GB2312" w:cs="Times New Roman"/>
                <w:color w:val="000000"/>
                <w:kern w:val="0"/>
                <w:sz w:val="20"/>
                <w:szCs w:val="20"/>
                <w:highlight w:val="none"/>
                <w:lang w:val="en-US" w:eastAsia="zh-CN" w:bidi="ar"/>
              </w:rPr>
              <w:t>16</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3</w:t>
            </w:r>
          </w:p>
        </w:tc>
        <w:tc>
          <w:tcPr>
            <w:tcW w:w="118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水土保持监测费</w:t>
            </w:r>
          </w:p>
        </w:tc>
        <w:tc>
          <w:tcPr>
            <w:tcW w:w="78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71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1112"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rPr>
            </w:pPr>
            <w:r>
              <w:rPr>
                <w:rFonts w:hint="eastAsia" w:eastAsia="仿宋_GB2312" w:cs="Times New Roman"/>
                <w:color w:val="000000"/>
                <w:kern w:val="0"/>
                <w:sz w:val="20"/>
                <w:szCs w:val="20"/>
                <w:highlight w:val="none"/>
                <w:lang w:val="en-US" w:eastAsia="zh-CN" w:bidi="ar"/>
              </w:rPr>
              <w:t>15.62</w:t>
            </w:r>
          </w:p>
        </w:tc>
        <w:tc>
          <w:tcPr>
            <w:tcW w:w="951"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rPr>
            </w:pPr>
            <w:r>
              <w:rPr>
                <w:rFonts w:hint="eastAsia" w:eastAsia="仿宋_GB2312" w:cs="Times New Roman"/>
                <w:color w:val="000000"/>
                <w:kern w:val="0"/>
                <w:sz w:val="20"/>
                <w:szCs w:val="20"/>
                <w:highlight w:val="none"/>
                <w:lang w:val="en-US" w:eastAsia="zh-CN" w:bidi="ar"/>
              </w:rPr>
              <w:t>15.62</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4</w:t>
            </w:r>
          </w:p>
        </w:tc>
        <w:tc>
          <w:tcPr>
            <w:tcW w:w="118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科研勘测设计费</w:t>
            </w:r>
          </w:p>
        </w:tc>
        <w:tc>
          <w:tcPr>
            <w:tcW w:w="78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71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1112"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rPr>
            </w:pPr>
            <w:r>
              <w:rPr>
                <w:rFonts w:hint="eastAsia" w:eastAsia="仿宋_GB2312" w:cs="Times New Roman"/>
                <w:color w:val="000000"/>
                <w:kern w:val="0"/>
                <w:sz w:val="20"/>
                <w:szCs w:val="20"/>
                <w:highlight w:val="none"/>
                <w:lang w:val="en-US" w:eastAsia="zh-CN" w:bidi="ar"/>
              </w:rPr>
              <w:t>20</w:t>
            </w:r>
          </w:p>
        </w:tc>
        <w:tc>
          <w:tcPr>
            <w:tcW w:w="951"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rPr>
            </w:pPr>
            <w:r>
              <w:rPr>
                <w:rFonts w:hint="eastAsia" w:eastAsia="仿宋_GB2312" w:cs="Times New Roman"/>
                <w:color w:val="000000"/>
                <w:kern w:val="0"/>
                <w:sz w:val="20"/>
                <w:szCs w:val="20"/>
                <w:highlight w:val="none"/>
                <w:lang w:val="en-US" w:eastAsia="zh-CN" w:bidi="ar"/>
              </w:rPr>
              <w:t>20</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5</w:t>
            </w:r>
          </w:p>
        </w:tc>
        <w:tc>
          <w:tcPr>
            <w:tcW w:w="118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水土保持设施验收费</w:t>
            </w:r>
          </w:p>
        </w:tc>
        <w:tc>
          <w:tcPr>
            <w:tcW w:w="78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71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p>
        </w:tc>
        <w:tc>
          <w:tcPr>
            <w:tcW w:w="1112"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rPr>
            </w:pPr>
            <w:r>
              <w:rPr>
                <w:rFonts w:hint="eastAsia" w:eastAsia="仿宋_GB2312" w:cs="Times New Roman"/>
                <w:color w:val="000000"/>
                <w:kern w:val="0"/>
                <w:sz w:val="20"/>
                <w:szCs w:val="20"/>
                <w:highlight w:val="none"/>
                <w:lang w:val="en-US" w:eastAsia="zh-CN" w:bidi="ar"/>
              </w:rPr>
              <w:t>18</w:t>
            </w:r>
          </w:p>
        </w:tc>
        <w:tc>
          <w:tcPr>
            <w:tcW w:w="951"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0"/>
                <w:szCs w:val="20"/>
                <w:highlight w:val="none"/>
                <w:lang w:val="en-US" w:eastAsia="zh-CN"/>
              </w:rPr>
            </w:pPr>
            <w:r>
              <w:rPr>
                <w:rFonts w:hint="eastAsia" w:eastAsia="仿宋_GB2312" w:cs="Times New Roman"/>
                <w:color w:val="000000"/>
                <w:kern w:val="0"/>
                <w:sz w:val="20"/>
                <w:szCs w:val="20"/>
                <w:highlight w:val="none"/>
                <w:lang w:val="en-US" w:eastAsia="zh-CN" w:bidi="ar"/>
              </w:rPr>
              <w:t>18</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118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第一至四部分合计</w:t>
            </w:r>
          </w:p>
        </w:tc>
        <w:tc>
          <w:tcPr>
            <w:tcW w:w="78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71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65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5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0"/>
                <w:szCs w:val="20"/>
                <w:highlight w:val="none"/>
                <w:lang w:eastAsia="zh-CN"/>
              </w:rPr>
            </w:pPr>
            <w:r>
              <w:rPr>
                <w:rFonts w:hint="eastAsia" w:eastAsia="仿宋_GB2312" w:cs="Times New Roman"/>
                <w:b/>
                <w:bCs/>
                <w:color w:val="000000"/>
                <w:kern w:val="0"/>
                <w:sz w:val="20"/>
                <w:szCs w:val="20"/>
                <w:highlight w:val="none"/>
                <w:lang w:eastAsia="zh-CN" w:bidi="ar"/>
              </w:rPr>
              <w:t>837.81</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五</w:t>
            </w:r>
          </w:p>
        </w:tc>
        <w:tc>
          <w:tcPr>
            <w:tcW w:w="118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基本预备费</w:t>
            </w:r>
          </w:p>
        </w:tc>
        <w:tc>
          <w:tcPr>
            <w:tcW w:w="78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71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65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5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0"/>
                <w:szCs w:val="20"/>
                <w:highlight w:val="none"/>
                <w:lang w:val="en-US" w:eastAsia="zh-CN"/>
              </w:rPr>
            </w:pPr>
            <w:r>
              <w:rPr>
                <w:rFonts w:hint="eastAsia" w:eastAsia="仿宋_GB2312" w:cs="Times New Roman"/>
                <w:b/>
                <w:bCs/>
                <w:color w:val="000000"/>
                <w:kern w:val="0"/>
                <w:sz w:val="20"/>
                <w:szCs w:val="20"/>
                <w:highlight w:val="none"/>
                <w:lang w:val="en-US" w:eastAsia="zh-CN" w:bidi="ar"/>
              </w:rPr>
              <w:t>4.33</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六</w:t>
            </w:r>
          </w:p>
        </w:tc>
        <w:tc>
          <w:tcPr>
            <w:tcW w:w="118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水土保持补偿费</w:t>
            </w:r>
          </w:p>
        </w:tc>
        <w:tc>
          <w:tcPr>
            <w:tcW w:w="78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71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65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5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0"/>
                <w:szCs w:val="20"/>
                <w:highlight w:val="none"/>
                <w:lang w:val="en-US" w:eastAsia="zh-CN"/>
              </w:rPr>
            </w:pPr>
            <w:r>
              <w:rPr>
                <w:rFonts w:hint="eastAsia" w:eastAsia="仿宋_GB2312" w:cs="Times New Roman"/>
                <w:b/>
                <w:bCs/>
                <w:color w:val="000000"/>
                <w:kern w:val="0"/>
                <w:sz w:val="20"/>
                <w:szCs w:val="20"/>
                <w:highlight w:val="none"/>
                <w:lang w:val="en-US" w:eastAsia="zh-CN" w:bidi="ar"/>
              </w:rPr>
              <w:t>0</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82"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水土保持工程总投资</w:t>
            </w:r>
          </w:p>
        </w:tc>
        <w:tc>
          <w:tcPr>
            <w:tcW w:w="78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71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65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5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0"/>
                <w:szCs w:val="20"/>
                <w:highlight w:val="none"/>
                <w:lang w:eastAsia="zh-CN"/>
              </w:rPr>
            </w:pPr>
            <w:r>
              <w:rPr>
                <w:rFonts w:hint="eastAsia" w:eastAsia="仿宋_GB2312" w:cs="Times New Roman"/>
                <w:b/>
                <w:bCs/>
                <w:color w:val="000000"/>
                <w:kern w:val="0"/>
                <w:sz w:val="20"/>
                <w:szCs w:val="20"/>
                <w:highlight w:val="none"/>
                <w:lang w:eastAsia="zh-CN" w:bidi="ar"/>
              </w:rPr>
              <w:t>842.14</w:t>
            </w:r>
          </w:p>
        </w:tc>
      </w:tr>
    </w:tbl>
    <w:p>
      <w:pPr>
        <w:keepNext w:val="0"/>
        <w:keepLines w:val="0"/>
        <w:pageBreakBefore w:val="0"/>
        <w:widowControl w:val="0"/>
        <w:kinsoku/>
        <w:wordWrap/>
        <w:overflowPunct/>
        <w:topLinePunct w:val="0"/>
        <w:autoSpaceDE/>
        <w:autoSpaceDN/>
        <w:bidi w:val="0"/>
        <w:adjustRightInd/>
        <w:snapToGrid/>
        <w:spacing w:before="157" w:beforeLines="50" w:line="360" w:lineRule="auto"/>
        <w:ind w:firstLine="0" w:firstLineChars="0"/>
        <w:jc w:val="center"/>
        <w:textAlignment w:val="auto"/>
        <w:rPr>
          <w:rFonts w:hint="default" w:ascii="Times New Roman" w:hAnsi="Times New Roman" w:eastAsia="微软雅黑" w:cs="Times New Roman"/>
          <w:b w:val="0"/>
          <w:bCs w:val="0"/>
          <w:sz w:val="21"/>
          <w:szCs w:val="21"/>
          <w:highlight w:val="none"/>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sz w:val="21"/>
          <w:szCs w:val="21"/>
        </w:rPr>
        <w:t>表7-3</w:t>
      </w:r>
      <w:r>
        <w:rPr>
          <w:rFonts w:hint="default"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rPr>
        <w:t>工程措施投资估算表</w:t>
      </w:r>
    </w:p>
    <w:tbl>
      <w:tblPr>
        <w:tblStyle w:val="88"/>
        <w:tblW w:w="4998" w:type="pct"/>
        <w:jc w:val="center"/>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365"/>
        <w:gridCol w:w="2095"/>
        <w:gridCol w:w="1061"/>
        <w:gridCol w:w="1061"/>
        <w:gridCol w:w="1537"/>
        <w:gridCol w:w="1407"/>
      </w:tblGrid>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0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val="0"/>
                <w:bCs w:val="0"/>
                <w:sz w:val="20"/>
                <w:szCs w:val="20"/>
                <w:highlight w:val="none"/>
              </w:rPr>
            </w:pPr>
            <w:r>
              <w:rPr>
                <w:rFonts w:hint="default" w:ascii="Times New Roman" w:hAnsi="Times New Roman" w:eastAsia="仿宋_GB2312" w:cs="Times New Roman"/>
                <w:b w:val="0"/>
                <w:bCs w:val="0"/>
                <w:sz w:val="20"/>
                <w:szCs w:val="20"/>
                <w:highlight w:val="none"/>
              </w:rPr>
              <w:t>序号</w:t>
            </w:r>
          </w:p>
        </w:tc>
        <w:tc>
          <w:tcPr>
            <w:tcW w:w="1228"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val="0"/>
                <w:bCs w:val="0"/>
                <w:sz w:val="20"/>
                <w:szCs w:val="20"/>
                <w:highlight w:val="none"/>
              </w:rPr>
            </w:pPr>
            <w:r>
              <w:rPr>
                <w:rFonts w:hint="default" w:ascii="Times New Roman" w:hAnsi="Times New Roman" w:eastAsia="仿宋_GB2312" w:cs="Times New Roman"/>
                <w:b w:val="0"/>
                <w:bCs w:val="0"/>
                <w:sz w:val="20"/>
                <w:szCs w:val="20"/>
                <w:highlight w:val="none"/>
              </w:rPr>
              <w:t>项目</w:t>
            </w:r>
          </w:p>
        </w:tc>
        <w:tc>
          <w:tcPr>
            <w:tcW w:w="62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val="0"/>
                <w:bCs w:val="0"/>
                <w:sz w:val="20"/>
                <w:szCs w:val="20"/>
                <w:highlight w:val="none"/>
              </w:rPr>
            </w:pPr>
            <w:r>
              <w:rPr>
                <w:rFonts w:hint="default" w:ascii="Times New Roman" w:hAnsi="Times New Roman" w:eastAsia="仿宋_GB2312" w:cs="Times New Roman"/>
                <w:b w:val="0"/>
                <w:bCs w:val="0"/>
                <w:sz w:val="20"/>
                <w:szCs w:val="20"/>
                <w:highlight w:val="none"/>
              </w:rPr>
              <w:t>单位</w:t>
            </w:r>
          </w:p>
        </w:tc>
        <w:tc>
          <w:tcPr>
            <w:tcW w:w="62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val="0"/>
                <w:bCs w:val="0"/>
                <w:sz w:val="20"/>
                <w:szCs w:val="20"/>
                <w:highlight w:val="none"/>
              </w:rPr>
            </w:pPr>
            <w:r>
              <w:rPr>
                <w:rFonts w:hint="default" w:ascii="Times New Roman" w:hAnsi="Times New Roman" w:eastAsia="仿宋_GB2312" w:cs="Times New Roman"/>
                <w:b w:val="0"/>
                <w:bCs w:val="0"/>
                <w:sz w:val="20"/>
                <w:szCs w:val="20"/>
                <w:highlight w:val="none"/>
              </w:rPr>
              <w:t>数量</w:t>
            </w:r>
          </w:p>
        </w:tc>
        <w:tc>
          <w:tcPr>
            <w:tcW w:w="90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val="0"/>
                <w:bCs w:val="0"/>
                <w:sz w:val="20"/>
                <w:szCs w:val="20"/>
                <w:highlight w:val="none"/>
              </w:rPr>
            </w:pPr>
            <w:r>
              <w:rPr>
                <w:rFonts w:hint="default" w:ascii="Times New Roman" w:hAnsi="Times New Roman" w:eastAsia="仿宋_GB2312" w:cs="Times New Roman"/>
                <w:b w:val="0"/>
                <w:bCs w:val="0"/>
                <w:sz w:val="20"/>
                <w:szCs w:val="20"/>
                <w:highlight w:val="none"/>
              </w:rPr>
              <w:t>单价</w:t>
            </w:r>
          </w:p>
        </w:tc>
        <w:tc>
          <w:tcPr>
            <w:tcW w:w="82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val="0"/>
                <w:bCs w:val="0"/>
                <w:sz w:val="20"/>
                <w:szCs w:val="20"/>
                <w:highlight w:val="none"/>
              </w:rPr>
            </w:pPr>
            <w:r>
              <w:rPr>
                <w:rFonts w:hint="default" w:ascii="Times New Roman" w:hAnsi="Times New Roman" w:eastAsia="仿宋_GB2312" w:cs="Times New Roman"/>
                <w:b w:val="0"/>
                <w:bCs w:val="0"/>
                <w:sz w:val="20"/>
                <w:szCs w:val="20"/>
                <w:highlight w:val="none"/>
              </w:rPr>
              <w:t>合计（</w:t>
            </w:r>
            <w:r>
              <w:rPr>
                <w:rFonts w:hint="default" w:ascii="Times New Roman" w:hAnsi="Times New Roman" w:eastAsia="仿宋_GB2312" w:cs="Times New Roman"/>
                <w:b w:val="0"/>
                <w:bCs w:val="0"/>
                <w:sz w:val="20"/>
                <w:szCs w:val="20"/>
                <w:highlight w:val="none"/>
                <w:lang w:val="en-US" w:eastAsia="zh-CN"/>
              </w:rPr>
              <w:t>万</w:t>
            </w:r>
            <w:r>
              <w:rPr>
                <w:rFonts w:hint="default" w:ascii="Times New Roman" w:hAnsi="Times New Roman" w:eastAsia="仿宋_GB2312" w:cs="Times New Roman"/>
                <w:b w:val="0"/>
                <w:bCs w:val="0"/>
                <w:sz w:val="20"/>
                <w:szCs w:val="20"/>
                <w:highlight w:val="none"/>
              </w:rPr>
              <w:t>元）</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0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sz w:val="20"/>
                <w:szCs w:val="20"/>
                <w:highlight w:val="none"/>
              </w:rPr>
            </w:pPr>
            <w:r>
              <w:rPr>
                <w:rFonts w:hint="default" w:ascii="Times New Roman" w:hAnsi="Times New Roman" w:eastAsia="仿宋_GB2312" w:cs="Times New Roman"/>
                <w:b/>
                <w:bCs/>
                <w:sz w:val="20"/>
                <w:szCs w:val="20"/>
                <w:highlight w:val="none"/>
              </w:rPr>
              <w:t>第一部分</w:t>
            </w:r>
          </w:p>
        </w:tc>
        <w:tc>
          <w:tcPr>
            <w:tcW w:w="1228"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sz w:val="20"/>
                <w:szCs w:val="20"/>
                <w:highlight w:val="none"/>
              </w:rPr>
            </w:pPr>
            <w:r>
              <w:rPr>
                <w:rFonts w:hint="default" w:ascii="Times New Roman" w:hAnsi="Times New Roman" w:eastAsia="仿宋_GB2312" w:cs="Times New Roman"/>
                <w:b/>
                <w:bCs/>
                <w:sz w:val="20"/>
                <w:szCs w:val="20"/>
                <w:highlight w:val="none"/>
              </w:rPr>
              <w:t>工程措施</w:t>
            </w:r>
          </w:p>
        </w:tc>
        <w:tc>
          <w:tcPr>
            <w:tcW w:w="62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sz w:val="20"/>
                <w:szCs w:val="20"/>
                <w:highlight w:val="none"/>
              </w:rPr>
            </w:pPr>
          </w:p>
        </w:tc>
        <w:tc>
          <w:tcPr>
            <w:tcW w:w="62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sz w:val="20"/>
                <w:szCs w:val="20"/>
                <w:highlight w:val="none"/>
              </w:rPr>
            </w:pPr>
          </w:p>
        </w:tc>
        <w:tc>
          <w:tcPr>
            <w:tcW w:w="90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val="0"/>
                <w:bCs w:val="0"/>
                <w:sz w:val="20"/>
                <w:szCs w:val="20"/>
                <w:highlight w:val="none"/>
              </w:rPr>
            </w:pPr>
          </w:p>
        </w:tc>
        <w:tc>
          <w:tcPr>
            <w:tcW w:w="140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eastAsia="仿宋_GB2312" w:cs="Times New Roman"/>
                <w:sz w:val="20"/>
                <w:szCs w:val="20"/>
                <w:highlight w:val="none"/>
                <w:lang w:val="en-US" w:eastAsia="zh-CN"/>
              </w:rPr>
            </w:pPr>
            <w:r>
              <w:rPr>
                <w:rFonts w:hint="eastAsia" w:eastAsia="仿宋_GB2312" w:cs="Times New Roman"/>
                <w:b/>
                <w:bCs/>
                <w:sz w:val="20"/>
                <w:szCs w:val="20"/>
                <w:highlight w:val="none"/>
                <w:lang w:val="en-US" w:eastAsia="zh-CN"/>
              </w:rPr>
              <w:t>285.61</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0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一</w:t>
            </w:r>
          </w:p>
        </w:tc>
        <w:tc>
          <w:tcPr>
            <w:tcW w:w="1228"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工程建设区</w:t>
            </w:r>
          </w:p>
        </w:tc>
        <w:tc>
          <w:tcPr>
            <w:tcW w:w="62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0"/>
                <w:szCs w:val="20"/>
                <w:highlight w:val="none"/>
              </w:rPr>
            </w:pPr>
          </w:p>
        </w:tc>
        <w:tc>
          <w:tcPr>
            <w:tcW w:w="62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0"/>
                <w:szCs w:val="20"/>
                <w:highlight w:val="none"/>
              </w:rPr>
            </w:pPr>
          </w:p>
        </w:tc>
        <w:tc>
          <w:tcPr>
            <w:tcW w:w="90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0"/>
                <w:szCs w:val="20"/>
                <w:highlight w:val="none"/>
              </w:rPr>
            </w:pPr>
          </w:p>
        </w:tc>
        <w:tc>
          <w:tcPr>
            <w:tcW w:w="140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eastAsia="仿宋_GB2312" w:cs="Times New Roman"/>
                <w:sz w:val="20"/>
                <w:szCs w:val="20"/>
                <w:highlight w:val="none"/>
                <w:lang w:val="en-US" w:eastAsia="zh-CN"/>
              </w:rPr>
            </w:pPr>
            <w:r>
              <w:rPr>
                <w:rFonts w:hint="eastAsia" w:eastAsia="仿宋_GB2312" w:cs="Times New Roman"/>
                <w:sz w:val="20"/>
                <w:szCs w:val="20"/>
                <w:highlight w:val="none"/>
                <w:lang w:val="en-US" w:eastAsia="zh-CN"/>
              </w:rPr>
              <w:t>285.61</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0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default" w:ascii="Times New Roman" w:hAnsi="Times New Roman" w:eastAsia="仿宋_GB2312" w:cs="Times New Roman"/>
                <w:sz w:val="20"/>
                <w:szCs w:val="20"/>
                <w:highlight w:val="none"/>
              </w:rPr>
              <w:t>1</w:t>
            </w:r>
          </w:p>
        </w:tc>
        <w:tc>
          <w:tcPr>
            <w:tcW w:w="1228"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default" w:ascii="Times New Roman" w:hAnsi="Times New Roman" w:eastAsia="仿宋_GB2312" w:cs="Times New Roman"/>
                <w:sz w:val="20"/>
                <w:szCs w:val="20"/>
                <w:highlight w:val="none"/>
              </w:rPr>
              <w:t>绿化用土回覆</w:t>
            </w:r>
          </w:p>
        </w:tc>
        <w:tc>
          <w:tcPr>
            <w:tcW w:w="62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default" w:ascii="Times New Roman" w:hAnsi="Times New Roman" w:eastAsia="仿宋_GB2312" w:cs="Times New Roman"/>
                <w:sz w:val="20"/>
                <w:szCs w:val="20"/>
                <w:highlight w:val="none"/>
                <w:lang w:eastAsia="zh-CN"/>
              </w:rPr>
              <w:t>m³</w:t>
            </w:r>
          </w:p>
        </w:tc>
        <w:tc>
          <w:tcPr>
            <w:tcW w:w="62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eastAsia" w:eastAsia="仿宋_GB2312" w:cs="Times New Roman"/>
                <w:sz w:val="20"/>
                <w:szCs w:val="20"/>
                <w:highlight w:val="none"/>
                <w:lang w:val="en-US" w:eastAsia="zh-CN"/>
              </w:rPr>
              <w:t>12000</w:t>
            </w:r>
          </w:p>
        </w:tc>
        <w:tc>
          <w:tcPr>
            <w:tcW w:w="90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2"/>
                <w:sz w:val="20"/>
                <w:szCs w:val="20"/>
                <w:highlight w:val="none"/>
                <w:lang w:val="en-US" w:eastAsia="zh-CN" w:bidi="ar-SA"/>
              </w:rPr>
            </w:pPr>
            <w:r>
              <w:rPr>
                <w:rFonts w:hint="eastAsia" w:eastAsia="仿宋_GB2312" w:cs="Times New Roman"/>
                <w:color w:val="000000"/>
                <w:kern w:val="0"/>
                <w:sz w:val="20"/>
                <w:szCs w:val="20"/>
                <w:highlight w:val="none"/>
                <w:lang w:val="en-US" w:eastAsia="zh-CN" w:bidi="ar"/>
              </w:rPr>
              <w:t>10</w:t>
            </w:r>
          </w:p>
        </w:tc>
        <w:tc>
          <w:tcPr>
            <w:tcW w:w="140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eastAsia="仿宋_GB2312" w:cs="Times New Roman"/>
                <w:sz w:val="20"/>
                <w:szCs w:val="20"/>
                <w:highlight w:val="none"/>
                <w:lang w:val="en-US" w:eastAsia="zh-CN"/>
              </w:rPr>
            </w:pPr>
            <w:r>
              <w:rPr>
                <w:rFonts w:hint="eastAsia" w:eastAsia="仿宋_GB2312" w:cs="Times New Roman"/>
                <w:sz w:val="20"/>
                <w:szCs w:val="20"/>
                <w:highlight w:val="none"/>
                <w:lang w:val="en-US" w:eastAsia="zh-CN"/>
              </w:rPr>
              <w:t>12</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0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default" w:ascii="Times New Roman" w:hAnsi="Times New Roman" w:eastAsia="仿宋_GB2312" w:cs="Times New Roman"/>
                <w:sz w:val="20"/>
                <w:szCs w:val="20"/>
                <w:highlight w:val="none"/>
              </w:rPr>
              <w:t>2</w:t>
            </w:r>
          </w:p>
        </w:tc>
        <w:tc>
          <w:tcPr>
            <w:tcW w:w="1228"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default" w:ascii="Times New Roman" w:hAnsi="Times New Roman" w:eastAsia="仿宋_GB2312" w:cs="Times New Roman"/>
                <w:sz w:val="20"/>
                <w:szCs w:val="20"/>
                <w:highlight w:val="none"/>
              </w:rPr>
              <w:t>雨水排水管</w:t>
            </w:r>
          </w:p>
        </w:tc>
        <w:tc>
          <w:tcPr>
            <w:tcW w:w="62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default" w:ascii="Times New Roman" w:hAnsi="Times New Roman" w:eastAsia="仿宋_GB2312" w:cs="Times New Roman"/>
                <w:sz w:val="20"/>
                <w:szCs w:val="20"/>
                <w:highlight w:val="none"/>
              </w:rPr>
              <w:t>m</w:t>
            </w:r>
          </w:p>
        </w:tc>
        <w:tc>
          <w:tcPr>
            <w:tcW w:w="62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eastAsia" w:eastAsia="仿宋_GB2312" w:cs="Times New Roman"/>
                <w:kern w:val="2"/>
                <w:sz w:val="20"/>
                <w:szCs w:val="20"/>
                <w:highlight w:val="none"/>
                <w:lang w:val="en-US" w:eastAsia="zh-CN" w:bidi="ar-SA"/>
              </w:rPr>
              <w:t>2600</w:t>
            </w:r>
          </w:p>
        </w:tc>
        <w:tc>
          <w:tcPr>
            <w:tcW w:w="90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eastAsia" w:eastAsia="仿宋_GB2312" w:cs="Times New Roman"/>
                <w:sz w:val="20"/>
                <w:szCs w:val="20"/>
                <w:highlight w:val="none"/>
                <w:lang w:val="en-US" w:eastAsia="zh-CN"/>
              </w:rPr>
              <w:t>1000</w:t>
            </w:r>
          </w:p>
        </w:tc>
        <w:tc>
          <w:tcPr>
            <w:tcW w:w="140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eastAsia="仿宋_GB2312" w:cs="Times New Roman"/>
                <w:sz w:val="20"/>
                <w:szCs w:val="20"/>
                <w:highlight w:val="none"/>
                <w:lang w:val="en-US" w:eastAsia="zh-CN"/>
              </w:rPr>
            </w:pPr>
            <w:r>
              <w:rPr>
                <w:rFonts w:hint="eastAsia" w:eastAsia="仿宋_GB2312" w:cs="Times New Roman"/>
                <w:sz w:val="20"/>
                <w:szCs w:val="20"/>
                <w:highlight w:val="none"/>
                <w:lang w:val="en-US" w:eastAsia="zh-CN"/>
              </w:rPr>
              <w:t>260</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0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default" w:ascii="Times New Roman" w:hAnsi="Times New Roman" w:eastAsia="仿宋_GB2312" w:cs="Times New Roman"/>
                <w:sz w:val="20"/>
                <w:szCs w:val="20"/>
                <w:highlight w:val="none"/>
              </w:rPr>
              <w:t>3</w:t>
            </w:r>
          </w:p>
        </w:tc>
        <w:tc>
          <w:tcPr>
            <w:tcW w:w="1228"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eastAsia" w:eastAsia="仿宋_GB2312" w:cs="Times New Roman"/>
                <w:sz w:val="20"/>
                <w:szCs w:val="20"/>
                <w:highlight w:val="none"/>
                <w:lang w:eastAsia="zh-CN"/>
              </w:rPr>
              <w:t>雨水口</w:t>
            </w:r>
          </w:p>
        </w:tc>
        <w:tc>
          <w:tcPr>
            <w:tcW w:w="62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default" w:ascii="Times New Roman" w:hAnsi="Times New Roman" w:eastAsia="仿宋_GB2312" w:cs="Times New Roman"/>
                <w:sz w:val="20"/>
                <w:szCs w:val="20"/>
                <w:highlight w:val="none"/>
              </w:rPr>
              <w:t>个</w:t>
            </w:r>
          </w:p>
        </w:tc>
        <w:tc>
          <w:tcPr>
            <w:tcW w:w="62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eastAsia" w:eastAsia="仿宋_GB2312" w:cs="Times New Roman"/>
                <w:kern w:val="2"/>
                <w:sz w:val="20"/>
                <w:szCs w:val="20"/>
                <w:highlight w:val="none"/>
                <w:lang w:val="en-US" w:eastAsia="zh-CN" w:bidi="ar-SA"/>
              </w:rPr>
              <w:t>260</w:t>
            </w:r>
          </w:p>
        </w:tc>
        <w:tc>
          <w:tcPr>
            <w:tcW w:w="90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eastAsia" w:eastAsia="仿宋_GB2312" w:cs="Times New Roman"/>
                <w:sz w:val="20"/>
                <w:szCs w:val="20"/>
                <w:highlight w:val="none"/>
                <w:lang w:val="en-US" w:eastAsia="zh-CN"/>
              </w:rPr>
              <w:t>500</w:t>
            </w:r>
          </w:p>
        </w:tc>
        <w:tc>
          <w:tcPr>
            <w:tcW w:w="140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eastAsia="仿宋_GB2312" w:cs="Times New Roman"/>
                <w:sz w:val="20"/>
                <w:szCs w:val="20"/>
                <w:highlight w:val="none"/>
                <w:lang w:val="en-US" w:eastAsia="zh-CN"/>
              </w:rPr>
            </w:pPr>
            <w:r>
              <w:rPr>
                <w:rFonts w:hint="eastAsia" w:eastAsia="仿宋_GB2312" w:cs="Times New Roman"/>
                <w:sz w:val="20"/>
                <w:szCs w:val="20"/>
                <w:highlight w:val="none"/>
                <w:lang w:val="en-US" w:eastAsia="zh-CN"/>
              </w:rPr>
              <w:t>13</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0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default" w:ascii="Times New Roman" w:hAnsi="Times New Roman" w:eastAsia="仿宋_GB2312" w:cs="Times New Roman"/>
                <w:sz w:val="20"/>
                <w:szCs w:val="20"/>
                <w:highlight w:val="none"/>
              </w:rPr>
              <w:t>4</w:t>
            </w:r>
          </w:p>
        </w:tc>
        <w:tc>
          <w:tcPr>
            <w:tcW w:w="1228"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default" w:ascii="Times New Roman" w:hAnsi="Times New Roman" w:eastAsia="仿宋_GB2312" w:cs="Times New Roman"/>
                <w:sz w:val="20"/>
                <w:szCs w:val="20"/>
                <w:highlight w:val="none"/>
              </w:rPr>
              <w:t>全面整地</w:t>
            </w:r>
          </w:p>
        </w:tc>
        <w:tc>
          <w:tcPr>
            <w:tcW w:w="62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default" w:ascii="Times New Roman" w:hAnsi="Times New Roman" w:eastAsia="仿宋_GB2312" w:cs="Times New Roman"/>
                <w:sz w:val="20"/>
                <w:szCs w:val="20"/>
                <w:highlight w:val="none"/>
                <w:lang w:eastAsia="zh-CN"/>
              </w:rPr>
              <w:t>hm²</w:t>
            </w:r>
          </w:p>
        </w:tc>
        <w:tc>
          <w:tcPr>
            <w:tcW w:w="62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0"/>
                <w:szCs w:val="20"/>
                <w:highlight w:val="none"/>
                <w:lang w:val="en-US" w:eastAsia="zh-CN" w:bidi="ar-SA"/>
              </w:rPr>
            </w:pPr>
            <w:r>
              <w:rPr>
                <w:rFonts w:hint="eastAsia" w:eastAsia="仿宋_GB2312" w:cs="Times New Roman"/>
                <w:sz w:val="20"/>
                <w:szCs w:val="20"/>
                <w:highlight w:val="none"/>
                <w:lang w:val="en-US" w:eastAsia="zh-CN"/>
              </w:rPr>
              <w:t>3.99</w:t>
            </w:r>
          </w:p>
        </w:tc>
        <w:tc>
          <w:tcPr>
            <w:tcW w:w="90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2"/>
                <w:sz w:val="20"/>
                <w:szCs w:val="20"/>
                <w:highlight w:val="none"/>
                <w:lang w:val="en-US" w:eastAsia="zh-CN" w:bidi="ar-SA"/>
              </w:rPr>
            </w:pPr>
            <w:r>
              <w:rPr>
                <w:rFonts w:hint="default" w:ascii="Times New Roman" w:hAnsi="Times New Roman" w:eastAsia="仿宋_GB2312" w:cs="Times New Roman"/>
                <w:sz w:val="20"/>
                <w:szCs w:val="20"/>
                <w:highlight w:val="none"/>
                <w:lang w:val="en-US" w:eastAsia="zh-CN"/>
              </w:rPr>
              <w:t>1529.35</w:t>
            </w:r>
          </w:p>
        </w:tc>
        <w:tc>
          <w:tcPr>
            <w:tcW w:w="140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eastAsia="仿宋_GB2312" w:cs="Times New Roman"/>
                <w:sz w:val="20"/>
                <w:szCs w:val="20"/>
                <w:highlight w:val="none"/>
                <w:lang w:val="en-US" w:eastAsia="zh-CN"/>
              </w:rPr>
            </w:pPr>
            <w:r>
              <w:rPr>
                <w:rFonts w:hint="eastAsia" w:eastAsia="仿宋_GB2312" w:cs="Times New Roman"/>
                <w:sz w:val="20"/>
                <w:szCs w:val="20"/>
                <w:highlight w:val="none"/>
                <w:lang w:val="en-US" w:eastAsia="zh-CN"/>
              </w:rPr>
              <w:t>0.61</w:t>
            </w:r>
          </w:p>
        </w:tc>
      </w:tr>
    </w:tbl>
    <w:p>
      <w:pPr>
        <w:keepNext w:val="0"/>
        <w:keepLines w:val="0"/>
        <w:pageBreakBefore w:val="0"/>
        <w:widowControl w:val="0"/>
        <w:kinsoku/>
        <w:wordWrap/>
        <w:overflowPunct/>
        <w:topLinePunct w:val="0"/>
        <w:autoSpaceDE/>
        <w:autoSpaceDN/>
        <w:bidi w:val="0"/>
        <w:adjustRightInd/>
        <w:snapToGrid/>
        <w:spacing w:before="157" w:beforeLines="50" w:line="360" w:lineRule="auto"/>
        <w:ind w:firstLine="0" w:firstLineChars="0"/>
        <w:jc w:val="center"/>
        <w:textAlignment w:val="auto"/>
        <w:rPr>
          <w:rFonts w:hint="default" w:ascii="Times New Roman" w:hAnsi="Times New Roman" w:eastAsia="微软雅黑" w:cs="Times New Roman"/>
          <w:b w:val="0"/>
          <w:bCs w:val="0"/>
          <w:sz w:val="21"/>
          <w:szCs w:val="21"/>
          <w:highlight w:val="none"/>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sz w:val="21"/>
          <w:szCs w:val="21"/>
        </w:rPr>
        <w:t>表7-4</w:t>
      </w:r>
      <w:r>
        <w:rPr>
          <w:rFonts w:hint="default"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sz w:val="21"/>
          <w:szCs w:val="21"/>
        </w:rPr>
        <w:t>植物措施投资估算表</w:t>
      </w:r>
    </w:p>
    <w:tbl>
      <w:tblPr>
        <w:tblStyle w:val="88"/>
        <w:tblW w:w="8534" w:type="dxa"/>
        <w:jc w:val="center"/>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393"/>
        <w:gridCol w:w="2070"/>
        <w:gridCol w:w="1065"/>
        <w:gridCol w:w="1080"/>
        <w:gridCol w:w="1500"/>
        <w:gridCol w:w="1426"/>
      </w:tblGrid>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93"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序号</w:t>
            </w:r>
          </w:p>
        </w:tc>
        <w:tc>
          <w:tcPr>
            <w:tcW w:w="2070"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项目</w:t>
            </w:r>
          </w:p>
        </w:tc>
        <w:tc>
          <w:tcPr>
            <w:tcW w:w="1065"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单位</w:t>
            </w:r>
          </w:p>
        </w:tc>
        <w:tc>
          <w:tcPr>
            <w:tcW w:w="1080"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数量</w:t>
            </w:r>
          </w:p>
        </w:tc>
        <w:tc>
          <w:tcPr>
            <w:tcW w:w="1500" w:type="dxa"/>
            <w:tcBorders>
              <w:tl2br w:val="nil"/>
              <w:tr2bl w:val="nil"/>
            </w:tcBorders>
            <w:noWrap w:val="0"/>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单价（元）</w:t>
            </w:r>
          </w:p>
        </w:tc>
        <w:tc>
          <w:tcPr>
            <w:tcW w:w="1426" w:type="dxa"/>
            <w:tcBorders>
              <w:tl2br w:val="nil"/>
              <w:tr2bl w:val="nil"/>
            </w:tcBorders>
            <w:noWrap w:val="0"/>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合计（</w:t>
            </w:r>
            <w:r>
              <w:rPr>
                <w:rFonts w:hint="default" w:ascii="Times New Roman" w:hAnsi="Times New Roman" w:cs="Times New Roman"/>
                <w:sz w:val="20"/>
                <w:szCs w:val="20"/>
                <w:highlight w:val="none"/>
                <w:lang w:val="en-US" w:eastAsia="zh-CN"/>
              </w:rPr>
              <w:t>万</w:t>
            </w:r>
            <w:r>
              <w:rPr>
                <w:rFonts w:hint="default" w:ascii="Times New Roman" w:hAnsi="Times New Roman" w:eastAsia="仿宋_GB2312" w:cs="Times New Roman"/>
                <w:sz w:val="20"/>
                <w:szCs w:val="20"/>
                <w:highlight w:val="none"/>
              </w:rPr>
              <w:t>元）</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93"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bCs/>
                <w:sz w:val="20"/>
                <w:szCs w:val="20"/>
                <w:highlight w:val="none"/>
              </w:rPr>
            </w:pPr>
            <w:r>
              <w:rPr>
                <w:rFonts w:hint="default" w:ascii="Times New Roman" w:hAnsi="Times New Roman" w:eastAsia="仿宋_GB2312" w:cs="Times New Roman"/>
                <w:b/>
                <w:bCs/>
                <w:sz w:val="20"/>
                <w:szCs w:val="20"/>
                <w:highlight w:val="none"/>
              </w:rPr>
              <w:t>第二部分</w:t>
            </w:r>
          </w:p>
        </w:tc>
        <w:tc>
          <w:tcPr>
            <w:tcW w:w="2070"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bCs/>
                <w:sz w:val="20"/>
                <w:szCs w:val="20"/>
                <w:highlight w:val="none"/>
              </w:rPr>
            </w:pPr>
            <w:r>
              <w:rPr>
                <w:rFonts w:hint="default" w:ascii="Times New Roman" w:hAnsi="Times New Roman" w:eastAsia="仿宋_GB2312" w:cs="Times New Roman"/>
                <w:b/>
                <w:bCs/>
                <w:sz w:val="20"/>
                <w:szCs w:val="20"/>
                <w:highlight w:val="none"/>
              </w:rPr>
              <w:t>植物措施</w:t>
            </w:r>
          </w:p>
        </w:tc>
        <w:tc>
          <w:tcPr>
            <w:tcW w:w="1065"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bCs/>
                <w:sz w:val="20"/>
                <w:szCs w:val="20"/>
                <w:highlight w:val="none"/>
              </w:rPr>
            </w:pPr>
          </w:p>
        </w:tc>
        <w:tc>
          <w:tcPr>
            <w:tcW w:w="1080"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bCs/>
                <w:sz w:val="20"/>
                <w:szCs w:val="20"/>
                <w:highlight w:val="none"/>
              </w:rPr>
            </w:pPr>
          </w:p>
        </w:tc>
        <w:tc>
          <w:tcPr>
            <w:tcW w:w="1500"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bCs/>
                <w:sz w:val="20"/>
                <w:szCs w:val="20"/>
                <w:highlight w:val="none"/>
              </w:rPr>
            </w:pPr>
          </w:p>
        </w:tc>
        <w:tc>
          <w:tcPr>
            <w:tcW w:w="1426" w:type="dxa"/>
            <w:tcBorders>
              <w:tl2br w:val="nil"/>
              <w:tr2bl w:val="nil"/>
            </w:tcBorders>
            <w:noWrap/>
            <w:vAlign w:val="center"/>
          </w:tcPr>
          <w:p>
            <w:pPr>
              <w:keepNext w:val="0"/>
              <w:keepLines w:val="0"/>
              <w:pageBreakBefore w:val="0"/>
              <w:kinsoku/>
              <w:wordWrap/>
              <w:overflowPunct/>
              <w:topLinePunct w:val="0"/>
              <w:autoSpaceDE/>
              <w:autoSpaceDN/>
              <w:bidi w:val="0"/>
              <w:adjustRightInd/>
              <w:snapToGrid w:val="0"/>
              <w:jc w:val="center"/>
              <w:rPr>
                <w:rFonts w:hint="default" w:eastAsia="仿宋_GB2312" w:cs="Times New Roman"/>
                <w:sz w:val="20"/>
                <w:szCs w:val="20"/>
                <w:highlight w:val="none"/>
                <w:lang w:val="en-US" w:eastAsia="zh-CN"/>
              </w:rPr>
            </w:pPr>
            <w:r>
              <w:rPr>
                <w:rFonts w:hint="eastAsia" w:eastAsia="仿宋_GB2312" w:cs="Times New Roman"/>
                <w:b/>
                <w:bCs/>
                <w:sz w:val="20"/>
                <w:szCs w:val="20"/>
                <w:highlight w:val="none"/>
                <w:lang w:val="en-US" w:eastAsia="zh-CN"/>
              </w:rPr>
              <w:t>479.20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93"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一</w:t>
            </w:r>
          </w:p>
        </w:tc>
        <w:tc>
          <w:tcPr>
            <w:tcW w:w="2070"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工程建设区</w:t>
            </w:r>
          </w:p>
        </w:tc>
        <w:tc>
          <w:tcPr>
            <w:tcW w:w="1065"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 w:val="20"/>
                <w:szCs w:val="20"/>
                <w:highlight w:val="none"/>
              </w:rPr>
            </w:pPr>
          </w:p>
        </w:tc>
        <w:tc>
          <w:tcPr>
            <w:tcW w:w="1080"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 w:val="20"/>
                <w:szCs w:val="20"/>
                <w:highlight w:val="none"/>
              </w:rPr>
            </w:pPr>
          </w:p>
        </w:tc>
        <w:tc>
          <w:tcPr>
            <w:tcW w:w="1500"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 w:val="20"/>
                <w:szCs w:val="20"/>
                <w:highlight w:val="none"/>
              </w:rPr>
            </w:pPr>
          </w:p>
        </w:tc>
        <w:tc>
          <w:tcPr>
            <w:tcW w:w="1426" w:type="dxa"/>
            <w:tcBorders>
              <w:tl2br w:val="nil"/>
              <w:tr2bl w:val="nil"/>
            </w:tcBorders>
            <w:noWrap/>
            <w:vAlign w:val="center"/>
          </w:tcPr>
          <w:p>
            <w:pPr>
              <w:keepNext w:val="0"/>
              <w:keepLines w:val="0"/>
              <w:pageBreakBefore w:val="0"/>
              <w:kinsoku/>
              <w:wordWrap/>
              <w:overflowPunct/>
              <w:topLinePunct w:val="0"/>
              <w:autoSpaceDE/>
              <w:autoSpaceDN/>
              <w:bidi w:val="0"/>
              <w:adjustRightInd/>
              <w:snapToGrid w:val="0"/>
              <w:jc w:val="center"/>
              <w:rPr>
                <w:rFonts w:hint="default" w:eastAsia="仿宋_GB2312" w:cs="Times New Roman"/>
                <w:sz w:val="20"/>
                <w:szCs w:val="20"/>
                <w:highlight w:val="none"/>
                <w:lang w:val="en-US" w:eastAsia="zh-CN"/>
              </w:rPr>
            </w:pPr>
            <w:r>
              <w:rPr>
                <w:rFonts w:hint="eastAsia" w:eastAsia="仿宋_GB2312" w:cs="Times New Roman"/>
                <w:sz w:val="20"/>
                <w:szCs w:val="20"/>
                <w:highlight w:val="none"/>
                <w:lang w:val="en-US" w:eastAsia="zh-CN"/>
              </w:rPr>
              <w:t>479.20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93"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1</w:t>
            </w:r>
          </w:p>
        </w:tc>
        <w:tc>
          <w:tcPr>
            <w:tcW w:w="2070"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绿化</w:t>
            </w:r>
          </w:p>
        </w:tc>
        <w:tc>
          <w:tcPr>
            <w:tcW w:w="1065"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m²</w:t>
            </w:r>
          </w:p>
        </w:tc>
        <w:tc>
          <w:tcPr>
            <w:tcW w:w="1080"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 w:val="20"/>
                <w:szCs w:val="20"/>
                <w:highlight w:val="none"/>
                <w:lang w:eastAsia="zh-CN"/>
              </w:rPr>
            </w:pPr>
            <w:r>
              <w:rPr>
                <w:rFonts w:hint="eastAsia" w:cs="Times New Roman"/>
                <w:sz w:val="20"/>
                <w:szCs w:val="20"/>
                <w:highlight w:val="none"/>
                <w:lang w:eastAsia="zh-CN"/>
              </w:rPr>
              <w:t>39933.28</w:t>
            </w:r>
          </w:p>
        </w:tc>
        <w:tc>
          <w:tcPr>
            <w:tcW w:w="1500" w:type="dxa"/>
            <w:tcBorders>
              <w:tl2br w:val="nil"/>
              <w:tr2bl w:val="nil"/>
            </w:tcBorders>
            <w:noWrap/>
            <w:vAlign w:val="center"/>
          </w:tcPr>
          <w:p>
            <w:pPr>
              <w:pStyle w:val="562"/>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120</w:t>
            </w:r>
          </w:p>
        </w:tc>
        <w:tc>
          <w:tcPr>
            <w:tcW w:w="1426" w:type="dxa"/>
            <w:tcBorders>
              <w:tl2br w:val="nil"/>
              <w:tr2bl w:val="nil"/>
            </w:tcBorders>
            <w:noWrap/>
            <w:vAlign w:val="center"/>
          </w:tcPr>
          <w:p>
            <w:pPr>
              <w:keepNext w:val="0"/>
              <w:keepLines w:val="0"/>
              <w:pageBreakBefore w:val="0"/>
              <w:kinsoku/>
              <w:wordWrap/>
              <w:overflowPunct/>
              <w:topLinePunct w:val="0"/>
              <w:autoSpaceDE/>
              <w:autoSpaceDN/>
              <w:bidi w:val="0"/>
              <w:adjustRightInd/>
              <w:snapToGrid w:val="0"/>
              <w:jc w:val="center"/>
              <w:rPr>
                <w:rFonts w:hint="default" w:eastAsia="仿宋_GB2312" w:cs="Times New Roman"/>
                <w:sz w:val="20"/>
                <w:szCs w:val="20"/>
                <w:highlight w:val="none"/>
                <w:lang w:val="en-US" w:eastAsia="zh-CN"/>
              </w:rPr>
            </w:pPr>
            <w:r>
              <w:rPr>
                <w:rFonts w:hint="eastAsia" w:eastAsia="仿宋_GB2312" w:cs="Times New Roman"/>
                <w:sz w:val="20"/>
                <w:szCs w:val="20"/>
                <w:highlight w:val="none"/>
                <w:lang w:val="en-US" w:eastAsia="zh-CN"/>
              </w:rPr>
              <w:t>479.20</w:t>
            </w:r>
          </w:p>
        </w:tc>
      </w:tr>
    </w:tbl>
    <w:p>
      <w:pPr>
        <w:keepNext w:val="0"/>
        <w:keepLines w:val="0"/>
        <w:pageBreakBefore w:val="0"/>
        <w:widowControl w:val="0"/>
        <w:kinsoku/>
        <w:wordWrap/>
        <w:overflowPunct/>
        <w:topLinePunct w:val="0"/>
        <w:autoSpaceDE/>
        <w:autoSpaceDN/>
        <w:bidi w:val="0"/>
        <w:adjustRightInd/>
        <w:snapToGrid/>
        <w:spacing w:before="157" w:beforeLines="50" w:line="360" w:lineRule="auto"/>
        <w:ind w:firstLine="0" w:firstLineChars="0"/>
        <w:jc w:val="center"/>
        <w:textAlignment w:val="auto"/>
        <w:rPr>
          <w:rFonts w:hint="default" w:ascii="Times New Roman" w:hAnsi="Times New Roman" w:eastAsia="微软雅黑" w:cs="Times New Roman"/>
          <w:b w:val="0"/>
          <w:bCs w:val="0"/>
          <w:spacing w:val="2"/>
          <w:sz w:val="21"/>
          <w:szCs w:val="21"/>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rPr>
      </w:pPr>
      <w:r>
        <w:rPr>
          <w:rFonts w:hint="default" w:ascii="Times New Roman" w:hAnsi="Times New Roman" w:eastAsia="微软雅黑" w:cs="Times New Roman"/>
          <w:b w:val="0"/>
          <w:bCs w:val="0"/>
          <w:sz w:val="21"/>
          <w:szCs w:val="21"/>
          <w:highlight w:val="none"/>
        </w:rPr>
        <w:t>表7-5</w:t>
      </w:r>
      <w:r>
        <w:rPr>
          <w:rFonts w:hint="default" w:ascii="Times New Roman" w:hAnsi="Times New Roman" w:eastAsia="微软雅黑" w:cs="Times New Roman"/>
          <w:b w:val="0"/>
          <w:bCs w:val="0"/>
          <w:sz w:val="21"/>
          <w:szCs w:val="21"/>
          <w:highlight w:val="none"/>
          <w:lang w:val="en-US" w:eastAsia="zh-CN"/>
        </w:rPr>
        <w:t xml:space="preserve">  </w:t>
      </w:r>
      <w:r>
        <w:rPr>
          <w:rFonts w:hint="default" w:ascii="Times New Roman" w:hAnsi="Times New Roman" w:eastAsia="微软雅黑" w:cs="Times New Roman"/>
          <w:b w:val="0"/>
          <w:bCs w:val="0"/>
          <w:sz w:val="21"/>
          <w:szCs w:val="21"/>
          <w:highlight w:val="none"/>
        </w:rPr>
        <w:t>临时措施投资估算表</w:t>
      </w:r>
    </w:p>
    <w:tbl>
      <w:tblPr>
        <w:tblStyle w:val="556"/>
        <w:tblW w:w="4998" w:type="pct"/>
        <w:jc w:val="center"/>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Layout w:type="autofit"/>
        <w:tblCellMar>
          <w:top w:w="0" w:type="dxa"/>
          <w:left w:w="0" w:type="dxa"/>
          <w:bottom w:w="0" w:type="dxa"/>
          <w:right w:w="0" w:type="dxa"/>
        </w:tblCellMar>
      </w:tblPr>
      <w:tblGrid>
        <w:gridCol w:w="1149"/>
        <w:gridCol w:w="2050"/>
        <w:gridCol w:w="1099"/>
        <w:gridCol w:w="1423"/>
        <w:gridCol w:w="1194"/>
        <w:gridCol w:w="1395"/>
      </w:tblGrid>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69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序号</w:t>
            </w:r>
          </w:p>
        </w:tc>
        <w:tc>
          <w:tcPr>
            <w:tcW w:w="12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项</w:t>
            </w:r>
            <w:r>
              <w:rPr>
                <w:rFonts w:hint="default" w:ascii="Times New Roman" w:hAnsi="Times New Roman" w:eastAsia="仿宋_GB2312" w:cs="Times New Roman"/>
                <w:spacing w:val="1"/>
                <w:sz w:val="20"/>
                <w:szCs w:val="20"/>
              </w:rPr>
              <w:t>目</w:t>
            </w:r>
          </w:p>
        </w:tc>
        <w:tc>
          <w:tcPr>
            <w:tcW w:w="66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单</w:t>
            </w:r>
            <w:r>
              <w:rPr>
                <w:rFonts w:hint="default" w:ascii="Times New Roman" w:hAnsi="Times New Roman" w:eastAsia="仿宋_GB2312" w:cs="Times New Roman"/>
                <w:sz w:val="20"/>
                <w:szCs w:val="20"/>
              </w:rPr>
              <w:t>位</w:t>
            </w:r>
          </w:p>
        </w:tc>
        <w:tc>
          <w:tcPr>
            <w:tcW w:w="8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数量</w:t>
            </w:r>
          </w:p>
        </w:tc>
        <w:tc>
          <w:tcPr>
            <w:tcW w:w="717" w:type="pct"/>
            <w:tcBorders>
              <w:tl2br w:val="nil"/>
              <w:tr2bl w:val="nil"/>
            </w:tcBorders>
            <w:noWrap w:val="0"/>
            <w:vAlign w:val="center"/>
          </w:tcPr>
          <w:p>
            <w:pPr>
              <w:pStyle w:val="56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单价(元)</w:t>
            </w:r>
          </w:p>
        </w:tc>
        <w:tc>
          <w:tcPr>
            <w:tcW w:w="839" w:type="pct"/>
            <w:tcBorders>
              <w:tl2br w:val="nil"/>
              <w:tr2bl w:val="nil"/>
            </w:tcBorders>
            <w:noWrap w:val="0"/>
            <w:vAlign w:val="center"/>
          </w:tcPr>
          <w:p>
            <w:pPr>
              <w:pStyle w:val="56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合计(</w:t>
            </w:r>
            <w:r>
              <w:rPr>
                <w:rFonts w:hint="default" w:ascii="Times New Roman" w:hAnsi="Times New Roman" w:eastAsia="仿宋_GB2312" w:cs="Times New Roman"/>
                <w:sz w:val="20"/>
                <w:szCs w:val="20"/>
                <w:highlight w:val="none"/>
                <w:lang w:val="en-US" w:eastAsia="zh-CN"/>
              </w:rPr>
              <w:t>万</w:t>
            </w:r>
            <w:r>
              <w:rPr>
                <w:rFonts w:hint="default" w:ascii="Times New Roman" w:hAnsi="Times New Roman" w:eastAsia="仿宋_GB2312" w:cs="Times New Roman"/>
                <w:sz w:val="20"/>
                <w:szCs w:val="20"/>
                <w:highlight w:val="none"/>
              </w:rPr>
              <w:t>元)</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69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z w:val="20"/>
                <w:szCs w:val="20"/>
              </w:rPr>
            </w:pPr>
            <w:r>
              <w:rPr>
                <w:rFonts w:hint="default" w:ascii="Times New Roman" w:hAnsi="Times New Roman" w:eastAsia="仿宋_GB2312" w:cs="Times New Roman"/>
                <w:b/>
                <w:bCs/>
                <w:spacing w:val="6"/>
                <w:sz w:val="20"/>
                <w:szCs w:val="20"/>
              </w:rPr>
              <w:t>第</w:t>
            </w:r>
            <w:r>
              <w:rPr>
                <w:rFonts w:hint="default" w:ascii="Times New Roman" w:hAnsi="Times New Roman" w:eastAsia="仿宋_GB2312" w:cs="Times New Roman"/>
                <w:b/>
                <w:bCs/>
                <w:spacing w:val="3"/>
                <w:sz w:val="20"/>
                <w:szCs w:val="20"/>
              </w:rPr>
              <w:t>三部分</w:t>
            </w:r>
          </w:p>
        </w:tc>
        <w:tc>
          <w:tcPr>
            <w:tcW w:w="12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z w:val="20"/>
                <w:szCs w:val="20"/>
              </w:rPr>
            </w:pPr>
            <w:r>
              <w:rPr>
                <w:rFonts w:hint="default" w:ascii="Times New Roman" w:hAnsi="Times New Roman" w:eastAsia="仿宋_GB2312" w:cs="Times New Roman"/>
                <w:b/>
                <w:bCs/>
                <w:spacing w:val="3"/>
                <w:sz w:val="20"/>
                <w:szCs w:val="20"/>
              </w:rPr>
              <w:t>临时措</w:t>
            </w:r>
            <w:r>
              <w:rPr>
                <w:rFonts w:hint="default" w:ascii="Times New Roman" w:hAnsi="Times New Roman" w:eastAsia="仿宋_GB2312" w:cs="Times New Roman"/>
                <w:b/>
                <w:bCs/>
                <w:spacing w:val="2"/>
                <w:sz w:val="20"/>
                <w:szCs w:val="20"/>
              </w:rPr>
              <w:t>施</w:t>
            </w:r>
          </w:p>
        </w:tc>
        <w:tc>
          <w:tcPr>
            <w:tcW w:w="66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z w:val="20"/>
                <w:szCs w:val="20"/>
              </w:rPr>
            </w:pPr>
          </w:p>
        </w:tc>
        <w:tc>
          <w:tcPr>
            <w:tcW w:w="8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z w:val="20"/>
                <w:szCs w:val="20"/>
              </w:rPr>
            </w:pPr>
          </w:p>
        </w:tc>
        <w:tc>
          <w:tcPr>
            <w:tcW w:w="71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pacing w:val="3"/>
                <w:sz w:val="20"/>
                <w:szCs w:val="20"/>
                <w:lang w:val="en-US" w:eastAsia="zh-CN"/>
              </w:rPr>
            </w:pPr>
          </w:p>
        </w:tc>
        <w:tc>
          <w:tcPr>
            <w:tcW w:w="83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3"/>
                <w:sz w:val="20"/>
                <w:szCs w:val="20"/>
                <w:lang w:val="en-US" w:eastAsia="zh-CN"/>
              </w:rPr>
            </w:pPr>
            <w:r>
              <w:rPr>
                <w:rFonts w:hint="eastAsia" w:eastAsia="仿宋_GB2312" w:cs="Times New Roman"/>
                <w:b/>
                <w:bCs/>
                <w:spacing w:val="3"/>
                <w:sz w:val="20"/>
                <w:szCs w:val="20"/>
                <w:lang w:val="en-US" w:eastAsia="zh-CN"/>
              </w:rPr>
              <w:t>3.34</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69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一</w:t>
            </w:r>
          </w:p>
        </w:tc>
        <w:tc>
          <w:tcPr>
            <w:tcW w:w="12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工程建设区</w:t>
            </w:r>
          </w:p>
        </w:tc>
        <w:tc>
          <w:tcPr>
            <w:tcW w:w="66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8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p>
        </w:tc>
        <w:tc>
          <w:tcPr>
            <w:tcW w:w="71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3"/>
                <w:sz w:val="20"/>
                <w:szCs w:val="20"/>
                <w:lang w:val="en-US" w:eastAsia="zh-CN"/>
              </w:rPr>
            </w:pPr>
          </w:p>
        </w:tc>
        <w:tc>
          <w:tcPr>
            <w:tcW w:w="83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eastAsia="仿宋_GB2312" w:cs="Times New Roman"/>
                <w:spacing w:val="3"/>
                <w:sz w:val="20"/>
                <w:szCs w:val="20"/>
                <w:lang w:val="en-US" w:eastAsia="zh-CN"/>
              </w:rPr>
            </w:pPr>
            <w:r>
              <w:rPr>
                <w:rFonts w:hint="eastAsia" w:eastAsia="仿宋_GB2312" w:cs="Times New Roman"/>
                <w:spacing w:val="3"/>
                <w:sz w:val="20"/>
                <w:szCs w:val="20"/>
                <w:lang w:val="en-US" w:eastAsia="zh-CN"/>
              </w:rPr>
              <w:t>3.33</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69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eastAsia="仿宋_GB2312" w:cs="Times New Roman"/>
                <w:spacing w:val="1"/>
                <w:sz w:val="20"/>
                <w:szCs w:val="20"/>
                <w:lang w:val="en-US" w:eastAsia="zh-CN"/>
              </w:rPr>
            </w:pPr>
            <w:r>
              <w:rPr>
                <w:rFonts w:hint="eastAsia" w:eastAsia="仿宋_GB2312" w:cs="Times New Roman"/>
                <w:spacing w:val="1"/>
                <w:sz w:val="20"/>
                <w:szCs w:val="20"/>
                <w:lang w:val="en-US" w:eastAsia="zh-CN"/>
              </w:rPr>
              <w:t>1</w:t>
            </w:r>
          </w:p>
        </w:tc>
        <w:tc>
          <w:tcPr>
            <w:tcW w:w="12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6"/>
                <w:sz w:val="20"/>
                <w:szCs w:val="20"/>
                <w:lang w:val="en-US" w:eastAsia="zh-CN"/>
              </w:rPr>
            </w:pPr>
            <w:r>
              <w:rPr>
                <w:rFonts w:hint="default" w:ascii="Times New Roman" w:hAnsi="Times New Roman" w:eastAsia="仿宋" w:cs="Times New Roman"/>
                <w:spacing w:val="8"/>
                <w:sz w:val="20"/>
                <w:szCs w:val="20"/>
                <w:lang w:val="en-US" w:eastAsia="zh-CN"/>
              </w:rPr>
              <w:t>编织袋砌筑</w:t>
            </w:r>
          </w:p>
        </w:tc>
        <w:tc>
          <w:tcPr>
            <w:tcW w:w="66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 w:cs="Times New Roman"/>
                <w:sz w:val="20"/>
                <w:szCs w:val="20"/>
              </w:rPr>
              <w:t>m</w:t>
            </w:r>
            <w:r>
              <w:rPr>
                <w:rFonts w:hint="default" w:ascii="Times New Roman" w:hAnsi="Times New Roman" w:eastAsia="仿宋" w:cs="Times New Roman"/>
                <w:spacing w:val="8"/>
                <w:sz w:val="20"/>
                <w:szCs w:val="20"/>
              </w:rPr>
              <w:t>²</w:t>
            </w:r>
          </w:p>
        </w:tc>
        <w:tc>
          <w:tcPr>
            <w:tcW w:w="8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eastAsia="仿宋_GB2312" w:cs="Times New Roman"/>
                <w:sz w:val="20"/>
                <w:szCs w:val="20"/>
                <w:lang w:val="en-US" w:eastAsia="zh-CN"/>
              </w:rPr>
            </w:pPr>
            <w:r>
              <w:rPr>
                <w:rFonts w:hint="eastAsia" w:eastAsia="仿宋" w:cs="Times New Roman"/>
                <w:sz w:val="20"/>
                <w:szCs w:val="20"/>
                <w:lang w:val="en-US" w:eastAsia="zh-CN"/>
              </w:rPr>
              <w:t>31.5</w:t>
            </w:r>
          </w:p>
        </w:tc>
        <w:tc>
          <w:tcPr>
            <w:tcW w:w="71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eastAsia="仿宋_GB2312" w:cs="Times New Roman"/>
                <w:spacing w:val="3"/>
                <w:sz w:val="20"/>
                <w:szCs w:val="20"/>
                <w:lang w:val="en-US" w:eastAsia="zh-CN"/>
              </w:rPr>
            </w:pPr>
            <w:r>
              <w:rPr>
                <w:rFonts w:hint="eastAsia" w:eastAsia="仿宋_GB2312" w:cs="Times New Roman"/>
                <w:spacing w:val="3"/>
                <w:sz w:val="20"/>
                <w:szCs w:val="20"/>
                <w:lang w:val="en-US" w:eastAsia="zh-CN"/>
              </w:rPr>
              <w:t>534.79</w:t>
            </w:r>
          </w:p>
        </w:tc>
        <w:tc>
          <w:tcPr>
            <w:tcW w:w="83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eastAsia="仿宋_GB2312" w:cs="Times New Roman"/>
                <w:spacing w:val="3"/>
                <w:sz w:val="20"/>
                <w:szCs w:val="20"/>
                <w:lang w:val="en-US" w:eastAsia="zh-CN"/>
              </w:rPr>
            </w:pPr>
            <w:r>
              <w:rPr>
                <w:rFonts w:hint="eastAsia" w:eastAsia="仿宋_GB2312" w:cs="Times New Roman"/>
                <w:spacing w:val="3"/>
                <w:sz w:val="20"/>
                <w:szCs w:val="20"/>
                <w:lang w:val="en-US" w:eastAsia="zh-CN"/>
              </w:rPr>
              <w:t>1.68</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69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eastAsia="仿宋_GB2312" w:cs="Times New Roman"/>
                <w:spacing w:val="1"/>
                <w:sz w:val="20"/>
                <w:szCs w:val="20"/>
                <w:lang w:val="en-US" w:eastAsia="zh-CN"/>
              </w:rPr>
            </w:pPr>
            <w:r>
              <w:rPr>
                <w:rFonts w:hint="eastAsia" w:eastAsia="仿宋_GB2312" w:cs="Times New Roman"/>
                <w:spacing w:val="1"/>
                <w:sz w:val="20"/>
                <w:szCs w:val="20"/>
                <w:lang w:val="en-US" w:eastAsia="zh-CN"/>
              </w:rPr>
              <w:t>2</w:t>
            </w:r>
          </w:p>
        </w:tc>
        <w:tc>
          <w:tcPr>
            <w:tcW w:w="12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6"/>
                <w:sz w:val="20"/>
                <w:szCs w:val="20"/>
                <w:lang w:val="en-US" w:eastAsia="zh-CN"/>
              </w:rPr>
            </w:pPr>
            <w:r>
              <w:rPr>
                <w:rFonts w:hint="default" w:ascii="Times New Roman" w:hAnsi="Times New Roman" w:eastAsia="仿宋" w:cs="Times New Roman"/>
                <w:spacing w:val="8"/>
                <w:sz w:val="20"/>
                <w:szCs w:val="20"/>
                <w:lang w:val="en-US" w:eastAsia="zh-CN"/>
              </w:rPr>
              <w:t>编织袋拆除</w:t>
            </w:r>
          </w:p>
        </w:tc>
        <w:tc>
          <w:tcPr>
            <w:tcW w:w="66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 w:cs="Times New Roman"/>
                <w:sz w:val="20"/>
                <w:szCs w:val="20"/>
              </w:rPr>
              <w:t>m</w:t>
            </w:r>
            <w:r>
              <w:rPr>
                <w:rFonts w:hint="default" w:ascii="Times New Roman" w:hAnsi="Times New Roman" w:eastAsia="仿宋" w:cs="Times New Roman"/>
                <w:spacing w:val="8"/>
                <w:sz w:val="20"/>
                <w:szCs w:val="20"/>
              </w:rPr>
              <w:t>²</w:t>
            </w:r>
          </w:p>
        </w:tc>
        <w:tc>
          <w:tcPr>
            <w:tcW w:w="8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eastAsia="仿宋_GB2312" w:cs="Times New Roman"/>
                <w:sz w:val="20"/>
                <w:szCs w:val="20"/>
                <w:lang w:val="en-US" w:eastAsia="zh-CN"/>
              </w:rPr>
            </w:pPr>
            <w:r>
              <w:rPr>
                <w:rFonts w:hint="eastAsia" w:eastAsia="仿宋" w:cs="Times New Roman"/>
                <w:sz w:val="20"/>
                <w:szCs w:val="20"/>
                <w:lang w:val="en-US" w:eastAsia="zh-CN"/>
              </w:rPr>
              <w:t>31.5</w:t>
            </w:r>
          </w:p>
        </w:tc>
        <w:tc>
          <w:tcPr>
            <w:tcW w:w="71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eastAsia="仿宋_GB2312" w:cs="Times New Roman"/>
                <w:spacing w:val="3"/>
                <w:sz w:val="20"/>
                <w:szCs w:val="20"/>
                <w:lang w:val="en-US" w:eastAsia="zh-CN"/>
              </w:rPr>
            </w:pPr>
            <w:r>
              <w:rPr>
                <w:rFonts w:hint="eastAsia" w:eastAsia="仿宋_GB2312" w:cs="Times New Roman"/>
                <w:spacing w:val="3"/>
                <w:sz w:val="20"/>
                <w:szCs w:val="20"/>
                <w:lang w:val="en-US" w:eastAsia="zh-CN"/>
              </w:rPr>
              <w:t>50.53</w:t>
            </w:r>
          </w:p>
        </w:tc>
        <w:tc>
          <w:tcPr>
            <w:tcW w:w="83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eastAsia="仿宋_GB2312" w:cs="Times New Roman"/>
                <w:spacing w:val="3"/>
                <w:sz w:val="20"/>
                <w:szCs w:val="20"/>
                <w:lang w:val="en-US" w:eastAsia="zh-CN"/>
              </w:rPr>
            </w:pPr>
            <w:r>
              <w:rPr>
                <w:rFonts w:hint="eastAsia" w:eastAsia="仿宋_GB2312" w:cs="Times New Roman"/>
                <w:spacing w:val="3"/>
                <w:sz w:val="20"/>
                <w:szCs w:val="20"/>
                <w:lang w:val="en-US" w:eastAsia="zh-CN"/>
              </w:rPr>
              <w:t>0.16</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69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1"/>
                <w:sz w:val="20"/>
                <w:szCs w:val="20"/>
                <w:lang w:val="en-US" w:eastAsia="zh-CN"/>
              </w:rPr>
            </w:pPr>
            <w:r>
              <w:rPr>
                <w:rFonts w:hint="eastAsia" w:eastAsia="仿宋_GB2312" w:cs="Times New Roman"/>
                <w:spacing w:val="1"/>
                <w:sz w:val="20"/>
                <w:szCs w:val="20"/>
                <w:lang w:val="en-US" w:eastAsia="zh-CN"/>
              </w:rPr>
              <w:t>3</w:t>
            </w:r>
          </w:p>
        </w:tc>
        <w:tc>
          <w:tcPr>
            <w:tcW w:w="12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6"/>
                <w:sz w:val="20"/>
                <w:szCs w:val="20"/>
                <w:lang w:val="en-US" w:eastAsia="zh-CN"/>
              </w:rPr>
            </w:pPr>
            <w:r>
              <w:rPr>
                <w:rFonts w:hint="default" w:ascii="Times New Roman" w:hAnsi="Times New Roman" w:eastAsia="仿宋_GB2312" w:cs="Times New Roman"/>
                <w:spacing w:val="6"/>
                <w:sz w:val="20"/>
                <w:szCs w:val="20"/>
                <w:lang w:val="en-US" w:eastAsia="zh-CN"/>
              </w:rPr>
              <w:t>密目网苫盖</w:t>
            </w:r>
          </w:p>
        </w:tc>
        <w:tc>
          <w:tcPr>
            <w:tcW w:w="66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highlight w:val="none"/>
              </w:rPr>
              <w:t>m²</w:t>
            </w:r>
          </w:p>
        </w:tc>
        <w:tc>
          <w:tcPr>
            <w:tcW w:w="8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val="en-US" w:eastAsia="zh-CN"/>
              </w:rPr>
            </w:pPr>
            <w:r>
              <w:rPr>
                <w:rFonts w:hint="eastAsia" w:eastAsia="仿宋_GB2312" w:cs="Times New Roman"/>
                <w:sz w:val="20"/>
                <w:szCs w:val="20"/>
                <w:lang w:val="en-US" w:eastAsia="zh-CN"/>
              </w:rPr>
              <w:t>2965</w:t>
            </w:r>
          </w:p>
        </w:tc>
        <w:tc>
          <w:tcPr>
            <w:tcW w:w="71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3"/>
                <w:sz w:val="20"/>
                <w:szCs w:val="20"/>
                <w:lang w:val="en-US" w:eastAsia="zh-CN"/>
              </w:rPr>
            </w:pPr>
            <w:r>
              <w:rPr>
                <w:rFonts w:hint="eastAsia" w:eastAsia="仿宋_GB2312" w:cs="Times New Roman"/>
                <w:spacing w:val="3"/>
                <w:sz w:val="20"/>
                <w:szCs w:val="20"/>
                <w:lang w:val="en-US" w:eastAsia="zh-CN"/>
              </w:rPr>
              <w:t>5</w:t>
            </w:r>
          </w:p>
        </w:tc>
        <w:tc>
          <w:tcPr>
            <w:tcW w:w="83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eastAsia="仿宋_GB2312" w:cs="Times New Roman"/>
                <w:spacing w:val="3"/>
                <w:sz w:val="20"/>
                <w:szCs w:val="20"/>
                <w:lang w:val="en-US" w:eastAsia="zh-CN"/>
              </w:rPr>
            </w:pPr>
            <w:r>
              <w:rPr>
                <w:rFonts w:hint="eastAsia" w:eastAsia="仿宋_GB2312" w:cs="Times New Roman"/>
                <w:spacing w:val="3"/>
                <w:sz w:val="20"/>
                <w:szCs w:val="20"/>
                <w:lang w:val="en-US" w:eastAsia="zh-CN"/>
              </w:rPr>
              <w:t>1.48</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69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eastAsia="zh-CN"/>
              </w:rPr>
            </w:pPr>
            <w:r>
              <w:rPr>
                <w:rFonts w:hint="default" w:ascii="Times New Roman" w:hAnsi="Times New Roman" w:eastAsia="仿宋_GB2312" w:cs="Times New Roman"/>
                <w:sz w:val="20"/>
                <w:szCs w:val="20"/>
                <w:lang w:val="en-US" w:eastAsia="zh-CN"/>
              </w:rPr>
              <w:t>二</w:t>
            </w:r>
          </w:p>
        </w:tc>
        <w:tc>
          <w:tcPr>
            <w:tcW w:w="12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其它临时工程</w:t>
            </w:r>
          </w:p>
        </w:tc>
        <w:tc>
          <w:tcPr>
            <w:tcW w:w="2235"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pacing w:val="12"/>
                <w:position w:val="1"/>
                <w:sz w:val="20"/>
                <w:szCs w:val="20"/>
              </w:rPr>
              <w:t>新增</w:t>
            </w:r>
            <w:r>
              <w:rPr>
                <w:rFonts w:hint="default" w:ascii="Times New Roman" w:hAnsi="Times New Roman" w:eastAsia="仿宋_GB2312" w:cs="Times New Roman"/>
                <w:spacing w:val="6"/>
                <w:position w:val="1"/>
                <w:sz w:val="20"/>
                <w:szCs w:val="20"/>
              </w:rPr>
              <w:t>(工程措施+植物措施)*</w:t>
            </w:r>
            <w:r>
              <w:rPr>
                <w:rFonts w:hint="default" w:ascii="Times New Roman" w:hAnsi="Times New Roman" w:eastAsia="仿宋_GB2312" w:cs="Times New Roman"/>
                <w:spacing w:val="6"/>
                <w:position w:val="1"/>
                <w:sz w:val="20"/>
                <w:szCs w:val="20"/>
                <w:lang w:val="en-US" w:eastAsia="zh-CN"/>
              </w:rPr>
              <w:t>2%</w:t>
            </w:r>
          </w:p>
        </w:tc>
        <w:tc>
          <w:tcPr>
            <w:tcW w:w="83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eastAsia="仿宋_GB2312" w:cs="Times New Roman"/>
                <w:spacing w:val="3"/>
                <w:sz w:val="20"/>
                <w:szCs w:val="20"/>
                <w:lang w:val="en-US" w:eastAsia="zh-CN"/>
              </w:rPr>
            </w:pPr>
            <w:r>
              <w:rPr>
                <w:rFonts w:hint="eastAsia" w:eastAsia="仿宋_GB2312" w:cs="Times New Roman"/>
                <w:spacing w:val="3"/>
                <w:sz w:val="20"/>
                <w:szCs w:val="20"/>
                <w:lang w:val="en-US" w:eastAsia="zh-CN"/>
              </w:rPr>
              <w:t>0.01</w:t>
            </w:r>
          </w:p>
        </w:tc>
      </w:tr>
    </w:tbl>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rPr>
      </w:pPr>
      <w:r>
        <w:rPr>
          <w:rFonts w:hint="default" w:ascii="Times New Roman" w:hAnsi="Times New Roman" w:eastAsia="微软雅黑" w:cs="Times New Roman"/>
          <w:b w:val="0"/>
          <w:bCs w:val="0"/>
          <w:sz w:val="21"/>
          <w:szCs w:val="21"/>
          <w:highlight w:val="none"/>
        </w:rPr>
        <w:t>表7-6</w:t>
      </w:r>
      <w:r>
        <w:rPr>
          <w:rFonts w:hint="default" w:ascii="Times New Roman" w:hAnsi="Times New Roman" w:eastAsia="微软雅黑" w:cs="Times New Roman"/>
          <w:b w:val="0"/>
          <w:bCs w:val="0"/>
          <w:sz w:val="21"/>
          <w:szCs w:val="21"/>
          <w:highlight w:val="none"/>
          <w:lang w:val="en-US" w:eastAsia="zh-CN"/>
        </w:rPr>
        <w:t xml:space="preserve">  </w:t>
      </w:r>
      <w:r>
        <w:rPr>
          <w:rFonts w:hint="default" w:ascii="Times New Roman" w:hAnsi="Times New Roman" w:eastAsia="微软雅黑" w:cs="Times New Roman"/>
          <w:b w:val="0"/>
          <w:bCs w:val="0"/>
          <w:sz w:val="21"/>
          <w:szCs w:val="21"/>
          <w:highlight w:val="none"/>
        </w:rPr>
        <w:t>独立费用计算表</w:t>
      </w:r>
    </w:p>
    <w:tbl>
      <w:tblPr>
        <w:tblStyle w:val="88"/>
        <w:tblW w:w="5000" w:type="pct"/>
        <w:jc w:val="center"/>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092"/>
        <w:gridCol w:w="1742"/>
        <w:gridCol w:w="4141"/>
        <w:gridCol w:w="1554"/>
      </w:tblGrid>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val="0"/>
                <w:bCs w:val="0"/>
                <w:kern w:val="0"/>
                <w:sz w:val="20"/>
                <w:szCs w:val="20"/>
                <w:highlight w:val="none"/>
              </w:rPr>
            </w:pPr>
            <w:r>
              <w:rPr>
                <w:rFonts w:hint="default" w:ascii="Times New Roman" w:hAnsi="Times New Roman" w:eastAsia="仿宋_GB2312" w:cs="Times New Roman"/>
                <w:b w:val="0"/>
                <w:bCs w:val="0"/>
                <w:kern w:val="0"/>
                <w:sz w:val="20"/>
                <w:szCs w:val="20"/>
                <w:highlight w:val="none"/>
              </w:rPr>
              <w:t>序号</w:t>
            </w:r>
          </w:p>
        </w:tc>
        <w:tc>
          <w:tcPr>
            <w:tcW w:w="10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val="0"/>
                <w:bCs w:val="0"/>
                <w:kern w:val="0"/>
                <w:sz w:val="20"/>
                <w:szCs w:val="20"/>
                <w:highlight w:val="none"/>
              </w:rPr>
            </w:pPr>
            <w:r>
              <w:rPr>
                <w:rFonts w:hint="default" w:ascii="Times New Roman" w:hAnsi="Times New Roman" w:eastAsia="仿宋_GB2312" w:cs="Times New Roman"/>
                <w:b w:val="0"/>
                <w:bCs w:val="0"/>
                <w:kern w:val="0"/>
                <w:sz w:val="20"/>
                <w:szCs w:val="20"/>
                <w:highlight w:val="none"/>
              </w:rPr>
              <w:t>工程或费用名称</w:t>
            </w:r>
          </w:p>
        </w:tc>
        <w:tc>
          <w:tcPr>
            <w:tcW w:w="242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val="0"/>
                <w:bCs w:val="0"/>
                <w:kern w:val="0"/>
                <w:sz w:val="20"/>
                <w:szCs w:val="20"/>
                <w:highlight w:val="none"/>
              </w:rPr>
            </w:pPr>
            <w:r>
              <w:rPr>
                <w:rFonts w:hint="default" w:ascii="Times New Roman" w:hAnsi="Times New Roman" w:eastAsia="仿宋_GB2312" w:cs="Times New Roman"/>
                <w:b w:val="0"/>
                <w:bCs w:val="0"/>
                <w:kern w:val="0"/>
                <w:sz w:val="20"/>
                <w:szCs w:val="20"/>
                <w:highlight w:val="none"/>
              </w:rPr>
              <w:t>说明及计算式</w:t>
            </w:r>
          </w:p>
        </w:tc>
        <w:tc>
          <w:tcPr>
            <w:tcW w:w="91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val="0"/>
                <w:bCs w:val="0"/>
                <w:kern w:val="0"/>
                <w:sz w:val="20"/>
                <w:szCs w:val="20"/>
                <w:highlight w:val="none"/>
              </w:rPr>
            </w:pPr>
            <w:r>
              <w:rPr>
                <w:rFonts w:hint="default" w:ascii="Times New Roman" w:hAnsi="Times New Roman" w:eastAsia="仿宋_GB2312" w:cs="Times New Roman"/>
                <w:b w:val="0"/>
                <w:bCs w:val="0"/>
                <w:kern w:val="0"/>
                <w:sz w:val="20"/>
                <w:szCs w:val="20"/>
                <w:highlight w:val="none"/>
              </w:rPr>
              <w:t>总投资（万元）</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第四部分</w:t>
            </w:r>
          </w:p>
        </w:tc>
        <w:tc>
          <w:tcPr>
            <w:tcW w:w="102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r>
              <w:rPr>
                <w:rFonts w:hint="default" w:ascii="Times New Roman" w:hAnsi="Times New Roman" w:eastAsia="仿宋_GB2312" w:cs="Times New Roman"/>
                <w:b/>
                <w:bCs/>
                <w:kern w:val="0"/>
                <w:sz w:val="20"/>
                <w:szCs w:val="20"/>
                <w:highlight w:val="none"/>
              </w:rPr>
              <w:t>独立费用</w:t>
            </w:r>
          </w:p>
        </w:tc>
        <w:tc>
          <w:tcPr>
            <w:tcW w:w="242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0"/>
                <w:szCs w:val="20"/>
                <w:highlight w:val="none"/>
              </w:rPr>
            </w:pPr>
          </w:p>
        </w:tc>
        <w:tc>
          <w:tcPr>
            <w:tcW w:w="91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sz w:val="20"/>
                <w:szCs w:val="20"/>
                <w:highlight w:val="none"/>
                <w:lang w:val="en-US" w:eastAsia="zh-CN"/>
              </w:rPr>
            </w:pPr>
            <w:r>
              <w:rPr>
                <w:rFonts w:hint="eastAsia" w:eastAsia="仿宋_GB2312" w:cs="Times New Roman"/>
                <w:b/>
                <w:bCs/>
                <w:sz w:val="20"/>
                <w:szCs w:val="20"/>
                <w:highlight w:val="none"/>
                <w:lang w:val="en-US" w:eastAsia="zh-CN"/>
              </w:rPr>
              <w:t>69.67</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1</w:t>
            </w:r>
          </w:p>
        </w:tc>
        <w:tc>
          <w:tcPr>
            <w:tcW w:w="10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建设管理费</w:t>
            </w:r>
          </w:p>
        </w:tc>
        <w:tc>
          <w:tcPr>
            <w:tcW w:w="242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按一、二、三部分新增投资和的2.00%计取</w:t>
            </w:r>
          </w:p>
        </w:tc>
        <w:tc>
          <w:tcPr>
            <w:tcW w:w="91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eastAsia" w:eastAsia="仿宋_GB2312" w:cs="Times New Roman"/>
                <w:sz w:val="20"/>
                <w:szCs w:val="20"/>
                <w:highlight w:val="none"/>
                <w:lang w:val="en-US" w:eastAsia="zh-CN"/>
              </w:rPr>
              <w:t>0.05</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2</w:t>
            </w:r>
          </w:p>
        </w:tc>
        <w:tc>
          <w:tcPr>
            <w:tcW w:w="10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水土保持监理费</w:t>
            </w:r>
          </w:p>
        </w:tc>
        <w:tc>
          <w:tcPr>
            <w:tcW w:w="242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按《关于进一步放开建设项目专业服务价格的通知》（发改价格〔2015〕299号），参考市场价格计列。</w:t>
            </w:r>
          </w:p>
        </w:tc>
        <w:tc>
          <w:tcPr>
            <w:tcW w:w="91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eastAsia" w:eastAsia="仿宋_GB2312" w:cs="Times New Roman"/>
                <w:color w:val="000000"/>
                <w:kern w:val="0"/>
                <w:sz w:val="20"/>
                <w:szCs w:val="20"/>
                <w:highlight w:val="none"/>
                <w:lang w:val="en-US" w:eastAsia="zh-CN" w:bidi="ar"/>
              </w:rPr>
              <w:t>16</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3</w:t>
            </w:r>
          </w:p>
        </w:tc>
        <w:tc>
          <w:tcPr>
            <w:tcW w:w="10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水土保持监测费</w:t>
            </w:r>
          </w:p>
        </w:tc>
        <w:tc>
          <w:tcPr>
            <w:tcW w:w="242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根据监测人工费、土建设施费、监测设备使用费及消耗性材料费，费参考相关资料，考相关资料，结合实际工作量结果监测费用计算表计列。</w:t>
            </w:r>
          </w:p>
        </w:tc>
        <w:tc>
          <w:tcPr>
            <w:tcW w:w="91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eastAsia" w:eastAsia="仿宋_GB2312" w:cs="Times New Roman"/>
                <w:color w:val="000000"/>
                <w:kern w:val="0"/>
                <w:sz w:val="20"/>
                <w:szCs w:val="20"/>
                <w:highlight w:val="none"/>
                <w:lang w:val="en-US" w:eastAsia="zh-CN" w:bidi="ar"/>
              </w:rPr>
              <w:t>15.62</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4</w:t>
            </w:r>
          </w:p>
        </w:tc>
        <w:tc>
          <w:tcPr>
            <w:tcW w:w="10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科研勘测设计费</w:t>
            </w:r>
          </w:p>
        </w:tc>
        <w:tc>
          <w:tcPr>
            <w:tcW w:w="242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方案编制费按签订的技术咨询合同计列，后续设计费按《关于进一步放开建设项目专业服务价格的通知》（发改价格〔2015〕299号），参考市场价格计列。</w:t>
            </w:r>
          </w:p>
        </w:tc>
        <w:tc>
          <w:tcPr>
            <w:tcW w:w="91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eastAsia" w:eastAsia="仿宋_GB2312" w:cs="Times New Roman"/>
                <w:color w:val="000000"/>
                <w:kern w:val="0"/>
                <w:sz w:val="20"/>
                <w:szCs w:val="20"/>
                <w:highlight w:val="none"/>
                <w:lang w:val="en-US" w:eastAsia="zh-CN" w:bidi="ar"/>
              </w:rPr>
              <w:t>20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5</w:t>
            </w:r>
          </w:p>
        </w:tc>
        <w:tc>
          <w:tcPr>
            <w:tcW w:w="10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水土保持设施验收费</w:t>
            </w:r>
          </w:p>
        </w:tc>
        <w:tc>
          <w:tcPr>
            <w:tcW w:w="242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按《关于进一步放开建设项目专业服务价格的通知》（国家发展改革委发改价格〔2015〕299号），参考市场价格计列。</w:t>
            </w:r>
          </w:p>
        </w:tc>
        <w:tc>
          <w:tcPr>
            <w:tcW w:w="91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0"/>
                <w:szCs w:val="20"/>
                <w:highlight w:val="none"/>
                <w:lang w:val="en-US" w:eastAsia="zh-CN"/>
              </w:rPr>
            </w:pPr>
            <w:r>
              <w:rPr>
                <w:rFonts w:hint="eastAsia" w:eastAsia="仿宋_GB2312" w:cs="Times New Roman"/>
                <w:color w:val="000000"/>
                <w:kern w:val="0"/>
                <w:sz w:val="20"/>
                <w:szCs w:val="20"/>
                <w:highlight w:val="none"/>
                <w:lang w:val="en-US" w:eastAsia="zh-CN" w:bidi="ar"/>
              </w:rPr>
              <w:t>18</w:t>
            </w:r>
          </w:p>
        </w:tc>
      </w:tr>
    </w:tbl>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rPr>
      </w:pPr>
      <w:r>
        <w:rPr>
          <w:rFonts w:hint="default" w:ascii="Times New Roman" w:hAnsi="Times New Roman" w:eastAsia="微软雅黑" w:cs="Times New Roman"/>
          <w:b w:val="0"/>
          <w:bCs w:val="0"/>
          <w:sz w:val="21"/>
          <w:szCs w:val="21"/>
          <w:highlight w:val="none"/>
        </w:rPr>
        <w:t>表7-7</w:t>
      </w:r>
      <w:r>
        <w:rPr>
          <w:rFonts w:hint="default" w:ascii="Times New Roman" w:hAnsi="Times New Roman" w:eastAsia="微软雅黑" w:cs="Times New Roman"/>
          <w:b w:val="0"/>
          <w:bCs w:val="0"/>
          <w:sz w:val="21"/>
          <w:szCs w:val="21"/>
          <w:highlight w:val="none"/>
          <w:lang w:val="en-US" w:eastAsia="zh-CN"/>
        </w:rPr>
        <w:t xml:space="preserve">  </w:t>
      </w:r>
      <w:r>
        <w:rPr>
          <w:rFonts w:hint="default" w:ascii="Times New Roman" w:hAnsi="Times New Roman" w:eastAsia="微软雅黑" w:cs="Times New Roman"/>
          <w:b w:val="0"/>
          <w:bCs w:val="0"/>
          <w:sz w:val="21"/>
          <w:szCs w:val="21"/>
          <w:highlight w:val="none"/>
        </w:rPr>
        <w:t>水土保持监测费</w:t>
      </w:r>
    </w:p>
    <w:tbl>
      <w:tblPr>
        <w:tblStyle w:val="88"/>
        <w:tblW w:w="4998" w:type="pct"/>
        <w:jc w:val="center"/>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947"/>
        <w:gridCol w:w="2769"/>
        <w:gridCol w:w="1097"/>
        <w:gridCol w:w="1254"/>
        <w:gridCol w:w="1046"/>
        <w:gridCol w:w="1413"/>
      </w:tblGrid>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序号</w:t>
            </w:r>
          </w:p>
        </w:tc>
        <w:tc>
          <w:tcPr>
            <w:tcW w:w="162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监测设施与设备</w:t>
            </w:r>
          </w:p>
        </w:tc>
        <w:tc>
          <w:tcPr>
            <w:tcW w:w="64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单位</w:t>
            </w:r>
          </w:p>
        </w:tc>
        <w:tc>
          <w:tcPr>
            <w:tcW w:w="73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数量</w:t>
            </w:r>
          </w:p>
        </w:tc>
        <w:tc>
          <w:tcPr>
            <w:tcW w:w="61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单价(元)</w:t>
            </w: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投资(元)</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b/>
                <w:bCs/>
                <w:kern w:val="0"/>
                <w:sz w:val="21"/>
                <w:szCs w:val="21"/>
                <w:highlight w:val="none"/>
              </w:rPr>
            </w:pPr>
          </w:p>
        </w:tc>
        <w:tc>
          <w:tcPr>
            <w:tcW w:w="162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合计</w:t>
            </w:r>
          </w:p>
        </w:tc>
        <w:tc>
          <w:tcPr>
            <w:tcW w:w="64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b/>
                <w:bCs/>
                <w:kern w:val="0"/>
                <w:sz w:val="21"/>
                <w:szCs w:val="21"/>
                <w:highlight w:val="none"/>
              </w:rPr>
            </w:pPr>
          </w:p>
        </w:tc>
        <w:tc>
          <w:tcPr>
            <w:tcW w:w="73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b/>
                <w:bCs/>
                <w:sz w:val="21"/>
                <w:szCs w:val="21"/>
                <w:highlight w:val="none"/>
              </w:rPr>
            </w:pPr>
          </w:p>
        </w:tc>
        <w:tc>
          <w:tcPr>
            <w:tcW w:w="613"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b/>
                <w:bCs/>
                <w:sz w:val="21"/>
                <w:szCs w:val="21"/>
                <w:highlight w:val="none"/>
              </w:rPr>
            </w:pP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eastAsia" w:eastAsia="仿宋_GB2312" w:cs="Times New Roman"/>
                <w:b/>
                <w:bCs/>
                <w:kern w:val="0"/>
                <w:sz w:val="21"/>
                <w:szCs w:val="21"/>
                <w:highlight w:val="none"/>
                <w:lang w:val="en-US" w:eastAsia="zh-CN" w:bidi="ar"/>
              </w:rPr>
              <w:t>156157</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一</w:t>
            </w:r>
          </w:p>
        </w:tc>
        <w:tc>
          <w:tcPr>
            <w:tcW w:w="162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人工费</w:t>
            </w:r>
          </w:p>
        </w:tc>
        <w:tc>
          <w:tcPr>
            <w:tcW w:w="64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b/>
                <w:bCs/>
                <w:kern w:val="0"/>
                <w:sz w:val="21"/>
                <w:szCs w:val="21"/>
                <w:highlight w:val="none"/>
              </w:rPr>
            </w:pPr>
          </w:p>
        </w:tc>
        <w:tc>
          <w:tcPr>
            <w:tcW w:w="73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bidi="ar"/>
              </w:rPr>
            </w:pPr>
          </w:p>
        </w:tc>
        <w:tc>
          <w:tcPr>
            <w:tcW w:w="61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bidi="ar"/>
              </w:rPr>
            </w:pP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eastAsia" w:ascii="Times New Roman" w:hAnsi="Times New Roman" w:eastAsia="仿宋_GB2312" w:cs="Times New Roman"/>
                <w:kern w:val="0"/>
                <w:sz w:val="21"/>
                <w:szCs w:val="21"/>
                <w:highlight w:val="none"/>
                <w:lang w:val="en-US" w:eastAsia="zh-CN" w:bidi="ar"/>
              </w:rPr>
              <w:t>143200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kern w:val="0"/>
                <w:sz w:val="21"/>
                <w:szCs w:val="21"/>
                <w:highlight w:val="none"/>
              </w:rPr>
            </w:pPr>
          </w:p>
        </w:tc>
        <w:tc>
          <w:tcPr>
            <w:tcW w:w="162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监测人工费</w:t>
            </w:r>
          </w:p>
        </w:tc>
        <w:tc>
          <w:tcPr>
            <w:tcW w:w="64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工日</w:t>
            </w:r>
          </w:p>
        </w:tc>
        <w:tc>
          <w:tcPr>
            <w:tcW w:w="73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eastAsia" w:eastAsia="仿宋_GB2312" w:cs="Times New Roman"/>
                <w:kern w:val="0"/>
                <w:sz w:val="21"/>
                <w:szCs w:val="21"/>
                <w:highlight w:val="none"/>
                <w:lang w:val="en-US" w:eastAsia="zh-CN" w:bidi="ar"/>
              </w:rPr>
              <w:t>265</w:t>
            </w:r>
          </w:p>
        </w:tc>
        <w:tc>
          <w:tcPr>
            <w:tcW w:w="61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bidi="ar"/>
              </w:rPr>
            </w:pPr>
          </w:p>
        </w:tc>
        <w:tc>
          <w:tcPr>
            <w:tcW w:w="141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eastAsia" w:ascii="Times New Roman" w:hAnsi="Times New Roman" w:eastAsia="仿宋_GB2312" w:cs="Times New Roman"/>
                <w:kern w:val="0"/>
                <w:sz w:val="21"/>
                <w:szCs w:val="21"/>
                <w:highlight w:val="none"/>
                <w:lang w:val="en-US" w:eastAsia="zh-CN" w:bidi="ar"/>
              </w:rPr>
              <w:t>143200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kern w:val="0"/>
                <w:sz w:val="21"/>
                <w:szCs w:val="21"/>
                <w:highlight w:val="none"/>
              </w:rPr>
            </w:pPr>
          </w:p>
        </w:tc>
        <w:tc>
          <w:tcPr>
            <w:tcW w:w="162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内业</w:t>
            </w:r>
          </w:p>
        </w:tc>
        <w:tc>
          <w:tcPr>
            <w:tcW w:w="64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工日</w:t>
            </w:r>
          </w:p>
        </w:tc>
        <w:tc>
          <w:tcPr>
            <w:tcW w:w="73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79</w:t>
            </w:r>
          </w:p>
        </w:tc>
        <w:tc>
          <w:tcPr>
            <w:tcW w:w="61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bidi="ar"/>
              </w:rPr>
            </w:pPr>
            <w:r>
              <w:rPr>
                <w:rFonts w:hint="default" w:ascii="Times New Roman" w:hAnsi="Times New Roman" w:eastAsia="仿宋_GB2312" w:cs="Times New Roman"/>
                <w:kern w:val="0"/>
                <w:sz w:val="21"/>
                <w:szCs w:val="21"/>
                <w:highlight w:val="none"/>
                <w:lang w:bidi="ar"/>
              </w:rPr>
              <w:t>400</w:t>
            </w:r>
          </w:p>
        </w:tc>
        <w:tc>
          <w:tcPr>
            <w:tcW w:w="141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eastAsia" w:ascii="Times New Roman" w:hAnsi="Times New Roman" w:eastAsia="仿宋_GB2312" w:cs="Times New Roman"/>
                <w:kern w:val="0"/>
                <w:sz w:val="21"/>
                <w:szCs w:val="21"/>
                <w:highlight w:val="none"/>
                <w:lang w:val="en-US" w:eastAsia="zh-CN" w:bidi="ar"/>
              </w:rPr>
              <w:t>31600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kern w:val="0"/>
                <w:sz w:val="21"/>
                <w:szCs w:val="21"/>
                <w:highlight w:val="none"/>
              </w:rPr>
            </w:pPr>
          </w:p>
        </w:tc>
        <w:tc>
          <w:tcPr>
            <w:tcW w:w="162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外业</w:t>
            </w:r>
          </w:p>
        </w:tc>
        <w:tc>
          <w:tcPr>
            <w:tcW w:w="64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工日</w:t>
            </w:r>
          </w:p>
        </w:tc>
        <w:tc>
          <w:tcPr>
            <w:tcW w:w="73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eastAsia" w:eastAsia="仿宋_GB2312" w:cs="Times New Roman"/>
                <w:kern w:val="0"/>
                <w:sz w:val="21"/>
                <w:szCs w:val="21"/>
                <w:highlight w:val="none"/>
                <w:lang w:val="en-US" w:eastAsia="zh-CN" w:bidi="ar"/>
              </w:rPr>
              <w:t>186</w:t>
            </w:r>
          </w:p>
        </w:tc>
        <w:tc>
          <w:tcPr>
            <w:tcW w:w="61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bidi="ar"/>
              </w:rPr>
            </w:pPr>
            <w:r>
              <w:rPr>
                <w:rFonts w:hint="default" w:ascii="Times New Roman" w:hAnsi="Times New Roman" w:eastAsia="仿宋_GB2312" w:cs="Times New Roman"/>
                <w:kern w:val="0"/>
                <w:sz w:val="21"/>
                <w:szCs w:val="21"/>
                <w:highlight w:val="none"/>
                <w:lang w:bidi="ar"/>
              </w:rPr>
              <w:t>600</w:t>
            </w:r>
          </w:p>
        </w:tc>
        <w:tc>
          <w:tcPr>
            <w:tcW w:w="141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eastAsia" w:ascii="Times New Roman" w:hAnsi="Times New Roman" w:eastAsia="仿宋_GB2312" w:cs="Times New Roman"/>
                <w:kern w:val="0"/>
                <w:sz w:val="21"/>
                <w:szCs w:val="21"/>
                <w:highlight w:val="none"/>
                <w:lang w:val="en-US" w:eastAsia="zh-CN" w:bidi="ar"/>
              </w:rPr>
              <w:t>111600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b/>
                <w:bCs/>
                <w:sz w:val="21"/>
                <w:szCs w:val="21"/>
                <w:lang w:val="en-US" w:eastAsia="zh-CN"/>
              </w:rPr>
            </w:pPr>
            <w:r>
              <w:rPr>
                <w:rFonts w:hint="default" w:ascii="Times New Roman" w:hAnsi="Times New Roman" w:eastAsia="仿宋_GB2312" w:cs="Times New Roman"/>
                <w:b/>
                <w:bCs/>
                <w:spacing w:val="101"/>
                <w:position w:val="1"/>
                <w:sz w:val="21"/>
                <w:szCs w:val="21"/>
              </w:rPr>
              <w:t>一</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b/>
                <w:bCs/>
                <w:sz w:val="21"/>
                <w:szCs w:val="21"/>
                <w:lang w:val="en-US" w:eastAsia="zh-CN"/>
              </w:rPr>
            </w:pPr>
            <w:r>
              <w:rPr>
                <w:rFonts w:hint="default" w:ascii="Times New Roman" w:hAnsi="Times New Roman" w:eastAsia="仿宋_GB2312" w:cs="Times New Roman"/>
                <w:b/>
                <w:bCs/>
                <w:spacing w:val="6"/>
                <w:sz w:val="21"/>
                <w:szCs w:val="21"/>
              </w:rPr>
              <w:t>消耗性材料</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b/>
                <w:bCs/>
                <w:kern w:val="0"/>
                <w:sz w:val="21"/>
                <w:szCs w:val="21"/>
                <w:highlight w:val="none"/>
              </w:rPr>
            </w:pP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b/>
                <w:bCs/>
                <w:sz w:val="21"/>
                <w:szCs w:val="21"/>
                <w:highlight w:val="none"/>
              </w:rPr>
            </w:pP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b/>
                <w:bCs/>
                <w:sz w:val="21"/>
                <w:szCs w:val="21"/>
                <w:highlight w:val="none"/>
              </w:rPr>
            </w:pP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eastAsia" w:eastAsia="仿宋_GB2312" w:cs="Times New Roman"/>
                <w:kern w:val="0"/>
                <w:sz w:val="21"/>
                <w:szCs w:val="21"/>
                <w:highlight w:val="none"/>
                <w:lang w:val="en-US" w:eastAsia="zh-CN" w:bidi="ar"/>
              </w:rPr>
              <w:t>3685</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1</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pacing w:val="8"/>
                <w:sz w:val="21"/>
                <w:szCs w:val="21"/>
              </w:rPr>
              <w:t>取</w:t>
            </w:r>
            <w:r>
              <w:rPr>
                <w:rFonts w:hint="default" w:ascii="Times New Roman" w:hAnsi="Times New Roman" w:eastAsia="仿宋_GB2312" w:cs="Times New Roman"/>
                <w:spacing w:val="7"/>
                <w:sz w:val="21"/>
                <w:szCs w:val="21"/>
              </w:rPr>
              <w:t>样玻璃仪器</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lang w:eastAsia="zh-CN"/>
              </w:rPr>
            </w:pPr>
            <w:r>
              <w:rPr>
                <w:rFonts w:hint="default" w:ascii="Times New Roman" w:hAnsi="Times New Roman" w:eastAsia="仿宋_GB2312" w:cs="Times New Roman"/>
                <w:sz w:val="21"/>
                <w:szCs w:val="21"/>
                <w:lang w:val="en-US" w:eastAsia="zh-CN"/>
              </w:rPr>
              <w:t>套</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pacing w:val="1"/>
                <w:sz w:val="21"/>
                <w:szCs w:val="21"/>
                <w:lang w:val="en-US" w:eastAsia="zh-CN"/>
              </w:rPr>
              <w:t>1</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lang w:val="en-US" w:eastAsia="zh-CN"/>
              </w:rPr>
              <w:t>260</w:t>
            </w: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260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2</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pacing w:val="6"/>
                <w:sz w:val="21"/>
                <w:szCs w:val="21"/>
                <w:lang w:val="en-US" w:eastAsia="zh-CN"/>
              </w:rPr>
              <w:t>蒸发皿</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lang w:val="en-US" w:eastAsia="zh-CN"/>
              </w:rPr>
              <w:t>个</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lang w:val="en-US" w:eastAsia="zh-CN"/>
              </w:rPr>
              <w:t>1</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lang w:val="en-US" w:eastAsia="zh-CN"/>
              </w:rPr>
              <w:t>5</w:t>
            </w: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5</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3</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pacing w:val="8"/>
                <w:sz w:val="21"/>
                <w:szCs w:val="21"/>
              </w:rPr>
              <w:t>取</w:t>
            </w:r>
            <w:r>
              <w:rPr>
                <w:rFonts w:hint="default" w:ascii="Times New Roman" w:hAnsi="Times New Roman" w:eastAsia="仿宋_GB2312" w:cs="Times New Roman"/>
                <w:spacing w:val="5"/>
                <w:sz w:val="21"/>
                <w:szCs w:val="21"/>
              </w:rPr>
              <w:t>样工具</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套</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rPr>
              <w:t>1</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lang w:val="en-US" w:eastAsia="zh-CN"/>
              </w:rPr>
              <w:t>300</w:t>
            </w: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300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pacing w:val="1"/>
                <w:sz w:val="21"/>
                <w:szCs w:val="21"/>
              </w:rPr>
              <w:t>4</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pacing w:val="6"/>
                <w:sz w:val="21"/>
                <w:szCs w:val="21"/>
                <w:lang w:val="en-US" w:eastAsia="zh-CN"/>
              </w:rPr>
              <w:t>围栏网</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lang w:val="en-US" w:eastAsia="zh-CN"/>
              </w:rPr>
              <w:t>m</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lang w:val="en-US" w:eastAsia="zh-CN"/>
              </w:rPr>
              <w:t>200</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lang w:val="en-US" w:eastAsia="zh-CN"/>
              </w:rPr>
              <w:t>12</w:t>
            </w: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2400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5</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lang w:val="en-US" w:eastAsia="zh-CN"/>
              </w:rPr>
              <w:t>标志绳</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lang w:val="en-US" w:eastAsia="zh-CN"/>
              </w:rPr>
              <w:t>m</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sz w:val="21"/>
                <w:szCs w:val="21"/>
                <w:lang w:val="en-US" w:eastAsia="zh-CN"/>
              </w:rPr>
              <w:t>200</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lang w:val="en-US" w:eastAsia="zh-CN"/>
              </w:rPr>
              <w:t>2</w:t>
            </w: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400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lang w:val="en-US" w:eastAsia="zh-CN"/>
              </w:rPr>
              <w:t>6</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pacing w:val="2"/>
                <w:sz w:val="21"/>
                <w:szCs w:val="21"/>
              </w:rPr>
              <w:t>测钎</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个</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lang w:val="en-US"/>
              </w:rPr>
            </w:pPr>
            <w:r>
              <w:rPr>
                <w:rFonts w:hint="eastAsia" w:eastAsia="仿宋_GB2312" w:cs="Times New Roman"/>
                <w:sz w:val="21"/>
                <w:szCs w:val="21"/>
                <w:lang w:val="en-US" w:eastAsia="zh-CN"/>
              </w:rPr>
              <w:t>10</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lang w:val="en-US" w:eastAsia="zh-CN"/>
              </w:rPr>
              <w:t>7</w:t>
            </w: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eastAsia" w:eastAsia="仿宋_GB2312" w:cs="Times New Roman"/>
                <w:kern w:val="0"/>
                <w:sz w:val="21"/>
                <w:szCs w:val="21"/>
                <w:highlight w:val="none"/>
                <w:lang w:val="en-US" w:eastAsia="zh-CN" w:bidi="ar"/>
              </w:rPr>
              <w:t>70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lang w:val="en-US" w:eastAsia="zh-CN"/>
              </w:rPr>
              <w:t>7</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pacing w:val="6"/>
                <w:sz w:val="21"/>
                <w:szCs w:val="21"/>
              </w:rPr>
              <w:t>标志</w:t>
            </w:r>
            <w:r>
              <w:rPr>
                <w:rFonts w:hint="default" w:ascii="Times New Roman" w:hAnsi="Times New Roman" w:eastAsia="仿宋_GB2312" w:cs="Times New Roman"/>
                <w:spacing w:val="5"/>
                <w:sz w:val="21"/>
                <w:szCs w:val="21"/>
              </w:rPr>
              <w:t>牌</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个</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1</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lang w:val="en-US" w:eastAsia="zh-CN"/>
              </w:rPr>
              <w:t>150</w:t>
            </w: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150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b/>
                <w:bCs/>
                <w:sz w:val="21"/>
                <w:szCs w:val="21"/>
                <w:lang w:val="en-US" w:eastAsia="zh-CN"/>
              </w:rPr>
            </w:pPr>
            <w:r>
              <w:rPr>
                <w:rFonts w:hint="default" w:ascii="Times New Roman" w:hAnsi="Times New Roman" w:eastAsia="仿宋_GB2312" w:cs="Times New Roman"/>
                <w:sz w:val="21"/>
                <w:szCs w:val="21"/>
                <w:lang w:val="en-US" w:eastAsia="zh-CN"/>
              </w:rPr>
              <w:t>8</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pacing w:val="5"/>
                <w:kern w:val="2"/>
                <w:sz w:val="21"/>
                <w:szCs w:val="21"/>
                <w:lang w:val="en-US" w:eastAsia="zh-CN" w:bidi="ar-SA"/>
              </w:rPr>
            </w:pPr>
            <w:r>
              <w:rPr>
                <w:rFonts w:hint="default" w:ascii="Times New Roman" w:hAnsi="Times New Roman" w:eastAsia="仿宋_GB2312" w:cs="Times New Roman"/>
                <w:spacing w:val="-3"/>
                <w:sz w:val="21"/>
                <w:szCs w:val="21"/>
              </w:rPr>
              <w:t>皮尺</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lang w:val="en-US" w:eastAsia="zh-CN"/>
              </w:rPr>
              <w:t>把</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1"/>
                <w:sz w:val="21"/>
                <w:szCs w:val="21"/>
                <w:lang w:val="en-US" w:eastAsia="zh-CN"/>
              </w:rPr>
              <w:t>1</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pacing w:val="2"/>
                <w:kern w:val="2"/>
                <w:sz w:val="21"/>
                <w:szCs w:val="21"/>
                <w:lang w:val="en-US" w:eastAsia="zh-CN" w:bidi="ar-SA"/>
              </w:rPr>
            </w:pPr>
            <w:r>
              <w:rPr>
                <w:rFonts w:hint="default" w:ascii="Times New Roman" w:hAnsi="Times New Roman" w:eastAsia="仿宋_GB2312" w:cs="Times New Roman"/>
                <w:spacing w:val="2"/>
                <w:kern w:val="2"/>
                <w:sz w:val="21"/>
                <w:szCs w:val="21"/>
                <w:lang w:val="en-US" w:eastAsia="zh-CN" w:bidi="ar-SA"/>
              </w:rPr>
              <w:t>30</w:t>
            </w: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30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b/>
                <w:bCs/>
                <w:kern w:val="0"/>
                <w:sz w:val="21"/>
                <w:szCs w:val="21"/>
                <w:highlight w:val="none"/>
                <w:lang w:eastAsia="zh-CN"/>
              </w:rPr>
            </w:pPr>
            <w:r>
              <w:rPr>
                <w:rFonts w:hint="default" w:ascii="Times New Roman" w:hAnsi="Times New Roman" w:eastAsia="仿宋_GB2312" w:cs="Times New Roman"/>
                <w:sz w:val="21"/>
                <w:szCs w:val="21"/>
                <w:lang w:val="en-US" w:eastAsia="zh-CN"/>
              </w:rPr>
              <w:t>9</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sz w:val="21"/>
                <w:szCs w:val="21"/>
                <w:lang w:val="en-US" w:eastAsia="zh-CN"/>
              </w:rPr>
              <w:t>钢卷尺</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sz w:val="21"/>
                <w:szCs w:val="21"/>
                <w:lang w:val="en-US" w:eastAsia="zh-CN"/>
              </w:rPr>
              <w:t>把</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b/>
                <w:bCs/>
                <w:sz w:val="21"/>
                <w:szCs w:val="21"/>
                <w:highlight w:val="none"/>
              </w:rPr>
            </w:pPr>
            <w:r>
              <w:rPr>
                <w:rFonts w:hint="default" w:ascii="Times New Roman" w:hAnsi="Times New Roman" w:eastAsia="仿宋_GB2312" w:cs="Times New Roman"/>
                <w:spacing w:val="1"/>
                <w:sz w:val="21"/>
                <w:szCs w:val="21"/>
                <w:lang w:val="en-US" w:eastAsia="zh-CN"/>
              </w:rPr>
              <w:t>1</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b/>
                <w:bCs/>
                <w:sz w:val="21"/>
                <w:szCs w:val="21"/>
                <w:highlight w:val="none"/>
                <w:lang w:val="en-US" w:eastAsia="zh-CN"/>
              </w:rPr>
            </w:pPr>
            <w:r>
              <w:rPr>
                <w:rFonts w:hint="default" w:ascii="Times New Roman" w:hAnsi="Times New Roman" w:eastAsia="仿宋_GB2312" w:cs="Times New Roman"/>
                <w:b w:val="0"/>
                <w:bCs w:val="0"/>
                <w:sz w:val="21"/>
                <w:szCs w:val="21"/>
                <w:highlight w:val="none"/>
                <w:lang w:val="en-US" w:eastAsia="zh-CN"/>
              </w:rPr>
              <w:t>70</w:t>
            </w: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70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i w:val="0"/>
                <w:iCs w:val="0"/>
                <w:color w:val="auto"/>
                <w:kern w:val="0"/>
                <w:sz w:val="21"/>
                <w:szCs w:val="21"/>
                <w:u w:val="none"/>
                <w:lang w:val="en-US" w:eastAsia="zh-CN" w:bidi="ar"/>
              </w:rPr>
              <w:t>二</w:t>
            </w:r>
          </w:p>
        </w:tc>
        <w:tc>
          <w:tcPr>
            <w:tcW w:w="1623" w:type="pct"/>
            <w:tcBorders>
              <w:tl2br w:val="nil"/>
              <w:tr2bl w:val="nil"/>
            </w:tcBorders>
            <w:noWrap w:val="0"/>
            <w:vAlign w:val="center"/>
          </w:tcPr>
          <w:p>
            <w:pPr>
              <w:keepNext w:val="0"/>
              <w:keepLines w:val="0"/>
              <w:widowControl/>
              <w:suppressLineNumbers w:val="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color w:val="000000"/>
                <w:kern w:val="0"/>
                <w:sz w:val="20"/>
                <w:szCs w:val="20"/>
                <w:lang w:val="en-US" w:eastAsia="zh-CN" w:bidi="ar"/>
              </w:rPr>
              <w:t>监测设施和设备</w:t>
            </w:r>
            <w:r>
              <w:rPr>
                <w:rFonts w:hint="default" w:ascii="Times New Roman" w:hAnsi="Times New Roman" w:eastAsia="仿宋_GB2312" w:cs="Times New Roman"/>
                <w:b/>
                <w:bCs/>
                <w:i w:val="0"/>
                <w:iCs w:val="0"/>
                <w:color w:val="auto"/>
                <w:kern w:val="0"/>
                <w:sz w:val="21"/>
                <w:szCs w:val="21"/>
                <w:u w:val="none"/>
                <w:lang w:val="en-US" w:eastAsia="zh-CN" w:bidi="ar"/>
              </w:rPr>
              <w:t>（</w:t>
            </w:r>
            <w:r>
              <w:rPr>
                <w:rFonts w:hint="default" w:ascii="Times New Roman" w:hAnsi="Times New Roman" w:eastAsia="仿宋_GB2312" w:cs="Times New Roman"/>
                <w:b/>
                <w:bCs/>
                <w:color w:val="000000"/>
                <w:kern w:val="0"/>
                <w:sz w:val="20"/>
                <w:szCs w:val="20"/>
                <w:lang w:val="en-US" w:eastAsia="zh-CN" w:bidi="ar"/>
              </w:rPr>
              <w:t>按</w:t>
            </w:r>
            <w:r>
              <w:rPr>
                <w:rFonts w:hint="default" w:ascii="Times New Roman" w:hAnsi="Times New Roman" w:eastAsia="宋体" w:cs="Times New Roman"/>
                <w:b/>
                <w:bCs/>
                <w:color w:val="000000"/>
                <w:kern w:val="0"/>
                <w:sz w:val="20"/>
                <w:szCs w:val="20"/>
                <w:lang w:val="en-US" w:eastAsia="zh-CN" w:bidi="ar"/>
              </w:rPr>
              <w:t>20</w:t>
            </w:r>
            <w:r>
              <w:rPr>
                <w:rFonts w:hint="default" w:ascii="Times New Roman" w:hAnsi="Times New Roman" w:eastAsia="仿宋_GB2312" w:cs="Times New Roman"/>
                <w:b/>
                <w:bCs/>
                <w:color w:val="000000"/>
                <w:kern w:val="0"/>
                <w:sz w:val="20"/>
                <w:szCs w:val="20"/>
                <w:lang w:val="en-US" w:eastAsia="zh-CN" w:bidi="ar"/>
              </w:rPr>
              <w:t>％折</w:t>
            </w:r>
            <w:r>
              <w:rPr>
                <w:rFonts w:hint="default" w:ascii="Times New Roman" w:hAnsi="Times New Roman" w:eastAsia="仿宋_GB2312" w:cs="Times New Roman"/>
                <w:b/>
                <w:bCs/>
                <w:i w:val="0"/>
                <w:iCs w:val="0"/>
                <w:color w:val="auto"/>
                <w:kern w:val="0"/>
                <w:sz w:val="21"/>
                <w:szCs w:val="21"/>
                <w:u w:val="none"/>
                <w:lang w:val="en-US" w:eastAsia="zh-CN" w:bidi="ar"/>
              </w:rPr>
              <w:t>）</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b/>
                <w:bCs/>
                <w:kern w:val="0"/>
                <w:sz w:val="21"/>
                <w:szCs w:val="21"/>
                <w:highlight w:val="none"/>
              </w:rPr>
            </w:pP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z w:val="21"/>
                <w:szCs w:val="21"/>
                <w:highlight w:val="none"/>
              </w:rPr>
            </w:pP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eastAsia" w:eastAsia="仿宋_GB2312" w:cs="Times New Roman"/>
                <w:kern w:val="0"/>
                <w:sz w:val="21"/>
                <w:szCs w:val="21"/>
                <w:highlight w:val="none"/>
                <w:lang w:val="en-US" w:eastAsia="zh-CN" w:bidi="ar"/>
              </w:rPr>
              <w:t>9272</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1</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电子天平</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台</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1</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lang w:val="en-US" w:eastAsia="zh-CN"/>
              </w:rPr>
              <w:t>5000</w:t>
            </w: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1000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sz w:val="21"/>
                <w:szCs w:val="21"/>
              </w:rPr>
              <w:t>2</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spacing w:val="-3"/>
                <w:sz w:val="21"/>
                <w:szCs w:val="21"/>
              </w:rPr>
              <w:t>比重计</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个</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1</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kern w:val="0"/>
                <w:sz w:val="21"/>
                <w:szCs w:val="21"/>
                <w:highlight w:val="none"/>
                <w:lang w:val="en-US" w:eastAsia="zh-CN"/>
              </w:rPr>
              <w:t>4000</w:t>
            </w:r>
          </w:p>
        </w:tc>
        <w:tc>
          <w:tcPr>
            <w:tcW w:w="82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800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bCs/>
                <w:kern w:val="0"/>
                <w:sz w:val="21"/>
                <w:szCs w:val="21"/>
                <w:highlight w:val="none"/>
              </w:rPr>
            </w:pPr>
            <w:r>
              <w:rPr>
                <w:rFonts w:hint="default" w:ascii="Times New Roman" w:hAnsi="Times New Roman" w:eastAsia="仿宋_GB2312" w:cs="Times New Roman"/>
                <w:sz w:val="21"/>
                <w:szCs w:val="21"/>
              </w:rPr>
              <w:t>3</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spacing w:val="2"/>
                <w:sz w:val="21"/>
                <w:szCs w:val="21"/>
              </w:rPr>
              <w:t>烘</w:t>
            </w:r>
            <w:r>
              <w:rPr>
                <w:rFonts w:hint="default" w:ascii="Times New Roman" w:hAnsi="Times New Roman" w:eastAsia="仿宋_GB2312" w:cs="Times New Roman"/>
                <w:spacing w:val="1"/>
                <w:sz w:val="21"/>
                <w:szCs w:val="21"/>
              </w:rPr>
              <w:t>箱</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台</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1</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lang w:val="en-US" w:eastAsia="zh-CN"/>
              </w:rPr>
              <w:t>2000</w:t>
            </w:r>
          </w:p>
        </w:tc>
        <w:tc>
          <w:tcPr>
            <w:tcW w:w="82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400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pacing w:val="1"/>
                <w:sz w:val="21"/>
                <w:szCs w:val="21"/>
              </w:rPr>
              <w:t>4</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pacing w:val="5"/>
                <w:sz w:val="21"/>
                <w:szCs w:val="21"/>
                <w:lang w:val="en-US" w:eastAsia="zh-CN"/>
              </w:rPr>
              <w:t>土壤水分快速测定仪</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台</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lang w:val="en-US" w:eastAsia="zh-CN"/>
              </w:rPr>
              <w:t>2</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lang w:val="en-US" w:eastAsia="zh-CN"/>
              </w:rPr>
              <w:t>80</w:t>
            </w:r>
          </w:p>
        </w:tc>
        <w:tc>
          <w:tcPr>
            <w:tcW w:w="82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32</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5</w:t>
            </w:r>
          </w:p>
        </w:tc>
        <w:tc>
          <w:tcPr>
            <w:tcW w:w="1623" w:type="pct"/>
            <w:tcBorders>
              <w:tl2br w:val="nil"/>
              <w:tr2bl w:val="nil"/>
            </w:tcBorders>
            <w:noWrap w:val="0"/>
            <w:vAlign w:val="center"/>
          </w:tcPr>
          <w:p>
            <w:pPr>
              <w:keepNext w:val="0"/>
              <w:keepLines w:val="0"/>
              <w:widowControl/>
              <w:suppressLineNumbers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color w:val="000000"/>
                <w:kern w:val="0"/>
                <w:sz w:val="20"/>
                <w:szCs w:val="20"/>
                <w:lang w:val="en-US" w:eastAsia="zh-CN" w:bidi="ar"/>
              </w:rPr>
              <w:t>植被高度观测仪（测高仪）</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台</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1</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lang w:val="en-US" w:eastAsia="zh-CN"/>
              </w:rPr>
              <w:t>8000</w:t>
            </w:r>
          </w:p>
        </w:tc>
        <w:tc>
          <w:tcPr>
            <w:tcW w:w="82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1600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rPr>
              <w:t>6</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pacing w:val="5"/>
                <w:sz w:val="21"/>
                <w:szCs w:val="21"/>
              </w:rPr>
            </w:pPr>
            <w:r>
              <w:rPr>
                <w:rFonts w:hint="default" w:ascii="Times New Roman" w:hAnsi="Times New Roman" w:eastAsia="仿宋_GB2312" w:cs="Times New Roman"/>
                <w:spacing w:val="5"/>
                <w:sz w:val="21"/>
                <w:szCs w:val="21"/>
                <w:lang w:val="en-US" w:eastAsia="zh-CN"/>
              </w:rPr>
              <w:t>坡度仪</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个</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pacing w:val="2"/>
                <w:sz w:val="21"/>
                <w:szCs w:val="21"/>
                <w:lang w:val="en-US" w:eastAsia="zh-CN"/>
              </w:rPr>
            </w:pPr>
            <w:r>
              <w:rPr>
                <w:rFonts w:hint="default" w:ascii="Times New Roman" w:hAnsi="Times New Roman" w:eastAsia="仿宋_GB2312" w:cs="Times New Roman"/>
                <w:spacing w:val="2"/>
                <w:sz w:val="21"/>
                <w:szCs w:val="21"/>
                <w:lang w:val="en-US" w:eastAsia="zh-CN"/>
              </w:rPr>
              <w:t>200</w:t>
            </w:r>
          </w:p>
        </w:tc>
        <w:tc>
          <w:tcPr>
            <w:tcW w:w="82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40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7</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pacing w:val="5"/>
                <w:sz w:val="21"/>
                <w:szCs w:val="21"/>
                <w:lang w:val="en-US" w:eastAsia="zh-CN"/>
              </w:rPr>
            </w:pPr>
            <w:r>
              <w:rPr>
                <w:rFonts w:hint="default" w:ascii="Times New Roman" w:hAnsi="Times New Roman" w:eastAsia="仿宋_GB2312" w:cs="Times New Roman"/>
                <w:sz w:val="21"/>
                <w:szCs w:val="21"/>
              </w:rPr>
              <w:t>GPS</w:t>
            </w:r>
            <w:r>
              <w:rPr>
                <w:rFonts w:hint="default" w:ascii="Times New Roman" w:hAnsi="Times New Roman" w:eastAsia="仿宋_GB2312" w:cs="Times New Roman"/>
                <w:spacing w:val="10"/>
                <w:sz w:val="21"/>
                <w:szCs w:val="21"/>
              </w:rPr>
              <w:t>定位仪</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套</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pacing w:val="2"/>
                <w:sz w:val="21"/>
                <w:szCs w:val="21"/>
                <w:lang w:val="en-US" w:eastAsia="zh-CN"/>
              </w:rPr>
            </w:pPr>
            <w:r>
              <w:rPr>
                <w:rFonts w:hint="default" w:ascii="Times New Roman" w:hAnsi="Times New Roman" w:eastAsia="仿宋_GB2312" w:cs="Times New Roman"/>
                <w:spacing w:val="2"/>
                <w:sz w:val="21"/>
                <w:szCs w:val="21"/>
                <w:lang w:val="en-US" w:eastAsia="zh-CN"/>
              </w:rPr>
              <w:t>2000</w:t>
            </w:r>
          </w:p>
        </w:tc>
        <w:tc>
          <w:tcPr>
            <w:tcW w:w="82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400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8</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pacing w:val="5"/>
                <w:sz w:val="21"/>
                <w:szCs w:val="21"/>
                <w:lang w:val="en-US" w:eastAsia="zh-CN"/>
              </w:rPr>
            </w:pPr>
            <w:r>
              <w:rPr>
                <w:rFonts w:hint="default" w:ascii="Times New Roman" w:hAnsi="Times New Roman" w:eastAsia="仿宋_GB2312" w:cs="Times New Roman"/>
                <w:sz w:val="21"/>
                <w:szCs w:val="21"/>
                <w:lang w:val="en-US" w:eastAsia="zh-CN"/>
              </w:rPr>
              <w:t>无人机</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个</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pacing w:val="2"/>
                <w:sz w:val="21"/>
                <w:szCs w:val="21"/>
                <w:lang w:val="en-US" w:eastAsia="zh-CN"/>
              </w:rPr>
            </w:pPr>
            <w:r>
              <w:rPr>
                <w:rFonts w:hint="default" w:ascii="Times New Roman" w:hAnsi="Times New Roman" w:eastAsia="仿宋_GB2312" w:cs="Times New Roman"/>
                <w:spacing w:val="2"/>
                <w:sz w:val="21"/>
                <w:szCs w:val="21"/>
                <w:lang w:val="en-US" w:eastAsia="zh-CN"/>
              </w:rPr>
              <w:t>18000</w:t>
            </w:r>
          </w:p>
        </w:tc>
        <w:tc>
          <w:tcPr>
            <w:tcW w:w="82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3600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9</w:t>
            </w:r>
          </w:p>
        </w:tc>
        <w:tc>
          <w:tcPr>
            <w:tcW w:w="1623" w:type="pct"/>
            <w:tcBorders>
              <w:tl2br w:val="nil"/>
              <w:tr2bl w:val="nil"/>
            </w:tcBorders>
            <w:noWrap w:val="0"/>
            <w:vAlign w:val="center"/>
          </w:tcPr>
          <w:p>
            <w:pPr>
              <w:keepNext w:val="0"/>
              <w:keepLines w:val="0"/>
              <w:widowControl/>
              <w:suppressLineNumbers w:val="0"/>
              <w:jc w:val="center"/>
              <w:rPr>
                <w:rFonts w:hint="default" w:ascii="Times New Roman" w:hAnsi="Times New Roman" w:eastAsia="仿宋_GB2312" w:cs="Times New Roman"/>
                <w:spacing w:val="5"/>
                <w:sz w:val="21"/>
                <w:szCs w:val="21"/>
                <w:lang w:val="en-US" w:eastAsia="zh-CN"/>
              </w:rPr>
            </w:pPr>
            <w:r>
              <w:rPr>
                <w:rFonts w:hint="default" w:ascii="Times New Roman" w:hAnsi="Times New Roman" w:eastAsia="仿宋_GB2312" w:cs="Times New Roman"/>
                <w:color w:val="000000"/>
                <w:kern w:val="0"/>
                <w:sz w:val="20"/>
                <w:szCs w:val="20"/>
                <w:lang w:val="en-US" w:eastAsia="zh-CN" w:bidi="ar"/>
              </w:rPr>
              <w:t>风向风速自测仪</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台</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pacing w:val="2"/>
                <w:sz w:val="21"/>
                <w:szCs w:val="21"/>
                <w:lang w:val="en-US" w:eastAsia="zh-CN"/>
              </w:rPr>
            </w:pPr>
            <w:r>
              <w:rPr>
                <w:rFonts w:hint="default" w:ascii="Times New Roman" w:hAnsi="Times New Roman" w:eastAsia="仿宋_GB2312" w:cs="Times New Roman"/>
                <w:spacing w:val="2"/>
                <w:sz w:val="21"/>
                <w:szCs w:val="21"/>
                <w:lang w:val="en-US" w:eastAsia="zh-CN"/>
              </w:rPr>
              <w:t>4000</w:t>
            </w:r>
          </w:p>
        </w:tc>
        <w:tc>
          <w:tcPr>
            <w:tcW w:w="82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800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lang w:val="en-US" w:eastAsia="zh-CN"/>
              </w:rPr>
            </w:pPr>
            <w:r>
              <w:rPr>
                <w:rFonts w:hint="eastAsia" w:eastAsia="仿宋_GB2312" w:cs="Times New Roman"/>
                <w:sz w:val="21"/>
                <w:szCs w:val="21"/>
                <w:lang w:val="en-US" w:eastAsia="zh-CN"/>
              </w:rPr>
              <w:t>10</w:t>
            </w:r>
          </w:p>
        </w:tc>
        <w:tc>
          <w:tcPr>
            <w:tcW w:w="1623" w:type="pct"/>
            <w:tcBorders>
              <w:tl2br w:val="nil"/>
              <w:tr2bl w:val="nil"/>
            </w:tcBorders>
            <w:noWrap w:val="0"/>
            <w:vAlign w:val="center"/>
          </w:tcPr>
          <w:p>
            <w:pPr>
              <w:keepNext w:val="0"/>
              <w:keepLines w:val="0"/>
              <w:widowControl/>
              <w:suppressLineNumbers w:val="0"/>
              <w:jc w:val="center"/>
              <w:rPr>
                <w:rFonts w:hint="default" w:ascii="Times New Roman" w:hAnsi="Times New Roman" w:eastAsia="仿宋_GB2312" w:cs="Times New Roman"/>
                <w:spacing w:val="5"/>
                <w:sz w:val="21"/>
                <w:szCs w:val="21"/>
                <w:lang w:val="en-US" w:eastAsia="zh-CN"/>
              </w:rPr>
            </w:pPr>
            <w:r>
              <w:rPr>
                <w:rFonts w:hint="default" w:ascii="Times New Roman" w:hAnsi="Times New Roman" w:eastAsia="仿宋_GB2312" w:cs="Times New Roman"/>
                <w:color w:val="000000"/>
                <w:kern w:val="0"/>
                <w:sz w:val="20"/>
                <w:szCs w:val="20"/>
                <w:lang w:val="en-US" w:eastAsia="zh-CN" w:bidi="ar"/>
              </w:rPr>
              <w:t>径流泥沙自测仪</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台</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pacing w:val="2"/>
                <w:sz w:val="21"/>
                <w:szCs w:val="21"/>
                <w:lang w:val="en-US" w:eastAsia="zh-CN"/>
              </w:rPr>
            </w:pPr>
            <w:r>
              <w:rPr>
                <w:rFonts w:hint="default" w:ascii="Times New Roman" w:hAnsi="Times New Roman" w:eastAsia="仿宋_GB2312" w:cs="Times New Roman"/>
                <w:spacing w:val="2"/>
                <w:sz w:val="21"/>
                <w:szCs w:val="21"/>
                <w:lang w:val="en-US" w:eastAsia="zh-CN"/>
              </w:rPr>
              <w:t>3000</w:t>
            </w:r>
          </w:p>
        </w:tc>
        <w:tc>
          <w:tcPr>
            <w:tcW w:w="82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600</w:t>
            </w:r>
          </w:p>
        </w:tc>
      </w:tr>
    </w:tbl>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z w:val="21"/>
          <w:szCs w:val="21"/>
          <w:highlight w:val="none"/>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right"/>
        <w:textAlignment w:val="auto"/>
        <w:rPr>
          <w:rFonts w:hint="default" w:ascii="Times New Roman" w:hAnsi="Times New Roman" w:eastAsia="仿宋_GB2312" w:cs="Times New Roman"/>
          <w:b/>
          <w:bCs/>
          <w:sz w:val="21"/>
          <w:szCs w:val="21"/>
          <w:highlight w:val="none"/>
        </w:rPr>
      </w:pPr>
      <w:r>
        <w:rPr>
          <w:rFonts w:hint="default" w:ascii="Times New Roman" w:hAnsi="Times New Roman" w:eastAsia="微软雅黑" w:cs="Times New Roman"/>
          <w:b w:val="0"/>
          <w:bCs w:val="0"/>
          <w:sz w:val="21"/>
          <w:szCs w:val="21"/>
          <w:highlight w:val="none"/>
        </w:rPr>
        <w:t>表7-</w:t>
      </w:r>
      <w:r>
        <w:rPr>
          <w:rFonts w:hint="eastAsia" w:eastAsia="微软雅黑" w:cs="Times New Roman"/>
          <w:b w:val="0"/>
          <w:bCs w:val="0"/>
          <w:sz w:val="21"/>
          <w:szCs w:val="21"/>
          <w:highlight w:val="none"/>
          <w:lang w:val="en-US" w:eastAsia="zh-CN"/>
        </w:rPr>
        <w:t>8</w:t>
      </w:r>
      <w:r>
        <w:rPr>
          <w:rFonts w:hint="default" w:ascii="Times New Roman" w:hAnsi="Times New Roman" w:eastAsia="微软雅黑" w:cs="Times New Roman"/>
          <w:b w:val="0"/>
          <w:bCs w:val="0"/>
          <w:sz w:val="21"/>
          <w:szCs w:val="21"/>
          <w:highlight w:val="none"/>
          <w:lang w:val="en-US" w:eastAsia="zh-CN"/>
        </w:rPr>
        <w:t xml:space="preserve">  </w:t>
      </w:r>
      <w:r>
        <w:rPr>
          <w:rFonts w:hint="default" w:ascii="Times New Roman" w:hAnsi="Times New Roman" w:eastAsia="微软雅黑" w:cs="Times New Roman"/>
          <w:b w:val="0"/>
          <w:bCs w:val="0"/>
          <w:sz w:val="21"/>
          <w:szCs w:val="21"/>
          <w:highlight w:val="none"/>
        </w:rPr>
        <w:t>主要材料单价汇总表</w:t>
      </w:r>
      <w:r>
        <w:rPr>
          <w:rFonts w:hint="default" w:ascii="Times New Roman" w:hAnsi="Times New Roman" w:eastAsia="仿宋_GB2312" w:cs="Times New Roman"/>
          <w:b/>
          <w:bCs/>
          <w:sz w:val="21"/>
          <w:szCs w:val="21"/>
          <w:highlight w:val="none"/>
          <w:lang w:val="en-US" w:eastAsia="zh-CN"/>
        </w:rPr>
        <w:t xml:space="preserve">            </w:t>
      </w:r>
      <w:r>
        <w:rPr>
          <w:rFonts w:hint="eastAsia" w:ascii="Times New Roman" w:hAnsi="Times New Roman" w:eastAsia="仿宋_GB2312" w:cs="Times New Roman"/>
          <w:b/>
          <w:bCs/>
          <w:sz w:val="21"/>
          <w:szCs w:val="21"/>
          <w:highlight w:val="none"/>
          <w:lang w:val="en-US" w:eastAsia="zh-CN"/>
        </w:rPr>
        <w:t xml:space="preserve">   </w:t>
      </w:r>
      <w:r>
        <w:rPr>
          <w:rFonts w:hint="default" w:ascii="Times New Roman" w:hAnsi="Times New Roman" w:eastAsia="仿宋_GB2312" w:cs="Times New Roman"/>
          <w:b/>
          <w:bCs/>
          <w:sz w:val="21"/>
          <w:szCs w:val="21"/>
          <w:highlight w:val="none"/>
          <w:lang w:val="en-US" w:eastAsia="zh-CN"/>
        </w:rPr>
        <w:t xml:space="preserve">     </w:t>
      </w:r>
      <w:r>
        <w:rPr>
          <w:rFonts w:hint="default" w:ascii="Times New Roman" w:hAnsi="Times New Roman" w:eastAsia="仿宋_GB2312" w:cs="Times New Roman"/>
          <w:b/>
          <w:bCs/>
          <w:sz w:val="21"/>
          <w:szCs w:val="21"/>
          <w:highlight w:val="none"/>
        </w:rPr>
        <w:t>单位：元</w:t>
      </w:r>
    </w:p>
    <w:tbl>
      <w:tblPr>
        <w:tblStyle w:val="88"/>
        <w:tblW w:w="4998" w:type="pct"/>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65"/>
        <w:gridCol w:w="1133"/>
        <w:gridCol w:w="691"/>
        <w:gridCol w:w="967"/>
        <w:gridCol w:w="1143"/>
        <w:gridCol w:w="1090"/>
        <w:gridCol w:w="1757"/>
        <w:gridCol w:w="1180"/>
      </w:tblGrid>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31" w:type="pct"/>
            <w:vMerge w:val="restar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序号</w:t>
            </w:r>
          </w:p>
        </w:tc>
        <w:tc>
          <w:tcPr>
            <w:tcW w:w="664" w:type="pct"/>
            <w:vMerge w:val="restar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名称及</w:t>
            </w:r>
          </w:p>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规格</w:t>
            </w:r>
          </w:p>
        </w:tc>
        <w:tc>
          <w:tcPr>
            <w:tcW w:w="405" w:type="pct"/>
            <w:vMerge w:val="restar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单位</w:t>
            </w:r>
          </w:p>
        </w:tc>
        <w:tc>
          <w:tcPr>
            <w:tcW w:w="567" w:type="pct"/>
            <w:vMerge w:val="restar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预算价格（元）</w:t>
            </w:r>
          </w:p>
        </w:tc>
        <w:tc>
          <w:tcPr>
            <w:tcW w:w="3030" w:type="pct"/>
            <w:gridSpan w:val="4"/>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其中</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31" w:type="pct"/>
            <w:vMerge w:val="continue"/>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p>
        </w:tc>
        <w:tc>
          <w:tcPr>
            <w:tcW w:w="664" w:type="pct"/>
            <w:vMerge w:val="continue"/>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p>
        </w:tc>
        <w:tc>
          <w:tcPr>
            <w:tcW w:w="405" w:type="pct"/>
            <w:vMerge w:val="continue"/>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p>
        </w:tc>
        <w:tc>
          <w:tcPr>
            <w:tcW w:w="567" w:type="pct"/>
            <w:vMerge w:val="continue"/>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p>
        </w:tc>
        <w:tc>
          <w:tcPr>
            <w:tcW w:w="670"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lang w:val="en-US" w:eastAsia="zh-CN"/>
              </w:rPr>
              <w:t>基</w:t>
            </w:r>
            <w:r>
              <w:rPr>
                <w:rFonts w:hint="default" w:ascii="Times New Roman" w:hAnsi="Times New Roman" w:eastAsia="仿宋_GB2312" w:cs="Times New Roman"/>
                <w:color w:val="auto"/>
                <w:sz w:val="20"/>
                <w:szCs w:val="20"/>
              </w:rPr>
              <w:t>价</w:t>
            </w:r>
          </w:p>
        </w:tc>
        <w:tc>
          <w:tcPr>
            <w:tcW w:w="639"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运杂费</w:t>
            </w:r>
          </w:p>
        </w:tc>
        <w:tc>
          <w:tcPr>
            <w:tcW w:w="1030"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采购及保管费</w:t>
            </w:r>
          </w:p>
        </w:tc>
        <w:tc>
          <w:tcPr>
            <w:tcW w:w="690"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z w:val="20"/>
                <w:szCs w:val="20"/>
                <w:lang w:eastAsia="zh-CN"/>
              </w:rPr>
              <w:t>价差</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31"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1</w:t>
            </w:r>
          </w:p>
        </w:tc>
        <w:tc>
          <w:tcPr>
            <w:tcW w:w="664"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水</w:t>
            </w:r>
          </w:p>
        </w:tc>
        <w:tc>
          <w:tcPr>
            <w:tcW w:w="405"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z w:val="20"/>
                <w:szCs w:val="20"/>
              </w:rPr>
              <w:t>m</w:t>
            </w:r>
            <w:r>
              <w:rPr>
                <w:rFonts w:hint="default" w:ascii="Times New Roman" w:hAnsi="Times New Roman" w:eastAsia="仿宋_GB2312" w:cs="Times New Roman"/>
                <w:color w:val="auto"/>
                <w:sz w:val="20"/>
                <w:szCs w:val="20"/>
                <w:vertAlign w:val="superscript"/>
                <w:lang w:eastAsia="zh-CN"/>
              </w:rPr>
              <w:t>3</w:t>
            </w:r>
          </w:p>
        </w:tc>
        <w:tc>
          <w:tcPr>
            <w:tcW w:w="567"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2.5</w:t>
            </w:r>
          </w:p>
        </w:tc>
        <w:tc>
          <w:tcPr>
            <w:tcW w:w="670"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p>
        </w:tc>
        <w:tc>
          <w:tcPr>
            <w:tcW w:w="639"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p>
        </w:tc>
        <w:tc>
          <w:tcPr>
            <w:tcW w:w="1030"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p>
        </w:tc>
        <w:tc>
          <w:tcPr>
            <w:tcW w:w="690"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31"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2</w:t>
            </w:r>
          </w:p>
        </w:tc>
        <w:tc>
          <w:tcPr>
            <w:tcW w:w="664"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电</w:t>
            </w:r>
          </w:p>
        </w:tc>
        <w:tc>
          <w:tcPr>
            <w:tcW w:w="405"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kWh</w:t>
            </w:r>
          </w:p>
        </w:tc>
        <w:tc>
          <w:tcPr>
            <w:tcW w:w="567"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1.0</w:t>
            </w:r>
          </w:p>
        </w:tc>
        <w:tc>
          <w:tcPr>
            <w:tcW w:w="670"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p>
        </w:tc>
        <w:tc>
          <w:tcPr>
            <w:tcW w:w="639"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p>
        </w:tc>
        <w:tc>
          <w:tcPr>
            <w:tcW w:w="1030"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p>
        </w:tc>
        <w:tc>
          <w:tcPr>
            <w:tcW w:w="690"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31"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3</w:t>
            </w:r>
          </w:p>
        </w:tc>
        <w:tc>
          <w:tcPr>
            <w:tcW w:w="664"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柴油</w:t>
            </w:r>
          </w:p>
        </w:tc>
        <w:tc>
          <w:tcPr>
            <w:tcW w:w="405"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kg</w:t>
            </w:r>
          </w:p>
        </w:tc>
        <w:tc>
          <w:tcPr>
            <w:tcW w:w="567"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7.21</w:t>
            </w:r>
          </w:p>
        </w:tc>
        <w:tc>
          <w:tcPr>
            <w:tcW w:w="670"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2.99</w:t>
            </w:r>
          </w:p>
        </w:tc>
        <w:tc>
          <w:tcPr>
            <w:tcW w:w="639"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p>
        </w:tc>
        <w:tc>
          <w:tcPr>
            <w:tcW w:w="1030"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p>
        </w:tc>
        <w:tc>
          <w:tcPr>
            <w:tcW w:w="690"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4.22</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31"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4</w:t>
            </w:r>
          </w:p>
        </w:tc>
        <w:tc>
          <w:tcPr>
            <w:tcW w:w="664"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农家肥</w:t>
            </w:r>
          </w:p>
        </w:tc>
        <w:tc>
          <w:tcPr>
            <w:tcW w:w="405"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z w:val="20"/>
                <w:szCs w:val="20"/>
              </w:rPr>
              <w:t>m</w:t>
            </w:r>
            <w:r>
              <w:rPr>
                <w:rFonts w:hint="default" w:ascii="Times New Roman" w:hAnsi="Times New Roman" w:eastAsia="仿宋_GB2312" w:cs="Times New Roman"/>
                <w:color w:val="auto"/>
                <w:sz w:val="20"/>
                <w:szCs w:val="20"/>
                <w:vertAlign w:val="superscript"/>
                <w:lang w:eastAsia="zh-CN"/>
              </w:rPr>
              <w:t>3</w:t>
            </w:r>
          </w:p>
        </w:tc>
        <w:tc>
          <w:tcPr>
            <w:tcW w:w="567"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85</w:t>
            </w:r>
          </w:p>
        </w:tc>
        <w:tc>
          <w:tcPr>
            <w:tcW w:w="670"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80</w:t>
            </w:r>
          </w:p>
        </w:tc>
        <w:tc>
          <w:tcPr>
            <w:tcW w:w="639"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z w:val="20"/>
                <w:szCs w:val="20"/>
                <w:lang w:val="en-US" w:eastAsia="zh-CN"/>
              </w:rPr>
              <w:t>4</w:t>
            </w:r>
          </w:p>
        </w:tc>
        <w:tc>
          <w:tcPr>
            <w:tcW w:w="1030"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0.02</w:t>
            </w:r>
          </w:p>
        </w:tc>
        <w:tc>
          <w:tcPr>
            <w:tcW w:w="690" w:type="pct"/>
            <w:tcBorders>
              <w:tl2br w:val="nil"/>
              <w:tr2bl w:val="nil"/>
            </w:tcBorders>
            <w:noWrap w:val="0"/>
            <w:vAlign w:val="center"/>
          </w:tcPr>
          <w:p>
            <w:pPr>
              <w:widowControl/>
              <w:jc w:val="center"/>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lang w:val="en-US" w:eastAsia="zh-CN"/>
              </w:rPr>
              <w:t>0.98</w:t>
            </w:r>
          </w:p>
        </w:tc>
      </w:tr>
    </w:tbl>
    <w:p>
      <w:pPr>
        <w:keepNext w:val="0"/>
        <w:keepLines w:val="0"/>
        <w:pageBreakBefore w:val="0"/>
        <w:widowControl w:val="0"/>
        <w:kinsoku/>
        <w:wordWrap/>
        <w:overflowPunct/>
        <w:topLinePunct w:val="0"/>
        <w:autoSpaceDE/>
        <w:autoSpaceDN/>
        <w:bidi w:val="0"/>
        <w:adjustRightInd/>
        <w:snapToGrid w:val="0"/>
        <w:spacing w:before="157" w:beforeLines="50" w:line="360" w:lineRule="auto"/>
        <w:ind w:firstLine="0" w:firstLineChars="0"/>
        <w:jc w:val="center"/>
        <w:textAlignment w:val="auto"/>
        <w:rPr>
          <w:rFonts w:hint="default" w:ascii="Times New Roman" w:hAnsi="Times New Roman" w:eastAsia="微软雅黑" w:cs="Times New Roman"/>
          <w:b w:val="0"/>
          <w:bCs w:val="0"/>
          <w:spacing w:val="2"/>
          <w:sz w:val="21"/>
          <w:szCs w:val="21"/>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微软雅黑" w:cs="Times New Roman"/>
          <w:b w:val="0"/>
          <w:bCs w:val="0"/>
          <w:spacing w:val="2"/>
          <w:sz w:val="21"/>
          <w:szCs w:val="21"/>
          <w:lang w:eastAsia="zh-CN"/>
        </w:rPr>
      </w:pPr>
      <w:r>
        <w:rPr>
          <w:rFonts w:hint="default" w:ascii="Times New Roman" w:hAnsi="Times New Roman" w:eastAsia="微软雅黑" w:cs="Times New Roman"/>
          <w:b w:val="0"/>
          <w:bCs w:val="0"/>
          <w:spacing w:val="2"/>
          <w:sz w:val="21"/>
          <w:szCs w:val="21"/>
        </w:rPr>
        <w:t>表7-</w:t>
      </w:r>
      <w:r>
        <w:rPr>
          <w:rFonts w:hint="eastAsia" w:eastAsia="微软雅黑" w:cs="Times New Roman"/>
          <w:b w:val="0"/>
          <w:bCs w:val="0"/>
          <w:spacing w:val="2"/>
          <w:sz w:val="21"/>
          <w:szCs w:val="21"/>
          <w:lang w:val="en-US" w:eastAsia="zh-CN"/>
        </w:rPr>
        <w:t>9</w:t>
      </w:r>
      <w:r>
        <w:rPr>
          <w:rFonts w:hint="default" w:ascii="Times New Roman" w:hAnsi="Times New Roman" w:eastAsia="微软雅黑" w:cs="Times New Roman"/>
          <w:b w:val="0"/>
          <w:bCs w:val="0"/>
          <w:spacing w:val="2"/>
          <w:sz w:val="21"/>
          <w:szCs w:val="21"/>
          <w:lang w:val="en-US" w:eastAsia="zh-CN"/>
        </w:rPr>
        <w:t xml:space="preserve">  </w:t>
      </w:r>
      <w:r>
        <w:rPr>
          <w:rFonts w:hint="default" w:ascii="Times New Roman" w:hAnsi="Times New Roman" w:eastAsia="微软雅黑" w:cs="Times New Roman"/>
          <w:b w:val="0"/>
          <w:bCs w:val="0"/>
          <w:spacing w:val="2"/>
          <w:sz w:val="21"/>
          <w:szCs w:val="21"/>
        </w:rPr>
        <w:t>施工机械台时费汇总表</w:t>
      </w:r>
    </w:p>
    <w:p>
      <w:pPr>
        <w:keepNext w:val="0"/>
        <w:keepLines w:val="0"/>
        <w:pageBreakBefore w:val="0"/>
        <w:widowControl w:val="0"/>
        <w:kinsoku/>
        <w:wordWrap/>
        <w:overflowPunct/>
        <w:topLinePunct w:val="0"/>
        <w:autoSpaceDE/>
        <w:autoSpaceDN/>
        <w:bidi w:val="0"/>
        <w:adjustRightInd/>
        <w:snapToGrid w:val="0"/>
        <w:spacing w:line="240" w:lineRule="auto"/>
        <w:jc w:val="right"/>
        <w:textAlignment w:val="auto"/>
        <w:rPr>
          <w:rFonts w:hint="default" w:ascii="Times New Roman" w:hAnsi="Times New Roman" w:eastAsia="仿宋_GB2312" w:cs="Times New Roman"/>
          <w:b/>
          <w:bCs/>
          <w:szCs w:val="21"/>
          <w:highlight w:val="none"/>
        </w:rPr>
      </w:pPr>
      <w:r>
        <w:rPr>
          <w:rFonts w:hint="default" w:ascii="Times New Roman" w:hAnsi="Times New Roman" w:eastAsia="仿宋_GB2312" w:cs="Times New Roman"/>
          <w:b/>
          <w:bCs/>
          <w:szCs w:val="21"/>
          <w:highlight w:val="none"/>
        </w:rPr>
        <w:t>单位：元</w:t>
      </w:r>
    </w:p>
    <w:tbl>
      <w:tblPr>
        <w:tblStyle w:val="88"/>
        <w:tblW w:w="4999"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1534"/>
        <w:gridCol w:w="916"/>
        <w:gridCol w:w="1035"/>
        <w:gridCol w:w="1035"/>
        <w:gridCol w:w="936"/>
        <w:gridCol w:w="1000"/>
        <w:gridCol w:w="1310"/>
      </w:tblGrid>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vMerge w:val="restart"/>
            <w:tcBorders>
              <w:tl2br w:val="nil"/>
              <w:tr2bl w:val="nil"/>
            </w:tcBorders>
            <w:noWrap w:val="0"/>
            <w:vAlign w:val="center"/>
          </w:tcPr>
          <w:p>
            <w:pPr>
              <w:pStyle w:val="563"/>
              <w:pageBreakBefore w:val="0"/>
              <w:kinsoku/>
              <w:wordWrap/>
              <w:bidi w:val="0"/>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序号</w:t>
            </w:r>
          </w:p>
        </w:tc>
        <w:tc>
          <w:tcPr>
            <w:tcW w:w="899" w:type="pct"/>
            <w:vMerge w:val="restart"/>
            <w:tcBorders>
              <w:tl2br w:val="nil"/>
              <w:tr2bl w:val="nil"/>
            </w:tcBorders>
            <w:noWrap w:val="0"/>
            <w:vAlign w:val="center"/>
          </w:tcPr>
          <w:p>
            <w:pPr>
              <w:pStyle w:val="563"/>
              <w:pageBreakBefore w:val="0"/>
              <w:kinsoku/>
              <w:wordWrap/>
              <w:bidi w:val="0"/>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名称及规格</w:t>
            </w:r>
          </w:p>
        </w:tc>
        <w:tc>
          <w:tcPr>
            <w:tcW w:w="537" w:type="pct"/>
            <w:vMerge w:val="restart"/>
            <w:tcBorders>
              <w:tl2br w:val="nil"/>
              <w:tr2bl w:val="nil"/>
            </w:tcBorders>
            <w:noWrap w:val="0"/>
            <w:vAlign w:val="center"/>
          </w:tcPr>
          <w:p>
            <w:pPr>
              <w:pStyle w:val="563"/>
              <w:pageBreakBefore w:val="0"/>
              <w:kinsoku/>
              <w:wordWrap/>
              <w:bidi w:val="0"/>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台时费</w:t>
            </w:r>
          </w:p>
        </w:tc>
        <w:tc>
          <w:tcPr>
            <w:tcW w:w="3117" w:type="pct"/>
            <w:gridSpan w:val="5"/>
            <w:tcBorders>
              <w:tl2br w:val="nil"/>
              <w:tr2bl w:val="nil"/>
            </w:tcBorders>
            <w:noWrap w:val="0"/>
            <w:vAlign w:val="center"/>
          </w:tcPr>
          <w:p>
            <w:pPr>
              <w:pStyle w:val="563"/>
              <w:pageBreakBefore w:val="0"/>
              <w:kinsoku/>
              <w:wordWrap/>
              <w:bidi w:val="0"/>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其中</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vMerge w:val="continue"/>
            <w:tcBorders>
              <w:tl2br w:val="nil"/>
              <w:tr2bl w:val="nil"/>
            </w:tcBorders>
            <w:noWrap w:val="0"/>
            <w:vAlign w:val="center"/>
          </w:tcPr>
          <w:p>
            <w:pPr>
              <w:pStyle w:val="563"/>
              <w:pageBreakBefore w:val="0"/>
              <w:kinsoku/>
              <w:wordWrap/>
              <w:bidi w:val="0"/>
              <w:rPr>
                <w:rFonts w:hint="default" w:ascii="Times New Roman" w:hAnsi="Times New Roman" w:eastAsia="仿宋" w:cs="Times New Roman"/>
                <w:sz w:val="20"/>
                <w:szCs w:val="20"/>
                <w:highlight w:val="none"/>
              </w:rPr>
            </w:pPr>
          </w:p>
        </w:tc>
        <w:tc>
          <w:tcPr>
            <w:tcW w:w="899" w:type="pct"/>
            <w:vMerge w:val="continue"/>
            <w:tcBorders>
              <w:tl2br w:val="nil"/>
              <w:tr2bl w:val="nil"/>
            </w:tcBorders>
            <w:noWrap w:val="0"/>
            <w:vAlign w:val="center"/>
          </w:tcPr>
          <w:p>
            <w:pPr>
              <w:pStyle w:val="563"/>
              <w:pageBreakBefore w:val="0"/>
              <w:kinsoku/>
              <w:wordWrap/>
              <w:bidi w:val="0"/>
              <w:rPr>
                <w:rFonts w:hint="default" w:ascii="Times New Roman" w:hAnsi="Times New Roman" w:eastAsia="仿宋" w:cs="Times New Roman"/>
                <w:sz w:val="20"/>
                <w:szCs w:val="20"/>
                <w:highlight w:val="none"/>
              </w:rPr>
            </w:pPr>
          </w:p>
        </w:tc>
        <w:tc>
          <w:tcPr>
            <w:tcW w:w="537" w:type="pct"/>
            <w:vMerge w:val="continue"/>
            <w:tcBorders>
              <w:tl2br w:val="nil"/>
              <w:tr2bl w:val="nil"/>
            </w:tcBorders>
            <w:noWrap w:val="0"/>
            <w:vAlign w:val="center"/>
          </w:tcPr>
          <w:p>
            <w:pPr>
              <w:pStyle w:val="563"/>
              <w:pageBreakBefore w:val="0"/>
              <w:kinsoku/>
              <w:wordWrap/>
              <w:bidi w:val="0"/>
              <w:rPr>
                <w:rFonts w:hint="default" w:ascii="Times New Roman" w:hAnsi="Times New Roman" w:eastAsia="仿宋" w:cs="Times New Roman"/>
                <w:sz w:val="20"/>
                <w:szCs w:val="20"/>
                <w:highlight w:val="none"/>
              </w:rPr>
            </w:pPr>
          </w:p>
        </w:tc>
        <w:tc>
          <w:tcPr>
            <w:tcW w:w="607" w:type="pct"/>
            <w:tcBorders>
              <w:tl2br w:val="nil"/>
              <w:tr2bl w:val="nil"/>
            </w:tcBorders>
            <w:noWrap w:val="0"/>
            <w:vAlign w:val="center"/>
          </w:tcPr>
          <w:p>
            <w:pPr>
              <w:pStyle w:val="563"/>
              <w:pageBreakBefore w:val="0"/>
              <w:kinsoku/>
              <w:wordWrap/>
              <w:bidi w:val="0"/>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折旧费</w:t>
            </w:r>
          </w:p>
        </w:tc>
        <w:tc>
          <w:tcPr>
            <w:tcW w:w="607" w:type="pct"/>
            <w:tcBorders>
              <w:tl2br w:val="nil"/>
              <w:tr2bl w:val="nil"/>
            </w:tcBorders>
            <w:noWrap w:val="0"/>
            <w:vAlign w:val="center"/>
          </w:tcPr>
          <w:p>
            <w:pPr>
              <w:pStyle w:val="563"/>
              <w:pageBreakBefore w:val="0"/>
              <w:kinsoku/>
              <w:wordWrap/>
              <w:bidi w:val="0"/>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修理及替换设备费</w:t>
            </w:r>
          </w:p>
        </w:tc>
        <w:tc>
          <w:tcPr>
            <w:tcW w:w="549" w:type="pct"/>
            <w:tcBorders>
              <w:tl2br w:val="nil"/>
              <w:tr2bl w:val="nil"/>
            </w:tcBorders>
            <w:noWrap w:val="0"/>
            <w:vAlign w:val="center"/>
          </w:tcPr>
          <w:p>
            <w:pPr>
              <w:pStyle w:val="563"/>
              <w:pageBreakBefore w:val="0"/>
              <w:kinsoku/>
              <w:wordWrap/>
              <w:bidi w:val="0"/>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安拆费</w:t>
            </w:r>
          </w:p>
        </w:tc>
        <w:tc>
          <w:tcPr>
            <w:tcW w:w="586" w:type="pct"/>
            <w:tcBorders>
              <w:tl2br w:val="nil"/>
              <w:tr2bl w:val="nil"/>
            </w:tcBorders>
            <w:noWrap w:val="0"/>
            <w:vAlign w:val="center"/>
          </w:tcPr>
          <w:p>
            <w:pPr>
              <w:pStyle w:val="563"/>
              <w:pageBreakBefore w:val="0"/>
              <w:kinsoku/>
              <w:wordWrap/>
              <w:bidi w:val="0"/>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人工费</w:t>
            </w:r>
          </w:p>
        </w:tc>
        <w:tc>
          <w:tcPr>
            <w:tcW w:w="765" w:type="pct"/>
            <w:tcBorders>
              <w:tl2br w:val="nil"/>
              <w:tr2bl w:val="nil"/>
            </w:tcBorders>
            <w:noWrap w:val="0"/>
            <w:vAlign w:val="center"/>
          </w:tcPr>
          <w:p>
            <w:pPr>
              <w:pStyle w:val="563"/>
              <w:pageBreakBefore w:val="0"/>
              <w:kinsoku/>
              <w:wordWrap/>
              <w:bidi w:val="0"/>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动力燃料费</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tcBorders>
              <w:tl2br w:val="nil"/>
              <w:tr2bl w:val="nil"/>
            </w:tcBorders>
            <w:noWrap w:val="0"/>
            <w:vAlign w:val="center"/>
          </w:tcPr>
          <w:p>
            <w:pPr>
              <w:pStyle w:val="563"/>
              <w:pageBreakBefore w:val="0"/>
              <w:kinsoku/>
              <w:wordWrap/>
              <w:bidi w:val="0"/>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1</w:t>
            </w:r>
          </w:p>
        </w:tc>
        <w:tc>
          <w:tcPr>
            <w:tcW w:w="899" w:type="pct"/>
            <w:tcBorders>
              <w:tl2br w:val="nil"/>
              <w:tr2bl w:val="nil"/>
            </w:tcBorders>
            <w:noWrap w:val="0"/>
            <w:vAlign w:val="center"/>
          </w:tcPr>
          <w:p>
            <w:pPr>
              <w:pStyle w:val="563"/>
              <w:pageBreakBefore w:val="0"/>
              <w:kinsoku/>
              <w:wordWrap/>
              <w:bidi w:val="0"/>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推土机74kw</w:t>
            </w:r>
          </w:p>
        </w:tc>
        <w:tc>
          <w:tcPr>
            <w:tcW w:w="537" w:type="pct"/>
            <w:tcBorders>
              <w:tl2br w:val="nil"/>
              <w:tr2bl w:val="nil"/>
            </w:tcBorders>
            <w:noWrap w:val="0"/>
            <w:vAlign w:val="center"/>
          </w:tcPr>
          <w:p>
            <w:pPr>
              <w:pageBreakBefore w:val="0"/>
              <w:widowControl/>
              <w:kinsoku/>
              <w:wordWrap/>
              <w:bidi w:val="0"/>
              <w:jc w:val="center"/>
              <w:textAlignment w:val="center"/>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58.76</w:t>
            </w:r>
          </w:p>
        </w:tc>
        <w:tc>
          <w:tcPr>
            <w:tcW w:w="607" w:type="pct"/>
            <w:tcBorders>
              <w:tl2br w:val="nil"/>
              <w:tr2bl w:val="nil"/>
            </w:tcBorders>
            <w:noWrap w:val="0"/>
            <w:vAlign w:val="center"/>
          </w:tcPr>
          <w:p>
            <w:pPr>
              <w:pageBreakBefore w:val="0"/>
              <w:widowControl/>
              <w:kinsoku/>
              <w:wordWrap/>
              <w:bidi w:val="0"/>
              <w:jc w:val="center"/>
              <w:textAlignment w:val="center"/>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11.55</w:t>
            </w:r>
          </w:p>
        </w:tc>
        <w:tc>
          <w:tcPr>
            <w:tcW w:w="607" w:type="pct"/>
            <w:tcBorders>
              <w:tl2br w:val="nil"/>
              <w:tr2bl w:val="nil"/>
            </w:tcBorders>
            <w:noWrap w:val="0"/>
            <w:vAlign w:val="center"/>
          </w:tcPr>
          <w:p>
            <w:pPr>
              <w:pageBreakBefore w:val="0"/>
              <w:widowControl/>
              <w:kinsoku/>
              <w:wordWrap/>
              <w:bidi w:val="0"/>
              <w:jc w:val="center"/>
              <w:textAlignment w:val="center"/>
              <w:rPr>
                <w:rFonts w:hint="eastAsia" w:ascii="Times New Roman" w:hAnsi="Times New Roman" w:eastAsia="仿宋" w:cs="Times New Roman"/>
                <w:kern w:val="0"/>
                <w:sz w:val="20"/>
                <w:szCs w:val="20"/>
                <w:highlight w:val="none"/>
                <w:lang w:eastAsia="zh-CN"/>
              </w:rPr>
            </w:pPr>
            <w:r>
              <w:rPr>
                <w:rFonts w:hint="eastAsia" w:eastAsia="仿宋" w:cs="Times New Roman"/>
                <w:kern w:val="0"/>
                <w:sz w:val="20"/>
                <w:szCs w:val="20"/>
                <w:highlight w:val="none"/>
                <w:lang w:eastAsia="zh-CN"/>
              </w:rPr>
              <w:t>14.58</w:t>
            </w:r>
          </w:p>
        </w:tc>
        <w:tc>
          <w:tcPr>
            <w:tcW w:w="549" w:type="pct"/>
            <w:tcBorders>
              <w:tl2br w:val="nil"/>
              <w:tr2bl w:val="nil"/>
            </w:tcBorders>
            <w:noWrap w:val="0"/>
            <w:vAlign w:val="center"/>
          </w:tcPr>
          <w:p>
            <w:pPr>
              <w:pageBreakBefore w:val="0"/>
              <w:widowControl/>
              <w:kinsoku/>
              <w:wordWrap/>
              <w:bidi w:val="0"/>
              <w:jc w:val="center"/>
              <w:textAlignment w:val="center"/>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0.52</w:t>
            </w:r>
          </w:p>
        </w:tc>
        <w:tc>
          <w:tcPr>
            <w:tcW w:w="586" w:type="pct"/>
            <w:tcBorders>
              <w:tl2br w:val="nil"/>
              <w:tr2bl w:val="nil"/>
            </w:tcBorders>
            <w:noWrap w:val="0"/>
            <w:vAlign w:val="center"/>
          </w:tcPr>
          <w:p>
            <w:pPr>
              <w:pageBreakBefore w:val="0"/>
              <w:widowControl/>
              <w:kinsoku/>
              <w:wordWrap/>
              <w:bidi w:val="0"/>
              <w:jc w:val="center"/>
              <w:textAlignment w:val="center"/>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1.89</w:t>
            </w:r>
          </w:p>
        </w:tc>
        <w:tc>
          <w:tcPr>
            <w:tcW w:w="765" w:type="pct"/>
            <w:tcBorders>
              <w:tl2br w:val="nil"/>
              <w:tr2bl w:val="nil"/>
            </w:tcBorders>
            <w:noWrap w:val="0"/>
            <w:vAlign w:val="center"/>
          </w:tcPr>
          <w:p>
            <w:pPr>
              <w:pageBreakBefore w:val="0"/>
              <w:widowControl/>
              <w:kinsoku/>
              <w:wordWrap/>
              <w:bidi w:val="0"/>
              <w:jc w:val="center"/>
              <w:textAlignment w:val="center"/>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30.94</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tcBorders>
              <w:tl2br w:val="nil"/>
              <w:tr2bl w:val="nil"/>
            </w:tcBorders>
            <w:noWrap w:val="0"/>
            <w:vAlign w:val="center"/>
          </w:tcPr>
          <w:p>
            <w:pPr>
              <w:pStyle w:val="563"/>
              <w:pageBreakBefore w:val="0"/>
              <w:kinsoku/>
              <w:wordWrap/>
              <w:bidi w:val="0"/>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2</w:t>
            </w:r>
          </w:p>
        </w:tc>
        <w:tc>
          <w:tcPr>
            <w:tcW w:w="899" w:type="pct"/>
            <w:tcBorders>
              <w:tl2br w:val="nil"/>
              <w:tr2bl w:val="nil"/>
            </w:tcBorders>
            <w:noWrap w:val="0"/>
            <w:vAlign w:val="center"/>
          </w:tcPr>
          <w:p>
            <w:pPr>
              <w:pStyle w:val="563"/>
              <w:pageBreakBefore w:val="0"/>
              <w:kinsoku/>
              <w:wordWrap/>
              <w:bidi w:val="0"/>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拖拉机37kw</w:t>
            </w:r>
          </w:p>
        </w:tc>
        <w:tc>
          <w:tcPr>
            <w:tcW w:w="537" w:type="pct"/>
            <w:tcBorders>
              <w:tl2br w:val="nil"/>
              <w:tr2bl w:val="nil"/>
            </w:tcBorders>
            <w:noWrap w:val="0"/>
            <w:vAlign w:val="center"/>
          </w:tcPr>
          <w:p>
            <w:pPr>
              <w:pageBreakBefore w:val="0"/>
              <w:widowControl/>
              <w:kinsoku/>
              <w:wordWrap/>
              <w:bidi w:val="0"/>
              <w:jc w:val="center"/>
              <w:textAlignment w:val="center"/>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34.97</w:t>
            </w:r>
          </w:p>
        </w:tc>
        <w:tc>
          <w:tcPr>
            <w:tcW w:w="607" w:type="pct"/>
            <w:tcBorders>
              <w:tl2br w:val="nil"/>
              <w:tr2bl w:val="nil"/>
            </w:tcBorders>
            <w:noWrap w:val="0"/>
            <w:vAlign w:val="center"/>
          </w:tcPr>
          <w:p>
            <w:pPr>
              <w:pageBreakBefore w:val="0"/>
              <w:widowControl/>
              <w:kinsoku/>
              <w:wordWrap/>
              <w:bidi w:val="0"/>
              <w:jc w:val="center"/>
              <w:textAlignment w:val="center"/>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3.88</w:t>
            </w:r>
          </w:p>
        </w:tc>
        <w:tc>
          <w:tcPr>
            <w:tcW w:w="607" w:type="pct"/>
            <w:tcBorders>
              <w:tl2br w:val="nil"/>
              <w:tr2bl w:val="nil"/>
            </w:tcBorders>
            <w:noWrap w:val="0"/>
            <w:vAlign w:val="center"/>
          </w:tcPr>
          <w:p>
            <w:pPr>
              <w:pageBreakBefore w:val="0"/>
              <w:widowControl/>
              <w:kinsoku/>
              <w:wordWrap/>
              <w:bidi w:val="0"/>
              <w:jc w:val="center"/>
              <w:textAlignment w:val="center"/>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4.66</w:t>
            </w:r>
          </w:p>
        </w:tc>
        <w:tc>
          <w:tcPr>
            <w:tcW w:w="549" w:type="pct"/>
            <w:tcBorders>
              <w:tl2br w:val="nil"/>
              <w:tr2bl w:val="nil"/>
            </w:tcBorders>
            <w:noWrap w:val="0"/>
            <w:vAlign w:val="center"/>
          </w:tcPr>
          <w:p>
            <w:pPr>
              <w:pageBreakBefore w:val="0"/>
              <w:widowControl/>
              <w:kinsoku/>
              <w:wordWrap/>
              <w:bidi w:val="0"/>
              <w:jc w:val="center"/>
              <w:textAlignment w:val="center"/>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0.22</w:t>
            </w:r>
          </w:p>
        </w:tc>
        <w:tc>
          <w:tcPr>
            <w:tcW w:w="586" w:type="pct"/>
            <w:tcBorders>
              <w:tl2br w:val="nil"/>
              <w:tr2bl w:val="nil"/>
            </w:tcBorders>
            <w:noWrap w:val="0"/>
            <w:vAlign w:val="center"/>
          </w:tcPr>
          <w:p>
            <w:pPr>
              <w:pageBreakBefore w:val="0"/>
              <w:widowControl/>
              <w:kinsoku/>
              <w:wordWrap/>
              <w:bidi w:val="0"/>
              <w:jc w:val="center"/>
              <w:textAlignment w:val="center"/>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2.01</w:t>
            </w:r>
          </w:p>
        </w:tc>
        <w:tc>
          <w:tcPr>
            <w:tcW w:w="765" w:type="pct"/>
            <w:tcBorders>
              <w:tl2br w:val="nil"/>
              <w:tr2bl w:val="nil"/>
            </w:tcBorders>
            <w:noWrap w:val="0"/>
            <w:vAlign w:val="center"/>
          </w:tcPr>
          <w:p>
            <w:pPr>
              <w:pageBreakBefore w:val="0"/>
              <w:widowControl/>
              <w:kinsoku/>
              <w:wordWrap/>
              <w:bidi w:val="0"/>
              <w:jc w:val="center"/>
              <w:textAlignment w:val="center"/>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24.19</w:t>
            </w:r>
          </w:p>
        </w:tc>
      </w:tr>
    </w:tbl>
    <w:p>
      <w:pPr>
        <w:pageBreakBefore w:val="0"/>
        <w:kinsoku/>
        <w:wordWrap/>
        <w:bidi w:val="0"/>
        <w:spacing w:line="400" w:lineRule="exact"/>
        <w:rPr>
          <w:rFonts w:hint="default" w:ascii="Times New Roman" w:hAnsi="Times New Roman" w:eastAsia="仿宋_GB2312" w:cs="Times New Roman"/>
          <w:b/>
          <w:bCs/>
          <w:sz w:val="24"/>
          <w:highlight w:val="none"/>
        </w:rPr>
      </w:pPr>
    </w:p>
    <w:p>
      <w:pPr>
        <w:pageBreakBefore w:val="0"/>
        <w:kinsoku/>
        <w:wordWrap/>
        <w:bidi w:val="0"/>
        <w:spacing w:line="400" w:lineRule="exact"/>
        <w:jc w:val="center"/>
        <w:rPr>
          <w:rFonts w:hint="default" w:ascii="Times New Roman" w:hAnsi="Times New Roman" w:eastAsia="仿宋_GB2312" w:cs="Times New Roman"/>
          <w:b/>
          <w:bCs/>
          <w:sz w:val="24"/>
          <w:highlight w:val="none"/>
        </w:rPr>
      </w:pPr>
    </w:p>
    <w:p>
      <w:pPr>
        <w:pageBreakBefore w:val="0"/>
        <w:kinsoku/>
        <w:wordWrap/>
        <w:bidi w:val="0"/>
        <w:spacing w:line="400" w:lineRule="exact"/>
        <w:jc w:val="center"/>
        <w:rPr>
          <w:rFonts w:hint="default" w:ascii="Times New Roman" w:hAnsi="Times New Roman" w:eastAsia="仿宋_GB2312" w:cs="Times New Roman"/>
          <w:b/>
          <w:bCs/>
          <w:sz w:val="24"/>
          <w:highlight w:val="none"/>
        </w:rPr>
      </w:pPr>
    </w:p>
    <w:p>
      <w:pPr>
        <w:pageBreakBefore w:val="0"/>
        <w:widowControl/>
        <w:kinsoku/>
        <w:wordWrap/>
        <w:bidi w:val="0"/>
        <w:adjustRightInd w:val="0"/>
        <w:snapToGrid w:val="0"/>
        <w:spacing w:line="360" w:lineRule="auto"/>
        <w:jc w:val="center"/>
        <w:rPr>
          <w:rFonts w:hint="default" w:ascii="Times New Roman" w:hAnsi="Times New Roman" w:eastAsia="仿宋_GB2312" w:cs="Times New Roman"/>
          <w:b/>
          <w:kern w:val="0"/>
          <w:sz w:val="24"/>
          <w:szCs w:val="28"/>
          <w:highlight w:val="none"/>
        </w:rPr>
      </w:pPr>
    </w:p>
    <w:p>
      <w:pPr>
        <w:pageBreakBefore w:val="0"/>
        <w:widowControl/>
        <w:kinsoku/>
        <w:wordWrap/>
        <w:bidi w:val="0"/>
        <w:adjustRightInd w:val="0"/>
        <w:snapToGrid w:val="0"/>
        <w:spacing w:line="360" w:lineRule="auto"/>
        <w:jc w:val="center"/>
        <w:rPr>
          <w:rFonts w:hint="default" w:ascii="Times New Roman" w:hAnsi="Times New Roman" w:eastAsia="仿宋_GB2312" w:cs="Times New Roman"/>
          <w:b/>
          <w:kern w:val="0"/>
          <w:sz w:val="24"/>
          <w:szCs w:val="28"/>
          <w:highlight w:val="none"/>
        </w:rPr>
        <w:sectPr>
          <w:headerReference r:id="rId24" w:type="default"/>
          <w:pgSz w:w="11907" w:h="16840"/>
          <w:pgMar w:top="1418" w:right="1797" w:bottom="1418" w:left="1797" w:header="851" w:footer="992" w:gutter="0"/>
          <w:pgBorders>
            <w:top w:val="none" w:sz="0" w:space="0"/>
            <w:left w:val="none" w:sz="0" w:space="0"/>
            <w:bottom w:val="none" w:sz="0" w:space="0"/>
            <w:right w:val="none" w:sz="0" w:space="0"/>
          </w:pgBorders>
          <w:pgNumType w:fmt="decimal"/>
          <w:cols w:space="720" w:num="1"/>
          <w:docGrid w:linePitch="312" w:charSpace="0"/>
        </w:sect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right"/>
        <w:textAlignment w:val="auto"/>
        <w:rPr>
          <w:rFonts w:hint="default" w:ascii="Times New Roman" w:hAnsi="Times New Roman" w:eastAsia="仿宋_GB2312" w:cs="Times New Roman"/>
          <w:b/>
          <w:bCs/>
          <w:sz w:val="21"/>
          <w:szCs w:val="21"/>
          <w:highlight w:val="none"/>
        </w:rPr>
      </w:pPr>
      <w:r>
        <w:rPr>
          <w:rFonts w:hint="default" w:ascii="Times New Roman" w:hAnsi="Times New Roman" w:eastAsia="微软雅黑" w:cs="Times New Roman"/>
          <w:b w:val="0"/>
          <w:bCs w:val="0"/>
          <w:spacing w:val="2"/>
          <w:sz w:val="21"/>
          <w:szCs w:val="21"/>
        </w:rPr>
        <w:t>表7-1</w:t>
      </w:r>
      <w:r>
        <w:rPr>
          <w:rFonts w:hint="eastAsia" w:eastAsia="微软雅黑" w:cs="Times New Roman"/>
          <w:b w:val="0"/>
          <w:bCs w:val="0"/>
          <w:spacing w:val="2"/>
          <w:sz w:val="21"/>
          <w:szCs w:val="21"/>
          <w:lang w:val="en-US" w:eastAsia="zh-CN"/>
        </w:rPr>
        <w:t>0</w:t>
      </w:r>
      <w:r>
        <w:rPr>
          <w:rFonts w:hint="default" w:ascii="Times New Roman" w:hAnsi="Times New Roman" w:eastAsia="微软雅黑" w:cs="Times New Roman"/>
          <w:b w:val="0"/>
          <w:bCs w:val="0"/>
          <w:spacing w:val="2"/>
          <w:sz w:val="21"/>
          <w:szCs w:val="21"/>
          <w:lang w:val="en-US" w:eastAsia="zh-CN"/>
        </w:rPr>
        <w:t xml:space="preserve">  </w:t>
      </w:r>
      <w:r>
        <w:rPr>
          <w:rFonts w:hint="default" w:ascii="Times New Roman" w:hAnsi="Times New Roman" w:eastAsia="微软雅黑" w:cs="Times New Roman"/>
          <w:b w:val="0"/>
          <w:bCs w:val="0"/>
          <w:spacing w:val="2"/>
          <w:sz w:val="21"/>
          <w:szCs w:val="21"/>
        </w:rPr>
        <w:t>工程单价汇总表</w:t>
      </w:r>
      <w:r>
        <w:rPr>
          <w:rFonts w:hint="default" w:ascii="Times New Roman" w:hAnsi="Times New Roman" w:eastAsia="仿宋_GB2312" w:cs="Times New Roman"/>
          <w:b/>
          <w:bCs/>
          <w:sz w:val="21"/>
          <w:szCs w:val="21"/>
          <w:highlight w:val="none"/>
          <w:lang w:val="en-US" w:eastAsia="zh-CN"/>
        </w:rPr>
        <w:t xml:space="preserve">                                                   </w:t>
      </w:r>
      <w:r>
        <w:rPr>
          <w:rFonts w:hint="default" w:ascii="Times New Roman" w:hAnsi="Times New Roman" w:eastAsia="仿宋_GB2312" w:cs="Times New Roman"/>
          <w:b/>
          <w:bCs/>
          <w:sz w:val="21"/>
          <w:szCs w:val="21"/>
          <w:highlight w:val="none"/>
        </w:rPr>
        <w:t>单位：元</w:t>
      </w:r>
    </w:p>
    <w:tbl>
      <w:tblPr>
        <w:tblStyle w:val="88"/>
        <w:tblW w:w="4996" w:type="pct"/>
        <w:jc w:val="center"/>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691"/>
        <w:gridCol w:w="1024"/>
        <w:gridCol w:w="1672"/>
        <w:gridCol w:w="756"/>
        <w:gridCol w:w="975"/>
        <w:gridCol w:w="825"/>
        <w:gridCol w:w="840"/>
        <w:gridCol w:w="870"/>
        <w:gridCol w:w="900"/>
        <w:gridCol w:w="885"/>
        <w:gridCol w:w="901"/>
        <w:gridCol w:w="884"/>
        <w:gridCol w:w="810"/>
        <w:gridCol w:w="1067"/>
        <w:gridCol w:w="1109"/>
      </w:tblGrid>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43"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20"/>
                <w:szCs w:val="20"/>
                <w:highlight w:val="none"/>
              </w:rPr>
            </w:pPr>
            <w:r>
              <w:rPr>
                <w:rFonts w:hint="default" w:ascii="Times New Roman" w:hAnsi="Times New Roman" w:eastAsia="仿宋" w:cs="Times New Roman"/>
                <w:b/>
                <w:bCs/>
                <w:kern w:val="0"/>
                <w:sz w:val="20"/>
                <w:szCs w:val="20"/>
                <w:highlight w:val="none"/>
              </w:rPr>
              <w:t>序号</w:t>
            </w:r>
          </w:p>
        </w:tc>
        <w:tc>
          <w:tcPr>
            <w:tcW w:w="360"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eastAsia" w:ascii="Times New Roman" w:hAnsi="Times New Roman" w:eastAsia="仿宋" w:cs="Times New Roman"/>
                <w:b/>
                <w:bCs/>
                <w:kern w:val="0"/>
                <w:sz w:val="20"/>
                <w:szCs w:val="20"/>
                <w:highlight w:val="none"/>
                <w:lang w:val="en-US" w:eastAsia="zh-CN"/>
              </w:rPr>
            </w:pPr>
            <w:r>
              <w:rPr>
                <w:rFonts w:hint="eastAsia" w:eastAsia="仿宋" w:cs="Times New Roman"/>
                <w:b/>
                <w:bCs/>
                <w:kern w:val="0"/>
                <w:sz w:val="20"/>
                <w:szCs w:val="20"/>
                <w:highlight w:val="none"/>
                <w:lang w:val="en-US" w:eastAsia="zh-CN"/>
              </w:rPr>
              <w:t>定额编号</w:t>
            </w:r>
          </w:p>
        </w:tc>
        <w:tc>
          <w:tcPr>
            <w:tcW w:w="588"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20"/>
                <w:szCs w:val="20"/>
                <w:highlight w:val="none"/>
              </w:rPr>
            </w:pPr>
            <w:r>
              <w:rPr>
                <w:rFonts w:hint="default" w:ascii="Times New Roman" w:hAnsi="Times New Roman" w:eastAsia="仿宋" w:cs="Times New Roman"/>
                <w:b/>
                <w:bCs/>
                <w:kern w:val="0"/>
                <w:sz w:val="20"/>
                <w:szCs w:val="20"/>
                <w:highlight w:val="none"/>
              </w:rPr>
              <w:t>名称</w:t>
            </w:r>
          </w:p>
        </w:tc>
        <w:tc>
          <w:tcPr>
            <w:tcW w:w="266"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20"/>
                <w:szCs w:val="20"/>
                <w:highlight w:val="none"/>
              </w:rPr>
            </w:pPr>
            <w:r>
              <w:rPr>
                <w:rFonts w:hint="default" w:ascii="Times New Roman" w:hAnsi="Times New Roman" w:eastAsia="仿宋" w:cs="Times New Roman"/>
                <w:b/>
                <w:bCs/>
                <w:kern w:val="0"/>
                <w:sz w:val="20"/>
                <w:szCs w:val="20"/>
                <w:highlight w:val="none"/>
              </w:rPr>
              <w:t>单位</w:t>
            </w:r>
          </w:p>
        </w:tc>
        <w:tc>
          <w:tcPr>
            <w:tcW w:w="343"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20"/>
                <w:szCs w:val="20"/>
                <w:highlight w:val="none"/>
              </w:rPr>
            </w:pPr>
            <w:r>
              <w:rPr>
                <w:rFonts w:hint="default" w:ascii="Times New Roman" w:hAnsi="Times New Roman" w:eastAsia="仿宋" w:cs="Times New Roman"/>
                <w:b/>
                <w:bCs/>
                <w:kern w:val="0"/>
                <w:sz w:val="20"/>
                <w:szCs w:val="20"/>
                <w:highlight w:val="none"/>
              </w:rPr>
              <w:t>单价（元）</w:t>
            </w:r>
          </w:p>
        </w:tc>
        <w:tc>
          <w:tcPr>
            <w:tcW w:w="290"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20"/>
                <w:szCs w:val="20"/>
                <w:highlight w:val="none"/>
              </w:rPr>
            </w:pPr>
            <w:r>
              <w:rPr>
                <w:rFonts w:hint="default" w:ascii="Times New Roman" w:hAnsi="Times New Roman" w:eastAsia="仿宋" w:cs="Times New Roman"/>
                <w:b/>
                <w:bCs/>
                <w:kern w:val="0"/>
                <w:sz w:val="20"/>
                <w:szCs w:val="20"/>
                <w:highlight w:val="none"/>
              </w:rPr>
              <w:t>人工费</w:t>
            </w:r>
          </w:p>
        </w:tc>
        <w:tc>
          <w:tcPr>
            <w:tcW w:w="295"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20"/>
                <w:szCs w:val="20"/>
                <w:highlight w:val="none"/>
              </w:rPr>
            </w:pPr>
            <w:r>
              <w:rPr>
                <w:rFonts w:hint="default" w:ascii="Times New Roman" w:hAnsi="Times New Roman" w:eastAsia="仿宋" w:cs="Times New Roman"/>
                <w:b/>
                <w:bCs/>
                <w:kern w:val="0"/>
                <w:sz w:val="20"/>
                <w:szCs w:val="20"/>
                <w:highlight w:val="none"/>
              </w:rPr>
              <w:t>材料费</w:t>
            </w:r>
          </w:p>
        </w:tc>
        <w:tc>
          <w:tcPr>
            <w:tcW w:w="306"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20"/>
                <w:szCs w:val="20"/>
                <w:highlight w:val="none"/>
              </w:rPr>
            </w:pPr>
            <w:r>
              <w:rPr>
                <w:rFonts w:hint="default" w:ascii="Times New Roman" w:hAnsi="Times New Roman" w:eastAsia="仿宋" w:cs="Times New Roman"/>
                <w:b/>
                <w:bCs/>
                <w:kern w:val="0"/>
                <w:sz w:val="20"/>
                <w:szCs w:val="20"/>
                <w:highlight w:val="none"/>
              </w:rPr>
              <w:t>机械使用费</w:t>
            </w:r>
          </w:p>
        </w:tc>
        <w:tc>
          <w:tcPr>
            <w:tcW w:w="316"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20"/>
                <w:szCs w:val="20"/>
                <w:highlight w:val="none"/>
              </w:rPr>
            </w:pPr>
            <w:r>
              <w:rPr>
                <w:rFonts w:hint="default" w:ascii="Times New Roman" w:hAnsi="Times New Roman" w:eastAsia="仿宋" w:cs="Times New Roman"/>
                <w:b/>
                <w:bCs/>
                <w:kern w:val="0"/>
                <w:sz w:val="20"/>
                <w:szCs w:val="20"/>
                <w:highlight w:val="none"/>
              </w:rPr>
              <w:t>其他直接费</w:t>
            </w:r>
          </w:p>
        </w:tc>
        <w:tc>
          <w:tcPr>
            <w:tcW w:w="311"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20"/>
                <w:szCs w:val="20"/>
                <w:highlight w:val="none"/>
              </w:rPr>
            </w:pPr>
            <w:r>
              <w:rPr>
                <w:rFonts w:hint="default" w:ascii="Times New Roman" w:hAnsi="Times New Roman" w:eastAsia="仿宋" w:cs="Times New Roman"/>
                <w:b/>
                <w:bCs/>
                <w:kern w:val="0"/>
                <w:sz w:val="20"/>
                <w:szCs w:val="20"/>
                <w:highlight w:val="none"/>
              </w:rPr>
              <w:t>现场</w:t>
            </w:r>
          </w:p>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b/>
                <w:bCs/>
                <w:kern w:val="0"/>
                <w:sz w:val="20"/>
                <w:szCs w:val="20"/>
                <w:highlight w:val="none"/>
              </w:rPr>
              <w:t>经费</w:t>
            </w:r>
          </w:p>
        </w:tc>
        <w:tc>
          <w:tcPr>
            <w:tcW w:w="317"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20"/>
                <w:szCs w:val="20"/>
                <w:highlight w:val="none"/>
              </w:rPr>
            </w:pPr>
            <w:r>
              <w:rPr>
                <w:rFonts w:hint="default" w:ascii="Times New Roman" w:hAnsi="Times New Roman" w:eastAsia="仿宋" w:cs="Times New Roman"/>
                <w:b/>
                <w:bCs/>
                <w:kern w:val="0"/>
                <w:sz w:val="20"/>
                <w:szCs w:val="20"/>
                <w:highlight w:val="none"/>
              </w:rPr>
              <w:t>间接费</w:t>
            </w:r>
          </w:p>
        </w:tc>
        <w:tc>
          <w:tcPr>
            <w:tcW w:w="311"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20"/>
                <w:szCs w:val="20"/>
                <w:highlight w:val="none"/>
              </w:rPr>
            </w:pPr>
            <w:r>
              <w:rPr>
                <w:rFonts w:hint="default" w:ascii="Times New Roman" w:hAnsi="Times New Roman" w:eastAsia="仿宋" w:cs="Times New Roman"/>
                <w:b/>
                <w:bCs/>
                <w:kern w:val="0"/>
                <w:sz w:val="20"/>
                <w:szCs w:val="20"/>
                <w:highlight w:val="none"/>
              </w:rPr>
              <w:t>企业</w:t>
            </w:r>
          </w:p>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b/>
                <w:bCs/>
                <w:kern w:val="0"/>
                <w:sz w:val="20"/>
                <w:szCs w:val="20"/>
                <w:highlight w:val="none"/>
              </w:rPr>
              <w:t>利润</w:t>
            </w:r>
          </w:p>
        </w:tc>
        <w:tc>
          <w:tcPr>
            <w:tcW w:w="285"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20"/>
                <w:szCs w:val="20"/>
                <w:highlight w:val="none"/>
              </w:rPr>
            </w:pPr>
            <w:r>
              <w:rPr>
                <w:rFonts w:hint="default" w:ascii="Times New Roman" w:hAnsi="Times New Roman" w:eastAsia="仿宋" w:cs="Times New Roman"/>
                <w:b/>
                <w:bCs/>
                <w:kern w:val="0"/>
                <w:sz w:val="20"/>
                <w:szCs w:val="20"/>
                <w:highlight w:val="none"/>
              </w:rPr>
              <w:t>价差</w:t>
            </w:r>
          </w:p>
        </w:tc>
        <w:tc>
          <w:tcPr>
            <w:tcW w:w="375"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20"/>
                <w:szCs w:val="20"/>
                <w:highlight w:val="none"/>
              </w:rPr>
            </w:pPr>
            <w:r>
              <w:rPr>
                <w:rFonts w:hint="default" w:ascii="Times New Roman" w:hAnsi="Times New Roman" w:eastAsia="仿宋" w:cs="Times New Roman"/>
                <w:b/>
                <w:bCs/>
                <w:kern w:val="0"/>
                <w:sz w:val="20"/>
                <w:szCs w:val="20"/>
                <w:highlight w:val="none"/>
              </w:rPr>
              <w:t>税金</w:t>
            </w:r>
          </w:p>
        </w:tc>
        <w:tc>
          <w:tcPr>
            <w:tcW w:w="390"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20"/>
                <w:szCs w:val="20"/>
                <w:highlight w:val="none"/>
              </w:rPr>
            </w:pPr>
            <w:r>
              <w:rPr>
                <w:rFonts w:hint="default" w:ascii="Times New Roman" w:hAnsi="Times New Roman" w:eastAsia="仿宋" w:cs="Times New Roman"/>
                <w:b/>
                <w:bCs/>
                <w:kern w:val="0"/>
                <w:sz w:val="20"/>
                <w:szCs w:val="20"/>
                <w:highlight w:val="none"/>
              </w:rPr>
              <w:t>扩大系数</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43"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1</w:t>
            </w:r>
          </w:p>
        </w:tc>
        <w:tc>
          <w:tcPr>
            <w:tcW w:w="360"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lang w:val="en-US" w:eastAsia="zh-CN"/>
              </w:rPr>
            </w:pPr>
            <w:r>
              <w:rPr>
                <w:rFonts w:hint="eastAsia" w:eastAsia="仿宋" w:cs="Times New Roman"/>
                <w:kern w:val="0"/>
                <w:sz w:val="20"/>
                <w:szCs w:val="20"/>
                <w:highlight w:val="none"/>
                <w:lang w:val="en-US" w:eastAsia="zh-CN"/>
              </w:rPr>
              <w:t>08045</w:t>
            </w:r>
          </w:p>
        </w:tc>
        <w:tc>
          <w:tcPr>
            <w:tcW w:w="588"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全面整地</w:t>
            </w:r>
          </w:p>
        </w:tc>
        <w:tc>
          <w:tcPr>
            <w:tcW w:w="266"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hm²</w:t>
            </w:r>
          </w:p>
        </w:tc>
        <w:tc>
          <w:tcPr>
            <w:tcW w:w="343"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sz w:val="20"/>
                <w:szCs w:val="20"/>
                <w:highlight w:val="none"/>
                <w:lang w:val="en-US" w:eastAsia="zh-CN"/>
              </w:rPr>
            </w:pPr>
            <w:r>
              <w:rPr>
                <w:rFonts w:hint="default" w:ascii="Times New Roman" w:hAnsi="Times New Roman" w:eastAsia="仿宋" w:cs="Times New Roman"/>
                <w:sz w:val="20"/>
                <w:szCs w:val="20"/>
                <w:highlight w:val="none"/>
                <w:lang w:val="en-US" w:eastAsia="zh-CN"/>
              </w:rPr>
              <w:t>1529.35</w:t>
            </w:r>
          </w:p>
        </w:tc>
        <w:tc>
          <w:tcPr>
            <w:tcW w:w="290"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default" w:ascii="Times New Roman" w:hAnsi="Times New Roman" w:eastAsia="仿宋" w:cs="Times New Roman"/>
                <w:kern w:val="2"/>
                <w:sz w:val="20"/>
                <w:szCs w:val="20"/>
                <w:highlight w:val="none"/>
                <w:lang w:val="en-US" w:eastAsia="zh-CN"/>
              </w:rPr>
              <w:t>380.00</w:t>
            </w:r>
          </w:p>
        </w:tc>
        <w:tc>
          <w:tcPr>
            <w:tcW w:w="295"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default" w:ascii="Times New Roman" w:hAnsi="Times New Roman" w:eastAsia="仿宋" w:cs="Times New Roman"/>
                <w:kern w:val="2"/>
                <w:sz w:val="20"/>
                <w:szCs w:val="20"/>
                <w:highlight w:val="none"/>
                <w:lang w:val="en-US" w:eastAsia="zh-CN"/>
              </w:rPr>
              <w:t xml:space="preserve">249.17 </w:t>
            </w:r>
          </w:p>
        </w:tc>
        <w:tc>
          <w:tcPr>
            <w:tcW w:w="306"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default" w:ascii="Times New Roman" w:hAnsi="Times New Roman" w:eastAsia="仿宋" w:cs="Times New Roman"/>
                <w:kern w:val="2"/>
                <w:sz w:val="20"/>
                <w:szCs w:val="20"/>
                <w:highlight w:val="none"/>
                <w:lang w:val="en-US" w:eastAsia="zh-CN"/>
              </w:rPr>
              <w:t>279.76</w:t>
            </w:r>
          </w:p>
        </w:tc>
        <w:tc>
          <w:tcPr>
            <w:tcW w:w="316"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default" w:ascii="Times New Roman" w:hAnsi="Times New Roman" w:eastAsia="仿宋" w:cs="Times New Roman"/>
                <w:kern w:val="2"/>
                <w:sz w:val="20"/>
                <w:szCs w:val="20"/>
                <w:highlight w:val="none"/>
                <w:lang w:val="en-US" w:eastAsia="zh-CN"/>
              </w:rPr>
              <w:t>36.36</w:t>
            </w:r>
          </w:p>
        </w:tc>
        <w:tc>
          <w:tcPr>
            <w:tcW w:w="311"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default" w:ascii="Times New Roman" w:hAnsi="Times New Roman" w:eastAsia="仿宋" w:cs="Times New Roman"/>
                <w:kern w:val="2"/>
                <w:sz w:val="20"/>
                <w:szCs w:val="20"/>
                <w:highlight w:val="none"/>
                <w:lang w:val="en-US" w:eastAsia="zh-CN"/>
              </w:rPr>
              <w:t>45.45</w:t>
            </w:r>
          </w:p>
        </w:tc>
        <w:tc>
          <w:tcPr>
            <w:tcW w:w="317"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default" w:ascii="Times New Roman" w:hAnsi="Times New Roman" w:eastAsia="仿宋" w:cs="Times New Roman"/>
                <w:kern w:val="2"/>
                <w:sz w:val="20"/>
                <w:szCs w:val="20"/>
                <w:highlight w:val="none"/>
                <w:lang w:val="en-US" w:eastAsia="zh-CN"/>
              </w:rPr>
              <w:t>43.59</w:t>
            </w:r>
          </w:p>
        </w:tc>
        <w:tc>
          <w:tcPr>
            <w:tcW w:w="311"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default" w:ascii="Times New Roman" w:hAnsi="Times New Roman" w:eastAsia="仿宋" w:cs="Times New Roman"/>
                <w:kern w:val="2"/>
                <w:sz w:val="20"/>
                <w:szCs w:val="20"/>
                <w:highlight w:val="none"/>
                <w:lang w:val="en-US" w:eastAsia="zh-CN"/>
              </w:rPr>
              <w:t>72.40</w:t>
            </w:r>
          </w:p>
        </w:tc>
        <w:tc>
          <w:tcPr>
            <w:tcW w:w="285"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default" w:ascii="Times New Roman" w:hAnsi="Times New Roman" w:eastAsia="仿宋" w:cs="Times New Roman"/>
                <w:kern w:val="2"/>
                <w:sz w:val="20"/>
                <w:szCs w:val="20"/>
                <w:highlight w:val="none"/>
                <w:lang w:val="en-US" w:eastAsia="zh-CN"/>
              </w:rPr>
              <w:t>168.80</w:t>
            </w:r>
          </w:p>
        </w:tc>
        <w:tc>
          <w:tcPr>
            <w:tcW w:w="375"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default" w:ascii="Times New Roman" w:hAnsi="Times New Roman" w:eastAsia="仿宋" w:cs="Times New Roman"/>
                <w:kern w:val="2"/>
                <w:sz w:val="20"/>
                <w:szCs w:val="20"/>
                <w:highlight w:val="none"/>
                <w:lang w:val="en-US" w:eastAsia="zh-CN"/>
              </w:rPr>
              <w:t>114.80</w:t>
            </w:r>
          </w:p>
        </w:tc>
        <w:tc>
          <w:tcPr>
            <w:tcW w:w="390"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default" w:ascii="Times New Roman" w:hAnsi="Times New Roman" w:eastAsia="仿宋" w:cs="Times New Roman"/>
                <w:kern w:val="2"/>
                <w:sz w:val="20"/>
                <w:szCs w:val="20"/>
                <w:highlight w:val="none"/>
                <w:lang w:val="en-US" w:eastAsia="zh-CN"/>
              </w:rPr>
              <w:t>139.03</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43"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lang w:val="en-US" w:eastAsia="zh-CN" w:bidi="ar-SA"/>
              </w:rPr>
            </w:pPr>
            <w:r>
              <w:rPr>
                <w:rFonts w:hint="default" w:ascii="Times New Roman" w:hAnsi="Times New Roman" w:eastAsia="仿宋" w:cs="Times New Roman"/>
                <w:kern w:val="0"/>
                <w:sz w:val="20"/>
                <w:szCs w:val="20"/>
                <w:highlight w:val="none"/>
                <w:lang w:val="en-US" w:eastAsia="zh-CN"/>
              </w:rPr>
              <w:t>2</w:t>
            </w:r>
          </w:p>
        </w:tc>
        <w:tc>
          <w:tcPr>
            <w:tcW w:w="360"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lang w:val="en-US" w:eastAsia="zh-CN"/>
              </w:rPr>
            </w:pPr>
            <w:r>
              <w:rPr>
                <w:rFonts w:hint="eastAsia" w:eastAsia="仿宋" w:cs="Times New Roman"/>
                <w:kern w:val="0"/>
                <w:sz w:val="20"/>
                <w:szCs w:val="20"/>
                <w:highlight w:val="none"/>
                <w:lang w:val="en-US" w:eastAsia="zh-CN"/>
              </w:rPr>
              <w:t>03053</w:t>
            </w:r>
          </w:p>
        </w:tc>
        <w:tc>
          <w:tcPr>
            <w:tcW w:w="588"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编织袋砌筑</w:t>
            </w:r>
          </w:p>
        </w:tc>
        <w:tc>
          <w:tcPr>
            <w:tcW w:w="266"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sz w:val="20"/>
                <w:szCs w:val="20"/>
                <w:highlight w:val="none"/>
                <w:lang w:val="en-US" w:eastAsia="zh-CN"/>
              </w:rPr>
            </w:pPr>
            <w:r>
              <w:rPr>
                <w:rFonts w:hint="eastAsia" w:eastAsia="仿宋" w:cs="Times New Roman"/>
                <w:sz w:val="20"/>
                <w:szCs w:val="20"/>
                <w:highlight w:val="none"/>
                <w:lang w:val="en-US" w:eastAsia="zh-CN"/>
              </w:rPr>
              <w:t>100</w:t>
            </w:r>
            <w:r>
              <w:rPr>
                <w:rFonts w:hint="default" w:ascii="Times New Roman" w:hAnsi="Times New Roman" w:eastAsia="仿宋" w:cs="Times New Roman"/>
                <w:sz w:val="20"/>
                <w:szCs w:val="20"/>
                <w:highlight w:val="none"/>
                <w:lang w:eastAsia="zh-CN"/>
              </w:rPr>
              <w:t>m³</w:t>
            </w:r>
          </w:p>
        </w:tc>
        <w:tc>
          <w:tcPr>
            <w:tcW w:w="343"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sz w:val="20"/>
                <w:szCs w:val="20"/>
                <w:highlight w:val="none"/>
                <w:lang w:val="en-US" w:eastAsia="zh-CN"/>
              </w:rPr>
            </w:pPr>
            <w:r>
              <w:rPr>
                <w:rFonts w:hint="eastAsia" w:eastAsia="仿宋" w:cs="Times New Roman"/>
                <w:sz w:val="20"/>
                <w:szCs w:val="20"/>
                <w:highlight w:val="none"/>
                <w:lang w:val="en-US" w:eastAsia="zh-CN"/>
              </w:rPr>
              <w:t>53478.78</w:t>
            </w:r>
          </w:p>
        </w:tc>
        <w:tc>
          <w:tcPr>
            <w:tcW w:w="290"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eastAsia" w:eastAsia="仿宋" w:cs="Times New Roman"/>
                <w:kern w:val="2"/>
                <w:sz w:val="20"/>
                <w:szCs w:val="20"/>
                <w:highlight w:val="none"/>
                <w:lang w:val="en-US" w:eastAsia="zh-CN"/>
              </w:rPr>
              <w:t>23240</w:t>
            </w:r>
          </w:p>
        </w:tc>
        <w:tc>
          <w:tcPr>
            <w:tcW w:w="295"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eastAsia" w:eastAsia="仿宋" w:cs="Times New Roman"/>
                <w:kern w:val="2"/>
                <w:sz w:val="20"/>
                <w:szCs w:val="20"/>
                <w:highlight w:val="none"/>
                <w:lang w:val="en-US" w:eastAsia="zh-CN"/>
              </w:rPr>
              <w:t>3333</w:t>
            </w:r>
          </w:p>
        </w:tc>
        <w:tc>
          <w:tcPr>
            <w:tcW w:w="306"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p>
        </w:tc>
        <w:tc>
          <w:tcPr>
            <w:tcW w:w="316"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eastAsia" w:eastAsia="仿宋" w:cs="Times New Roman"/>
                <w:kern w:val="2"/>
                <w:sz w:val="20"/>
                <w:szCs w:val="20"/>
                <w:highlight w:val="none"/>
                <w:lang w:val="en-US" w:eastAsia="zh-CN"/>
              </w:rPr>
              <w:t>1062.92</w:t>
            </w:r>
          </w:p>
        </w:tc>
        <w:tc>
          <w:tcPr>
            <w:tcW w:w="311"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eastAsia" w:eastAsia="仿宋" w:cs="Times New Roman"/>
                <w:kern w:val="2"/>
                <w:sz w:val="20"/>
                <w:szCs w:val="20"/>
                <w:highlight w:val="none"/>
                <w:lang w:val="en-US" w:eastAsia="zh-CN"/>
              </w:rPr>
              <w:t>1328.65</w:t>
            </w:r>
          </w:p>
        </w:tc>
        <w:tc>
          <w:tcPr>
            <w:tcW w:w="317"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eastAsia" w:eastAsia="仿宋" w:cs="Times New Roman"/>
                <w:kern w:val="2"/>
                <w:sz w:val="20"/>
                <w:szCs w:val="20"/>
                <w:highlight w:val="none"/>
                <w:lang w:val="en-US" w:eastAsia="zh-CN"/>
              </w:rPr>
              <w:t>1800.59</w:t>
            </w:r>
          </w:p>
        </w:tc>
        <w:tc>
          <w:tcPr>
            <w:tcW w:w="311"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eastAsia" w:eastAsia="仿宋" w:cs="Times New Roman"/>
                <w:kern w:val="2"/>
                <w:sz w:val="20"/>
                <w:szCs w:val="20"/>
                <w:highlight w:val="none"/>
                <w:lang w:val="en-US" w:eastAsia="zh-CN"/>
              </w:rPr>
              <w:t>1879.81</w:t>
            </w:r>
          </w:p>
        </w:tc>
        <w:tc>
          <w:tcPr>
            <w:tcW w:w="285"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p>
        </w:tc>
        <w:tc>
          <w:tcPr>
            <w:tcW w:w="375"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eastAsia" w:eastAsia="仿宋" w:cs="Times New Roman"/>
                <w:kern w:val="2"/>
                <w:sz w:val="20"/>
                <w:szCs w:val="20"/>
                <w:highlight w:val="none"/>
                <w:lang w:val="en-US" w:eastAsia="zh-CN"/>
              </w:rPr>
              <w:t>4014.25</w:t>
            </w:r>
          </w:p>
        </w:tc>
        <w:tc>
          <w:tcPr>
            <w:tcW w:w="390"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eastAsia" w:eastAsia="仿宋" w:cs="Times New Roman"/>
                <w:kern w:val="2"/>
                <w:sz w:val="20"/>
                <w:szCs w:val="20"/>
                <w:highlight w:val="none"/>
                <w:lang w:val="en-US" w:eastAsia="zh-CN"/>
              </w:rPr>
              <w:t>4861.71</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43"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lang w:val="en-US" w:eastAsia="zh-CN" w:bidi="ar-SA"/>
              </w:rPr>
            </w:pPr>
            <w:r>
              <w:rPr>
                <w:rFonts w:hint="default" w:ascii="Times New Roman" w:hAnsi="Times New Roman" w:eastAsia="仿宋" w:cs="Times New Roman"/>
                <w:kern w:val="0"/>
                <w:sz w:val="20"/>
                <w:szCs w:val="20"/>
                <w:highlight w:val="none"/>
                <w:lang w:val="en-US" w:eastAsia="zh-CN"/>
              </w:rPr>
              <w:t>3</w:t>
            </w:r>
          </w:p>
        </w:tc>
        <w:tc>
          <w:tcPr>
            <w:tcW w:w="360"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lang w:val="en-US" w:eastAsia="zh-CN"/>
              </w:rPr>
            </w:pPr>
            <w:r>
              <w:rPr>
                <w:rFonts w:hint="eastAsia" w:eastAsia="仿宋" w:cs="Times New Roman"/>
                <w:kern w:val="0"/>
                <w:sz w:val="20"/>
                <w:szCs w:val="20"/>
                <w:highlight w:val="none"/>
                <w:lang w:val="en-US" w:eastAsia="zh-CN"/>
              </w:rPr>
              <w:t>03054</w:t>
            </w:r>
          </w:p>
        </w:tc>
        <w:tc>
          <w:tcPr>
            <w:tcW w:w="588"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编织袋拆除</w:t>
            </w:r>
          </w:p>
        </w:tc>
        <w:tc>
          <w:tcPr>
            <w:tcW w:w="266"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sz w:val="20"/>
                <w:szCs w:val="20"/>
                <w:highlight w:val="none"/>
              </w:rPr>
            </w:pPr>
            <w:r>
              <w:rPr>
                <w:rFonts w:hint="eastAsia" w:eastAsia="仿宋" w:cs="Times New Roman"/>
                <w:sz w:val="20"/>
                <w:szCs w:val="20"/>
                <w:highlight w:val="none"/>
                <w:lang w:val="en-US" w:eastAsia="zh-CN"/>
              </w:rPr>
              <w:t>100</w:t>
            </w:r>
            <w:r>
              <w:rPr>
                <w:rFonts w:hint="default" w:ascii="Times New Roman" w:hAnsi="Times New Roman" w:eastAsia="仿宋" w:cs="Times New Roman"/>
                <w:sz w:val="20"/>
                <w:szCs w:val="20"/>
                <w:highlight w:val="none"/>
                <w:lang w:eastAsia="zh-CN"/>
              </w:rPr>
              <w:t>m³</w:t>
            </w:r>
          </w:p>
        </w:tc>
        <w:tc>
          <w:tcPr>
            <w:tcW w:w="343"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sz w:val="20"/>
                <w:szCs w:val="20"/>
                <w:highlight w:val="none"/>
                <w:lang w:val="en-US" w:eastAsia="zh-CN"/>
              </w:rPr>
            </w:pPr>
            <w:r>
              <w:rPr>
                <w:rFonts w:hint="eastAsia" w:eastAsia="仿宋" w:cs="Times New Roman"/>
                <w:sz w:val="20"/>
                <w:szCs w:val="20"/>
                <w:highlight w:val="none"/>
                <w:lang w:val="en-US" w:eastAsia="zh-CN"/>
              </w:rPr>
              <w:t>5052.5</w:t>
            </w:r>
          </w:p>
        </w:tc>
        <w:tc>
          <w:tcPr>
            <w:tcW w:w="290"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eastAsia" w:eastAsia="仿宋" w:cs="Times New Roman"/>
                <w:kern w:val="2"/>
                <w:sz w:val="20"/>
                <w:szCs w:val="20"/>
                <w:highlight w:val="none"/>
                <w:lang w:val="en-US" w:eastAsia="zh-CN"/>
              </w:rPr>
              <w:t>3460.8</w:t>
            </w:r>
          </w:p>
        </w:tc>
        <w:tc>
          <w:tcPr>
            <w:tcW w:w="295"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eastAsia" w:eastAsia="仿宋" w:cs="Times New Roman"/>
                <w:kern w:val="2"/>
                <w:sz w:val="20"/>
                <w:szCs w:val="20"/>
                <w:highlight w:val="none"/>
                <w:lang w:val="en-US" w:eastAsia="zh-CN"/>
              </w:rPr>
              <w:t>100.8</w:t>
            </w:r>
          </w:p>
        </w:tc>
        <w:tc>
          <w:tcPr>
            <w:tcW w:w="306"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p>
        </w:tc>
        <w:tc>
          <w:tcPr>
            <w:tcW w:w="316"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eastAsia" w:eastAsia="仿宋" w:cs="Times New Roman"/>
                <w:kern w:val="2"/>
                <w:sz w:val="20"/>
                <w:szCs w:val="20"/>
                <w:highlight w:val="none"/>
                <w:lang w:val="en-US" w:eastAsia="zh-CN"/>
              </w:rPr>
              <w:t>138.43</w:t>
            </w:r>
          </w:p>
        </w:tc>
        <w:tc>
          <w:tcPr>
            <w:tcW w:w="311"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eastAsia" w:eastAsia="仿宋" w:cs="Times New Roman"/>
                <w:kern w:val="2"/>
                <w:sz w:val="20"/>
                <w:szCs w:val="20"/>
                <w:highlight w:val="none"/>
                <w:lang w:val="en-US" w:eastAsia="zh-CN"/>
              </w:rPr>
              <w:t>173.04</w:t>
            </w:r>
          </w:p>
        </w:tc>
        <w:tc>
          <w:tcPr>
            <w:tcW w:w="317"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eastAsia" w:eastAsia="仿宋" w:cs="Times New Roman"/>
                <w:kern w:val="2"/>
                <w:sz w:val="20"/>
                <w:szCs w:val="20"/>
                <w:highlight w:val="none"/>
                <w:lang w:val="en-US" w:eastAsia="zh-CN"/>
              </w:rPr>
              <w:t>165.98</w:t>
            </w:r>
          </w:p>
        </w:tc>
        <w:tc>
          <w:tcPr>
            <w:tcW w:w="311"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eastAsia" w:eastAsia="仿宋" w:cs="Times New Roman"/>
                <w:kern w:val="2"/>
                <w:sz w:val="20"/>
                <w:szCs w:val="20"/>
                <w:highlight w:val="none"/>
                <w:lang w:val="en-US" w:eastAsia="zh-CN"/>
              </w:rPr>
              <w:t>275.68</w:t>
            </w:r>
          </w:p>
        </w:tc>
        <w:tc>
          <w:tcPr>
            <w:tcW w:w="285"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p>
        </w:tc>
        <w:tc>
          <w:tcPr>
            <w:tcW w:w="375"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eastAsia" w:eastAsia="仿宋" w:cs="Times New Roman"/>
                <w:kern w:val="2"/>
                <w:sz w:val="20"/>
                <w:szCs w:val="20"/>
                <w:highlight w:val="none"/>
                <w:lang w:val="en-US" w:eastAsia="zh-CN"/>
              </w:rPr>
              <w:t>379.25</w:t>
            </w:r>
          </w:p>
        </w:tc>
        <w:tc>
          <w:tcPr>
            <w:tcW w:w="390"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2"/>
                <w:sz w:val="20"/>
                <w:szCs w:val="20"/>
                <w:highlight w:val="none"/>
                <w:lang w:val="en-US" w:eastAsia="zh-CN"/>
              </w:rPr>
            </w:pPr>
            <w:r>
              <w:rPr>
                <w:rFonts w:hint="eastAsia" w:eastAsia="仿宋" w:cs="Times New Roman"/>
                <w:kern w:val="2"/>
                <w:sz w:val="20"/>
                <w:szCs w:val="20"/>
                <w:highlight w:val="none"/>
                <w:lang w:val="en-US" w:eastAsia="zh-CN"/>
              </w:rPr>
              <w:t>459.32</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43"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lang w:val="en-US" w:eastAsia="zh-CN" w:bidi="ar-SA"/>
              </w:rPr>
            </w:pPr>
            <w:r>
              <w:rPr>
                <w:rFonts w:hint="default" w:ascii="Times New Roman" w:hAnsi="Times New Roman" w:eastAsia="仿宋" w:cs="Times New Roman"/>
                <w:kern w:val="0"/>
                <w:sz w:val="20"/>
                <w:szCs w:val="20"/>
                <w:highlight w:val="none"/>
                <w:lang w:val="en-US" w:eastAsia="zh-CN"/>
              </w:rPr>
              <w:t>4</w:t>
            </w:r>
          </w:p>
        </w:tc>
        <w:tc>
          <w:tcPr>
            <w:tcW w:w="360"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rPr>
            </w:pPr>
          </w:p>
        </w:tc>
        <w:tc>
          <w:tcPr>
            <w:tcW w:w="588"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lang w:val="en-US" w:eastAsia="zh-CN" w:bidi="ar-SA"/>
              </w:rPr>
            </w:pPr>
            <w:r>
              <w:rPr>
                <w:rFonts w:hint="default" w:ascii="Times New Roman" w:hAnsi="Times New Roman" w:eastAsia="仿宋" w:cs="Times New Roman"/>
                <w:kern w:val="0"/>
                <w:sz w:val="20"/>
                <w:szCs w:val="20"/>
                <w:highlight w:val="none"/>
              </w:rPr>
              <w:t>绿化用土回覆</w:t>
            </w:r>
          </w:p>
        </w:tc>
        <w:tc>
          <w:tcPr>
            <w:tcW w:w="266"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sz w:val="20"/>
                <w:szCs w:val="20"/>
                <w:highlight w:val="none"/>
                <w:lang w:val="en-US" w:eastAsia="zh-CN" w:bidi="ar-SA"/>
              </w:rPr>
            </w:pPr>
            <w:r>
              <w:rPr>
                <w:rFonts w:hint="default" w:ascii="Times New Roman" w:hAnsi="Times New Roman" w:eastAsia="仿宋" w:cs="Times New Roman"/>
                <w:sz w:val="20"/>
                <w:szCs w:val="20"/>
                <w:highlight w:val="none"/>
                <w:lang w:eastAsia="zh-CN"/>
              </w:rPr>
              <w:t>m³</w:t>
            </w:r>
          </w:p>
        </w:tc>
        <w:tc>
          <w:tcPr>
            <w:tcW w:w="343" w:type="pc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sz w:val="20"/>
                <w:szCs w:val="20"/>
                <w:highlight w:val="none"/>
                <w:lang w:val="en-US" w:eastAsia="zh-CN" w:bidi="ar-SA"/>
              </w:rPr>
            </w:pPr>
            <w:r>
              <w:rPr>
                <w:rFonts w:hint="eastAsia" w:eastAsia="仿宋" w:cs="Times New Roman"/>
                <w:kern w:val="2"/>
                <w:sz w:val="20"/>
                <w:szCs w:val="20"/>
                <w:highlight w:val="none"/>
                <w:lang w:val="en-US" w:eastAsia="zh-CN"/>
              </w:rPr>
              <w:t>10</w:t>
            </w:r>
          </w:p>
        </w:tc>
        <w:tc>
          <w:tcPr>
            <w:tcW w:w="3199" w:type="pct"/>
            <w:gridSpan w:val="10"/>
            <w:vMerge w:val="restart"/>
            <w:tcBorders>
              <w:tl2br w:val="nil"/>
              <w:tr2bl w:val="nil"/>
            </w:tcBorders>
            <w:noWrap w:val="0"/>
            <w:vAlign w:val="center"/>
          </w:tcPr>
          <w:p>
            <w:pPr>
              <w:pStyle w:val="563"/>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主体已列</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43"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lang w:val="en-US" w:eastAsia="zh-CN" w:bidi="ar-SA"/>
              </w:rPr>
            </w:pPr>
            <w:r>
              <w:rPr>
                <w:rFonts w:hint="default" w:ascii="Times New Roman" w:hAnsi="Times New Roman" w:eastAsia="仿宋" w:cs="Times New Roman"/>
                <w:kern w:val="0"/>
                <w:sz w:val="20"/>
                <w:szCs w:val="20"/>
                <w:highlight w:val="none"/>
                <w:lang w:val="en-US" w:eastAsia="zh-CN"/>
              </w:rPr>
              <w:t>5</w:t>
            </w:r>
          </w:p>
        </w:tc>
        <w:tc>
          <w:tcPr>
            <w:tcW w:w="360"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sz w:val="20"/>
                <w:szCs w:val="20"/>
                <w:highlight w:val="none"/>
              </w:rPr>
            </w:pPr>
          </w:p>
        </w:tc>
        <w:tc>
          <w:tcPr>
            <w:tcW w:w="588"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雨水管线</w:t>
            </w:r>
          </w:p>
        </w:tc>
        <w:tc>
          <w:tcPr>
            <w:tcW w:w="266"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m</w:t>
            </w:r>
          </w:p>
        </w:tc>
        <w:tc>
          <w:tcPr>
            <w:tcW w:w="343"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sz w:val="20"/>
                <w:szCs w:val="20"/>
                <w:highlight w:val="none"/>
                <w:lang w:val="en-US" w:eastAsia="zh-CN"/>
              </w:rPr>
            </w:pPr>
            <w:r>
              <w:rPr>
                <w:rFonts w:hint="eastAsia" w:eastAsia="仿宋" w:cs="Times New Roman"/>
                <w:sz w:val="20"/>
                <w:szCs w:val="20"/>
                <w:highlight w:val="none"/>
                <w:lang w:val="en-US" w:eastAsia="zh-CN"/>
              </w:rPr>
              <w:t>1000</w:t>
            </w:r>
          </w:p>
        </w:tc>
        <w:tc>
          <w:tcPr>
            <w:tcW w:w="3199" w:type="pct"/>
            <w:gridSpan w:val="10"/>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rPr>
            </w:pP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43"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lang w:val="en-US" w:eastAsia="zh-CN" w:bidi="ar-SA"/>
              </w:rPr>
            </w:pPr>
            <w:r>
              <w:rPr>
                <w:rFonts w:hint="eastAsia" w:eastAsia="仿宋" w:cs="Times New Roman"/>
                <w:kern w:val="0"/>
                <w:sz w:val="20"/>
                <w:szCs w:val="20"/>
                <w:highlight w:val="none"/>
                <w:lang w:val="en-US" w:eastAsia="zh-CN"/>
              </w:rPr>
              <w:t>6</w:t>
            </w:r>
          </w:p>
        </w:tc>
        <w:tc>
          <w:tcPr>
            <w:tcW w:w="360"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eastAsia" w:eastAsia="仿宋" w:cs="Times New Roman"/>
                <w:sz w:val="20"/>
                <w:szCs w:val="20"/>
                <w:highlight w:val="none"/>
                <w:lang w:eastAsia="zh-CN"/>
              </w:rPr>
            </w:pPr>
          </w:p>
        </w:tc>
        <w:tc>
          <w:tcPr>
            <w:tcW w:w="588"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sz w:val="20"/>
                <w:szCs w:val="20"/>
                <w:highlight w:val="none"/>
                <w:lang w:eastAsia="zh-CN"/>
              </w:rPr>
            </w:pPr>
            <w:r>
              <w:rPr>
                <w:rFonts w:hint="eastAsia" w:eastAsia="仿宋" w:cs="Times New Roman"/>
                <w:sz w:val="20"/>
                <w:szCs w:val="20"/>
                <w:highlight w:val="none"/>
                <w:lang w:eastAsia="zh-CN"/>
              </w:rPr>
              <w:t>雨水口</w:t>
            </w:r>
          </w:p>
        </w:tc>
        <w:tc>
          <w:tcPr>
            <w:tcW w:w="266"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sz w:val="20"/>
                <w:szCs w:val="20"/>
                <w:highlight w:val="none"/>
              </w:rPr>
            </w:pPr>
            <w:r>
              <w:rPr>
                <w:rFonts w:hint="default" w:ascii="Times New Roman" w:hAnsi="Times New Roman" w:eastAsia="仿宋" w:cs="Times New Roman"/>
                <w:sz w:val="20"/>
                <w:szCs w:val="20"/>
                <w:highlight w:val="none"/>
              </w:rPr>
              <w:t>个</w:t>
            </w:r>
          </w:p>
        </w:tc>
        <w:tc>
          <w:tcPr>
            <w:tcW w:w="343"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sz w:val="20"/>
                <w:szCs w:val="20"/>
                <w:highlight w:val="none"/>
                <w:lang w:val="en-US" w:eastAsia="zh-CN"/>
              </w:rPr>
            </w:pPr>
            <w:r>
              <w:rPr>
                <w:rFonts w:hint="eastAsia" w:eastAsia="仿宋" w:cs="Times New Roman"/>
                <w:sz w:val="20"/>
                <w:szCs w:val="20"/>
                <w:highlight w:val="none"/>
                <w:lang w:val="en-US" w:eastAsia="zh-CN"/>
              </w:rPr>
              <w:t>500</w:t>
            </w:r>
          </w:p>
        </w:tc>
        <w:tc>
          <w:tcPr>
            <w:tcW w:w="3199" w:type="pct"/>
            <w:gridSpan w:val="10"/>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rPr>
            </w:pP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43"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lang w:val="en-US" w:eastAsia="zh-CN" w:bidi="ar-SA"/>
              </w:rPr>
            </w:pPr>
            <w:r>
              <w:rPr>
                <w:rFonts w:hint="eastAsia" w:eastAsia="仿宋" w:cs="Times New Roman"/>
                <w:kern w:val="0"/>
                <w:sz w:val="20"/>
                <w:szCs w:val="20"/>
                <w:highlight w:val="none"/>
                <w:lang w:val="en-US" w:eastAsia="zh-CN" w:bidi="ar-SA"/>
              </w:rPr>
              <w:t>7</w:t>
            </w:r>
          </w:p>
        </w:tc>
        <w:tc>
          <w:tcPr>
            <w:tcW w:w="360"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rPr>
            </w:pPr>
          </w:p>
        </w:tc>
        <w:tc>
          <w:tcPr>
            <w:tcW w:w="588"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kern w:val="0"/>
                <w:sz w:val="20"/>
                <w:szCs w:val="20"/>
                <w:highlight w:val="none"/>
              </w:rPr>
              <w:t>绿化（含抚育费）</w:t>
            </w:r>
          </w:p>
        </w:tc>
        <w:tc>
          <w:tcPr>
            <w:tcW w:w="266"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lang w:eastAsia="zh-CN"/>
              </w:rPr>
            </w:pPr>
            <w:r>
              <w:rPr>
                <w:rFonts w:hint="default" w:ascii="Times New Roman" w:hAnsi="Times New Roman" w:eastAsia="仿宋" w:cs="Times New Roman"/>
                <w:kern w:val="0"/>
                <w:sz w:val="20"/>
                <w:szCs w:val="20"/>
                <w:highlight w:val="none"/>
                <w:lang w:eastAsia="zh-CN"/>
              </w:rPr>
              <w:t>m²</w:t>
            </w:r>
          </w:p>
        </w:tc>
        <w:tc>
          <w:tcPr>
            <w:tcW w:w="343"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sz w:val="20"/>
                <w:szCs w:val="20"/>
                <w:highlight w:val="none"/>
                <w:lang w:val="en-US" w:eastAsia="zh-CN"/>
              </w:rPr>
            </w:pPr>
            <w:r>
              <w:rPr>
                <w:rFonts w:hint="default" w:ascii="Times New Roman" w:hAnsi="Times New Roman" w:eastAsia="仿宋" w:cs="Times New Roman"/>
                <w:sz w:val="20"/>
                <w:szCs w:val="20"/>
                <w:highlight w:val="none"/>
                <w:lang w:val="en-US" w:eastAsia="zh-CN"/>
              </w:rPr>
              <w:t>120</w:t>
            </w:r>
          </w:p>
        </w:tc>
        <w:tc>
          <w:tcPr>
            <w:tcW w:w="3199" w:type="pct"/>
            <w:gridSpan w:val="10"/>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rPr>
            </w:pP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43"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lang w:val="en-US" w:eastAsia="zh-CN"/>
              </w:rPr>
            </w:pPr>
            <w:r>
              <w:rPr>
                <w:rFonts w:hint="eastAsia" w:eastAsia="仿宋" w:cs="Times New Roman"/>
                <w:kern w:val="0"/>
                <w:sz w:val="20"/>
                <w:szCs w:val="20"/>
                <w:highlight w:val="none"/>
                <w:lang w:val="en-US" w:eastAsia="zh-CN"/>
              </w:rPr>
              <w:t>8</w:t>
            </w:r>
          </w:p>
        </w:tc>
        <w:tc>
          <w:tcPr>
            <w:tcW w:w="360"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lang w:val="en-US" w:eastAsia="zh-CN"/>
              </w:rPr>
            </w:pPr>
          </w:p>
        </w:tc>
        <w:tc>
          <w:tcPr>
            <w:tcW w:w="588"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lang w:val="en-US" w:eastAsia="zh-CN"/>
              </w:rPr>
            </w:pPr>
            <w:r>
              <w:rPr>
                <w:rFonts w:hint="default" w:ascii="Times New Roman" w:hAnsi="Times New Roman" w:eastAsia="仿宋" w:cs="Times New Roman"/>
                <w:kern w:val="0"/>
                <w:sz w:val="20"/>
                <w:szCs w:val="20"/>
                <w:highlight w:val="none"/>
                <w:lang w:val="en-US" w:eastAsia="zh-CN"/>
              </w:rPr>
              <w:t>密目网苫盖</w:t>
            </w:r>
          </w:p>
        </w:tc>
        <w:tc>
          <w:tcPr>
            <w:tcW w:w="266"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rPr>
            </w:pPr>
            <w:r>
              <w:rPr>
                <w:rFonts w:hint="default" w:ascii="Times New Roman" w:hAnsi="Times New Roman" w:eastAsia="仿宋" w:cs="Times New Roman"/>
                <w:sz w:val="20"/>
                <w:szCs w:val="20"/>
                <w:highlight w:val="none"/>
                <w:lang w:eastAsia="zh-CN"/>
              </w:rPr>
              <w:t>m³</w:t>
            </w:r>
          </w:p>
        </w:tc>
        <w:tc>
          <w:tcPr>
            <w:tcW w:w="343"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sz w:val="20"/>
                <w:szCs w:val="20"/>
                <w:highlight w:val="none"/>
                <w:lang w:val="en-US" w:eastAsia="zh-CN"/>
              </w:rPr>
            </w:pPr>
            <w:r>
              <w:rPr>
                <w:rFonts w:hint="eastAsia" w:eastAsia="仿宋" w:cs="Times New Roman"/>
                <w:sz w:val="20"/>
                <w:szCs w:val="20"/>
                <w:highlight w:val="none"/>
                <w:lang w:val="en-US" w:eastAsia="zh-CN"/>
              </w:rPr>
              <w:t>5</w:t>
            </w:r>
          </w:p>
        </w:tc>
        <w:tc>
          <w:tcPr>
            <w:tcW w:w="3199" w:type="pct"/>
            <w:gridSpan w:val="10"/>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20"/>
                <w:szCs w:val="20"/>
                <w:highlight w:val="none"/>
              </w:rPr>
            </w:pPr>
          </w:p>
        </w:tc>
      </w:tr>
    </w:tbl>
    <w:p>
      <w:pPr>
        <w:pageBreakBefore w:val="0"/>
        <w:tabs>
          <w:tab w:val="left" w:pos="4650"/>
        </w:tabs>
        <w:kinsoku/>
        <w:wordWrap/>
        <w:bidi w:val="0"/>
        <w:rPr>
          <w:rFonts w:hint="default" w:ascii="Times New Roman" w:hAnsi="Times New Roman" w:eastAsia="仿宋_GB2312" w:cs="Times New Roman"/>
          <w:b/>
          <w:sz w:val="28"/>
          <w:szCs w:val="28"/>
          <w:highlight w:val="none"/>
        </w:rPr>
      </w:pPr>
    </w:p>
    <w:p>
      <w:pPr>
        <w:pStyle w:val="86"/>
        <w:pageBreakBefore w:val="0"/>
        <w:kinsoku/>
        <w:wordWrap/>
        <w:bidi w:val="0"/>
        <w:ind w:left="0" w:leftChars="0" w:firstLine="0" w:firstLineChars="0"/>
        <w:rPr>
          <w:rFonts w:hint="default" w:ascii="Times New Roman" w:hAnsi="Times New Roman" w:eastAsia="仿宋_GB2312" w:cs="Times New Roman"/>
          <w:b/>
          <w:sz w:val="28"/>
          <w:szCs w:val="28"/>
          <w:highlight w:val="none"/>
        </w:rPr>
      </w:pPr>
    </w:p>
    <w:p>
      <w:pPr>
        <w:pageBreakBefore w:val="0"/>
        <w:kinsoku/>
        <w:wordWrap/>
        <w:bidi w:val="0"/>
        <w:rPr>
          <w:rFonts w:hint="default" w:ascii="Times New Roman" w:hAnsi="Times New Roman" w:cs="Times New Roman"/>
        </w:rPr>
        <w:sectPr>
          <w:headerReference r:id="rId25" w:type="default"/>
          <w:pgSz w:w="16840" w:h="11907" w:orient="landscape"/>
          <w:pgMar w:top="1797" w:right="1418" w:bottom="1797" w:left="1418" w:header="851" w:footer="992" w:gutter="0"/>
          <w:pgBorders>
            <w:top w:val="none" w:sz="0" w:space="0"/>
            <w:left w:val="none" w:sz="0" w:space="0"/>
            <w:bottom w:val="none" w:sz="0" w:space="0"/>
            <w:right w:val="none" w:sz="0" w:space="0"/>
          </w:pgBorders>
          <w:pgNumType w:fmt="decimal"/>
          <w:cols w:space="720" w:num="1"/>
          <w:docGrid w:linePitch="312" w:charSpace="0"/>
        </w:sectPr>
      </w:pPr>
    </w:p>
    <w:p>
      <w:pPr>
        <w:pStyle w:val="5"/>
        <w:keepNext/>
        <w:keepLines/>
        <w:pageBreakBefore w:val="0"/>
        <w:widowControl w:val="0"/>
        <w:kinsoku/>
        <w:wordWrap/>
        <w:overflowPunct/>
        <w:topLinePunct w:val="0"/>
        <w:autoSpaceDE w:val="0"/>
        <w:autoSpaceDN w:val="0"/>
        <w:bidi w:val="0"/>
        <w:adjustRightInd/>
        <w:snapToGrid/>
        <w:ind w:left="431" w:hanging="431"/>
        <w:textAlignment w:val="bottom"/>
        <w:rPr>
          <w:rFonts w:hint="default" w:ascii="Times New Roman" w:hAnsi="Times New Roman" w:eastAsia="仿宋_GB2312" w:cs="Times New Roman"/>
          <w:b/>
          <w:bCs/>
        </w:rPr>
      </w:pPr>
      <w:bookmarkStart w:id="417" w:name="_Toc18099"/>
      <w:bookmarkStart w:id="418" w:name="_Toc4944"/>
      <w:bookmarkStart w:id="419" w:name="_Toc28357"/>
      <w:r>
        <w:rPr>
          <w:rFonts w:hint="default" w:ascii="Times New Roman" w:hAnsi="Times New Roman" w:eastAsia="仿宋_GB2312" w:cs="Times New Roman"/>
          <w:b/>
          <w:bCs/>
        </w:rPr>
        <w:t>7.2效益分析</w:t>
      </w:r>
      <w:bookmarkEnd w:id="417"/>
      <w:bookmarkEnd w:id="418"/>
      <w:bookmarkEnd w:id="419"/>
    </w:p>
    <w:p>
      <w:pPr>
        <w:pStyle w:val="53"/>
        <w:pageBreakBefore w:val="0"/>
        <w:widowControl w:val="0"/>
        <w:kinsoku/>
        <w:wordWrap/>
        <w:bidi w:val="0"/>
        <w:spacing w:line="360" w:lineRule="auto"/>
        <w:ind w:firstLine="480"/>
        <w:jc w:val="both"/>
        <w:rPr>
          <w:rFonts w:hint="default" w:ascii="Times New Roman" w:hAnsi="Times New Roman" w:eastAsia="仿宋_GB2312" w:cs="Times New Roman"/>
          <w:snapToGrid w:val="0"/>
          <w:kern w:val="0"/>
          <w:sz w:val="24"/>
          <w:szCs w:val="24"/>
          <w:highlight w:val="none"/>
        </w:rPr>
      </w:pPr>
      <w:r>
        <w:rPr>
          <w:rFonts w:hint="default" w:ascii="Times New Roman" w:hAnsi="Times New Roman" w:eastAsia="仿宋_GB2312" w:cs="Times New Roman"/>
          <w:snapToGrid w:val="0"/>
          <w:kern w:val="0"/>
          <w:sz w:val="24"/>
          <w:szCs w:val="24"/>
          <w:highlight w:val="none"/>
        </w:rPr>
        <w:t>在工程建设实施的水土保持工程措施及植物措施的目的是控制工程建设造成的新增水土流失，防治扰动面的土壤大量流失，维护工程的安全运行，绿化美化环境，恢复改善工程占地区因占压、挖损、扰动破坏的土地及植被资源，其效益主要体现在生态效益、安全效益和社会效益上。</w:t>
      </w:r>
    </w:p>
    <w:p>
      <w:pPr>
        <w:pStyle w:val="53"/>
        <w:pageBreakBefore w:val="0"/>
        <w:widowControl w:val="0"/>
        <w:kinsoku/>
        <w:wordWrap/>
        <w:bidi w:val="0"/>
        <w:spacing w:line="360" w:lineRule="auto"/>
        <w:ind w:firstLine="480"/>
        <w:jc w:val="both"/>
        <w:rPr>
          <w:rFonts w:hint="default" w:ascii="Times New Roman" w:hAnsi="Times New Roman" w:eastAsia="仿宋_GB2312" w:cs="Times New Roman"/>
          <w:snapToGrid w:val="0"/>
          <w:kern w:val="0"/>
          <w:sz w:val="24"/>
          <w:szCs w:val="24"/>
          <w:highlight w:val="none"/>
        </w:rPr>
      </w:pPr>
      <w:r>
        <w:rPr>
          <w:rFonts w:hint="default" w:ascii="Times New Roman" w:hAnsi="Times New Roman" w:eastAsia="仿宋_GB2312" w:cs="Times New Roman"/>
          <w:sz w:val="24"/>
          <w:szCs w:val="24"/>
          <w:highlight w:val="none"/>
          <w:lang w:eastAsia="zh-CN"/>
        </w:rPr>
        <w:t>本期项目</w:t>
      </w:r>
      <w:r>
        <w:rPr>
          <w:rFonts w:hint="default" w:ascii="Times New Roman" w:hAnsi="Times New Roman" w:eastAsia="仿宋_GB2312" w:cs="Times New Roman"/>
          <w:sz w:val="24"/>
          <w:szCs w:val="24"/>
          <w:highlight w:val="none"/>
        </w:rPr>
        <w:t>水土保持方案对该项目建设、生产受扰动可能带来水土流失的区域规划了相应的水土流失防治措施。根据不同功能区的水土流失特点，采取了相应的工程、植物措施防治施工过程中的水土流失。</w:t>
      </w:r>
    </w:p>
    <w:p>
      <w:pPr>
        <w:pStyle w:val="6"/>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7.2.1工程防治指标统计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在对主体工程设计中具有水土保持功能的措施分析评价基础上，对产生水土流失的区域采取了工程、植物、临时等防护措施，按照方案设计的目标和要求，各项措施实施后，因工程建设带来的水土流失将得到有效控制。设计水平年的防治指标可能实现情况为：水土流失治理度为99%；土壤流失控制比为1.0；</w:t>
      </w:r>
      <w:r>
        <w:rPr>
          <w:rFonts w:hint="default" w:ascii="Times New Roman" w:hAnsi="Times New Roman" w:eastAsia="仿宋_GB2312" w:cs="Times New Roman"/>
          <w:color w:val="auto"/>
          <w:kern w:val="0"/>
          <w:sz w:val="24"/>
          <w:szCs w:val="20"/>
        </w:rPr>
        <w:t>渣土防护率9</w:t>
      </w:r>
      <w:r>
        <w:rPr>
          <w:rFonts w:hint="default" w:ascii="Times New Roman" w:hAnsi="Times New Roman" w:eastAsia="仿宋_GB2312" w:cs="Times New Roman"/>
          <w:color w:val="auto"/>
          <w:kern w:val="0"/>
          <w:sz w:val="24"/>
          <w:szCs w:val="20"/>
          <w:lang w:val="en-US" w:eastAsia="zh-CN"/>
        </w:rPr>
        <w:t>8</w:t>
      </w:r>
      <w:r>
        <w:rPr>
          <w:rFonts w:hint="eastAsia" w:eastAsia="仿宋_GB2312" w:cs="Times New Roman"/>
          <w:color w:val="auto"/>
          <w:kern w:val="0"/>
          <w:sz w:val="24"/>
          <w:szCs w:val="20"/>
          <w:lang w:val="en-US" w:eastAsia="zh-CN"/>
        </w:rPr>
        <w:t>.57</w:t>
      </w:r>
      <w:r>
        <w:rPr>
          <w:rFonts w:hint="default" w:ascii="Times New Roman" w:hAnsi="Times New Roman" w:eastAsia="仿宋_GB2312" w:cs="Times New Roman"/>
          <w:color w:val="auto"/>
          <w:kern w:val="0"/>
          <w:sz w:val="24"/>
          <w:szCs w:val="20"/>
        </w:rPr>
        <w:t>％，</w:t>
      </w:r>
      <w:r>
        <w:rPr>
          <w:rFonts w:hint="default" w:ascii="Times New Roman" w:hAnsi="Times New Roman" w:eastAsia="仿宋_GB2312" w:cs="Times New Roman"/>
          <w:sz w:val="24"/>
          <w:szCs w:val="24"/>
        </w:rPr>
        <w:t>林草植被恢复率为99%；林草覆盖率为</w:t>
      </w:r>
      <w:r>
        <w:rPr>
          <w:rFonts w:hint="default" w:ascii="Times New Roman" w:hAnsi="Times New Roman" w:eastAsia="仿宋_GB2312" w:cs="Times New Roman"/>
          <w:sz w:val="24"/>
          <w:szCs w:val="24"/>
          <w:lang w:val="en-US" w:eastAsia="zh-CN"/>
        </w:rPr>
        <w:t>19</w:t>
      </w:r>
      <w:r>
        <w:rPr>
          <w:rFonts w:hint="eastAsia" w:eastAsia="仿宋_GB2312" w:cs="Times New Roman"/>
          <w:sz w:val="24"/>
          <w:szCs w:val="24"/>
          <w:lang w:val="en-US" w:eastAsia="zh-CN"/>
        </w:rPr>
        <w:t>.77</w:t>
      </w:r>
      <w:r>
        <w:rPr>
          <w:rFonts w:hint="default"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rPr>
        <w:t>。</w:t>
      </w:r>
    </w:p>
    <w:p>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eastAsia="微软雅黑" w:cs="Times New Roman"/>
          <w:b w:val="0"/>
          <w:bCs w:val="0"/>
          <w:spacing w:val="2"/>
          <w:sz w:val="21"/>
          <w:szCs w:val="21"/>
          <w:lang w:val="en-US" w:eastAsia="zh-CN"/>
        </w:rPr>
      </w:pPr>
      <w:r>
        <w:rPr>
          <w:rFonts w:hint="default" w:ascii="Times New Roman" w:hAnsi="Times New Roman" w:eastAsia="微软雅黑" w:cs="Times New Roman"/>
          <w:b w:val="0"/>
          <w:bCs w:val="0"/>
          <w:spacing w:val="2"/>
          <w:sz w:val="21"/>
          <w:szCs w:val="21"/>
        </w:rPr>
        <mc:AlternateContent>
          <mc:Choice Requires="wps">
            <w:drawing>
              <wp:anchor distT="0" distB="0" distL="114300" distR="114300" simplePos="0" relativeHeight="251679744" behindDoc="0" locked="0" layoutInCell="0" allowOverlap="1">
                <wp:simplePos x="0" y="0"/>
                <wp:positionH relativeFrom="page">
                  <wp:posOffset>1141095</wp:posOffset>
                </wp:positionH>
                <wp:positionV relativeFrom="page">
                  <wp:posOffset>751205</wp:posOffset>
                </wp:positionV>
                <wp:extent cx="5278755" cy="9525"/>
                <wp:effectExtent l="0" t="0" r="0" b="0"/>
                <wp:wrapNone/>
                <wp:docPr id="94" name="任意多边形 852"/>
                <wp:cNvGraphicFramePr/>
                <a:graphic xmlns:a="http://schemas.openxmlformats.org/drawingml/2006/main">
                  <a:graphicData uri="http://schemas.microsoft.com/office/word/2010/wordprocessingShape">
                    <wps:wsp>
                      <wps:cNvSpPr/>
                      <wps:spPr>
                        <a:xfrm>
                          <a:off x="0" y="0"/>
                          <a:ext cx="5278755" cy="9525"/>
                        </a:xfrm>
                        <a:custGeom>
                          <a:avLst/>
                          <a:gdLst/>
                          <a:ahLst/>
                          <a:cxnLst/>
                          <a:pathLst>
                            <a:path w="8312" h="15">
                              <a:moveTo>
                                <a:pt x="0" y="0"/>
                              </a:moveTo>
                              <a:lnTo>
                                <a:pt x="8312" y="0"/>
                              </a:lnTo>
                              <a:lnTo>
                                <a:pt x="8312" y="14"/>
                              </a:lnTo>
                              <a:lnTo>
                                <a:pt x="0" y="14"/>
                              </a:lnTo>
                              <a:lnTo>
                                <a:pt x="0" y="0"/>
                              </a:lnTo>
                              <a:close/>
                            </a:path>
                          </a:pathLst>
                        </a:custGeom>
                        <a:solidFill>
                          <a:srgbClr val="000000"/>
                        </a:solidFill>
                        <a:ln>
                          <a:noFill/>
                        </a:ln>
                      </wps:spPr>
                      <wps:bodyPr wrap="square" upright="1"/>
                    </wps:wsp>
                  </a:graphicData>
                </a:graphic>
              </wp:anchor>
            </w:drawing>
          </mc:Choice>
          <mc:Fallback>
            <w:pict>
              <v:shape id="任意多边形 852" o:spid="_x0000_s1026" o:spt="100" style="position:absolute;left:0pt;margin-left:89.85pt;margin-top:59.15pt;height:0.75pt;width:415.65pt;mso-position-horizontal-relative:page;mso-position-vertical-relative:page;z-index:251679744;mso-width-relative:page;mso-height-relative:page;" fillcolor="#000000" filled="t" stroked="f" coordsize="8312,15" o:allowincell="f" o:gfxdata="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MJSa&#10;m9oAAAAMAQAADwAAAAAAAAABACAAAAAiAAAAZHJzL2Rvd25yZXYueG1sUEsBAhQAFAAAAAgAh07i&#10;QH2JM2EgAgAAjAQAAA4AAAAAAAAAAQAgAAAAKQEAAGRycy9lMm9Eb2MueG1sUEsFBgAAAAAGAAYA&#10;WQEAALsFAAAAAA==&#10;" path="m0,0l8312,0,8312,14,0,14,0,0xe">
                <v:fill on="t" focussize="0,0"/>
                <v:stroke on="f"/>
                <v:imagedata o:title=""/>
                <o:lock v:ext="edit" aspectratio="f"/>
              </v:shape>
            </w:pict>
          </mc:Fallback>
        </mc:AlternateContent>
      </w:r>
      <w:r>
        <w:rPr>
          <w:rFonts w:hint="default" w:ascii="Times New Roman" w:hAnsi="Times New Roman" w:eastAsia="微软雅黑" w:cs="Times New Roman"/>
          <w:b w:val="0"/>
          <w:bCs w:val="0"/>
          <w:spacing w:val="2"/>
          <w:sz w:val="21"/>
          <w:szCs w:val="21"/>
        </w:rPr>
        <w:t>表7-1</w:t>
      </w:r>
      <w:r>
        <w:rPr>
          <w:rFonts w:hint="eastAsia" w:eastAsia="微软雅黑" w:cs="Times New Roman"/>
          <w:b w:val="0"/>
          <w:bCs w:val="0"/>
          <w:spacing w:val="2"/>
          <w:sz w:val="21"/>
          <w:szCs w:val="21"/>
          <w:lang w:val="en-US" w:eastAsia="zh-CN"/>
        </w:rPr>
        <w:t>1</w:t>
      </w:r>
      <w:r>
        <w:rPr>
          <w:rFonts w:hint="default" w:ascii="Times New Roman" w:hAnsi="Times New Roman" w:eastAsia="微软雅黑" w:cs="Times New Roman"/>
          <w:b w:val="0"/>
          <w:bCs w:val="0"/>
          <w:spacing w:val="2"/>
          <w:sz w:val="21"/>
          <w:szCs w:val="21"/>
          <w:lang w:val="en-US" w:eastAsia="zh-CN"/>
        </w:rPr>
        <w:t xml:space="preserve">  防治标准指标计算表</w:t>
      </w:r>
    </w:p>
    <w:tbl>
      <w:tblPr>
        <w:tblStyle w:val="88"/>
        <w:tblW w:w="4998" w:type="pct"/>
        <w:jc w:val="center"/>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858"/>
        <w:gridCol w:w="964"/>
        <w:gridCol w:w="2855"/>
        <w:gridCol w:w="1851"/>
        <w:gridCol w:w="1093"/>
      </w:tblGrid>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0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防治目标</w:t>
            </w:r>
          </w:p>
        </w:tc>
        <w:tc>
          <w:tcPr>
            <w:tcW w:w="5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规划目标值</w:t>
            </w:r>
          </w:p>
        </w:tc>
        <w:tc>
          <w:tcPr>
            <w:tcW w:w="165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计算公式</w:t>
            </w:r>
          </w:p>
        </w:tc>
        <w:tc>
          <w:tcPr>
            <w:tcW w:w="107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计算过程</w:t>
            </w: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预期实现值</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0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水土流失治理程度（%）</w:t>
            </w:r>
          </w:p>
        </w:tc>
        <w:tc>
          <w:tcPr>
            <w:tcW w:w="5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97</w:t>
            </w:r>
          </w:p>
        </w:tc>
        <w:tc>
          <w:tcPr>
            <w:tcW w:w="165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水土流失治理达标面积/水土流失总面积×100%</w:t>
            </w:r>
          </w:p>
        </w:tc>
        <w:tc>
          <w:tcPr>
            <w:tcW w:w="107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eastAsia" w:eastAsia="仿宋_GB2312" w:cs="Times New Roman"/>
                <w:i w:val="0"/>
                <w:iCs w:val="0"/>
                <w:color w:val="auto"/>
                <w:kern w:val="0"/>
                <w:sz w:val="20"/>
                <w:szCs w:val="20"/>
                <w:u w:val="none"/>
                <w:lang w:val="en-US" w:eastAsia="zh-CN" w:bidi="ar"/>
              </w:rPr>
              <w:t>19.78</w:t>
            </w:r>
            <w:r>
              <w:rPr>
                <w:rFonts w:hint="default" w:ascii="Times New Roman" w:hAnsi="Times New Roman" w:eastAsia="仿宋_GB2312" w:cs="Times New Roman"/>
                <w:i w:val="0"/>
                <w:iCs w:val="0"/>
                <w:color w:val="auto"/>
                <w:kern w:val="0"/>
                <w:sz w:val="20"/>
                <w:szCs w:val="20"/>
                <w:u w:val="none"/>
                <w:lang w:val="en-US" w:eastAsia="zh-CN" w:bidi="ar"/>
              </w:rPr>
              <w:t>/</w:t>
            </w:r>
            <w:r>
              <w:rPr>
                <w:rFonts w:hint="eastAsia" w:eastAsia="仿宋_GB2312" w:cs="Times New Roman"/>
                <w:i w:val="0"/>
                <w:iCs w:val="0"/>
                <w:color w:val="auto"/>
                <w:kern w:val="0"/>
                <w:sz w:val="20"/>
                <w:szCs w:val="20"/>
                <w:u w:val="none"/>
                <w:lang w:val="en-US" w:eastAsia="zh-CN" w:bidi="ar"/>
              </w:rPr>
              <w:t>19.98</w:t>
            </w:r>
            <w:r>
              <w:rPr>
                <w:rFonts w:hint="default" w:ascii="Times New Roman" w:hAnsi="Times New Roman" w:eastAsia="仿宋_GB2312" w:cs="Times New Roman"/>
                <w:i w:val="0"/>
                <w:iCs w:val="0"/>
                <w:color w:val="auto"/>
                <w:kern w:val="0"/>
                <w:sz w:val="20"/>
                <w:szCs w:val="20"/>
                <w:u w:val="none"/>
                <w:lang w:val="en-US" w:eastAsia="zh-CN" w:bidi="ar"/>
              </w:rPr>
              <w:t>×100%</w:t>
            </w: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lang w:val="en-US" w:eastAsia="zh-CN"/>
              </w:rPr>
            </w:pPr>
            <w:r>
              <w:rPr>
                <w:rFonts w:hint="eastAsia" w:eastAsia="仿宋_GB2312" w:cs="Times New Roman"/>
                <w:i w:val="0"/>
                <w:iCs w:val="0"/>
                <w:color w:val="auto"/>
                <w:sz w:val="20"/>
                <w:szCs w:val="20"/>
                <w:u w:val="none"/>
                <w:lang w:val="en-US" w:eastAsia="zh-CN"/>
              </w:rPr>
              <w:t>99</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0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土壤流失控制比</w:t>
            </w:r>
          </w:p>
        </w:tc>
        <w:tc>
          <w:tcPr>
            <w:tcW w:w="5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lang w:val="en-US"/>
              </w:rPr>
            </w:pPr>
            <w:r>
              <w:rPr>
                <w:rFonts w:hint="default" w:ascii="Times New Roman" w:hAnsi="Times New Roman" w:eastAsia="仿宋_GB2312" w:cs="Times New Roman"/>
                <w:i w:val="0"/>
                <w:iCs w:val="0"/>
                <w:color w:val="auto"/>
                <w:kern w:val="0"/>
                <w:sz w:val="20"/>
                <w:szCs w:val="20"/>
                <w:u w:val="none"/>
                <w:lang w:val="en-US" w:eastAsia="zh-CN" w:bidi="ar"/>
              </w:rPr>
              <w:t>1.0</w:t>
            </w:r>
          </w:p>
        </w:tc>
        <w:tc>
          <w:tcPr>
            <w:tcW w:w="165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容许土壤流失量/治理后平均土壤流失量</w:t>
            </w:r>
          </w:p>
        </w:tc>
        <w:tc>
          <w:tcPr>
            <w:tcW w:w="107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200/200</w:t>
            </w: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lang w:val="en-US"/>
              </w:rPr>
            </w:pPr>
            <w:r>
              <w:rPr>
                <w:rFonts w:hint="default" w:ascii="Times New Roman" w:hAnsi="Times New Roman" w:eastAsia="仿宋_GB2312" w:cs="Times New Roman"/>
                <w:i w:val="0"/>
                <w:iCs w:val="0"/>
                <w:color w:val="auto"/>
                <w:kern w:val="0"/>
                <w:sz w:val="20"/>
                <w:szCs w:val="20"/>
                <w:u w:val="none"/>
                <w:lang w:val="en-US" w:eastAsia="zh-CN" w:bidi="ar"/>
              </w:rPr>
              <w:t>1.0</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0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渣土防护率（%）</w:t>
            </w:r>
          </w:p>
        </w:tc>
        <w:tc>
          <w:tcPr>
            <w:tcW w:w="5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lang w:val="en-US"/>
              </w:rPr>
            </w:pPr>
            <w:r>
              <w:rPr>
                <w:rFonts w:hint="default" w:ascii="Times New Roman" w:hAnsi="Times New Roman" w:eastAsia="仿宋_GB2312" w:cs="Times New Roman"/>
                <w:i w:val="0"/>
                <w:iCs w:val="0"/>
                <w:color w:val="auto"/>
                <w:kern w:val="0"/>
                <w:sz w:val="20"/>
                <w:szCs w:val="20"/>
                <w:u w:val="none"/>
                <w:lang w:val="en-US" w:eastAsia="zh-CN" w:bidi="ar"/>
              </w:rPr>
              <w:t>98</w:t>
            </w:r>
          </w:p>
        </w:tc>
        <w:tc>
          <w:tcPr>
            <w:tcW w:w="165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（实际挡护的永久弃渣+临时堆土数量）/（永久弃渣+临时堆土总量）×100%</w:t>
            </w:r>
          </w:p>
        </w:tc>
        <w:tc>
          <w:tcPr>
            <w:tcW w:w="107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lang w:val="en-US"/>
              </w:rPr>
            </w:pPr>
            <w:r>
              <w:rPr>
                <w:rFonts w:hint="eastAsia" w:eastAsia="仿宋_GB2312" w:cs="Times New Roman"/>
                <w:i w:val="0"/>
                <w:iCs w:val="0"/>
                <w:color w:val="auto"/>
                <w:kern w:val="0"/>
                <w:sz w:val="20"/>
                <w:szCs w:val="20"/>
                <w:u w:val="none"/>
                <w:lang w:val="en-US" w:eastAsia="zh-CN" w:bidi="ar"/>
              </w:rPr>
              <w:t>0.69</w:t>
            </w:r>
            <w:r>
              <w:rPr>
                <w:rFonts w:hint="default" w:ascii="Times New Roman" w:hAnsi="Times New Roman" w:eastAsia="仿宋_GB2312" w:cs="Times New Roman"/>
                <w:i w:val="0"/>
                <w:iCs w:val="0"/>
                <w:color w:val="auto"/>
                <w:kern w:val="0"/>
                <w:sz w:val="20"/>
                <w:szCs w:val="20"/>
                <w:u w:val="none"/>
                <w:lang w:val="en-US" w:eastAsia="zh-CN" w:bidi="ar"/>
              </w:rPr>
              <w:t>/</w:t>
            </w:r>
            <w:r>
              <w:rPr>
                <w:rFonts w:hint="eastAsia" w:eastAsia="仿宋_GB2312" w:cs="Times New Roman"/>
                <w:i w:val="0"/>
                <w:iCs w:val="0"/>
                <w:color w:val="auto"/>
                <w:kern w:val="0"/>
                <w:sz w:val="20"/>
                <w:szCs w:val="20"/>
                <w:u w:val="none"/>
                <w:lang w:val="en-US" w:eastAsia="zh-CN" w:bidi="ar"/>
              </w:rPr>
              <w:t>0.70</w:t>
            </w:r>
            <w:r>
              <w:rPr>
                <w:rFonts w:hint="default" w:ascii="Times New Roman" w:hAnsi="Times New Roman" w:eastAsia="仿宋_GB2312" w:cs="Times New Roman"/>
                <w:i w:val="0"/>
                <w:iCs w:val="0"/>
                <w:color w:val="auto"/>
                <w:kern w:val="0"/>
                <w:sz w:val="20"/>
                <w:szCs w:val="20"/>
                <w:u w:val="none"/>
                <w:lang w:val="en-US" w:eastAsia="zh-CN" w:bidi="ar"/>
              </w:rPr>
              <w:t>×100%</w:t>
            </w: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lang w:val="en-US" w:eastAsia="zh-CN"/>
              </w:rPr>
            </w:pPr>
            <w:r>
              <w:rPr>
                <w:rFonts w:hint="eastAsia" w:eastAsia="仿宋_GB2312" w:cs="Times New Roman"/>
                <w:i w:val="0"/>
                <w:iCs w:val="0"/>
                <w:color w:val="auto"/>
                <w:sz w:val="20"/>
                <w:szCs w:val="20"/>
                <w:u w:val="none"/>
                <w:lang w:val="en-US" w:eastAsia="zh-CN"/>
              </w:rPr>
              <w:t>98.57</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0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表土保护率（%）</w:t>
            </w:r>
          </w:p>
        </w:tc>
        <w:tc>
          <w:tcPr>
            <w:tcW w:w="5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w:t>
            </w:r>
          </w:p>
        </w:tc>
        <w:tc>
          <w:tcPr>
            <w:tcW w:w="165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（实际保护的表土数量）/（可剥离表土总量）×100%</w:t>
            </w:r>
          </w:p>
        </w:tc>
        <w:tc>
          <w:tcPr>
            <w:tcW w:w="107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lang w:val="en-US"/>
              </w:rPr>
            </w:pPr>
            <w:r>
              <w:rPr>
                <w:rFonts w:hint="default" w:ascii="Times New Roman" w:hAnsi="Times New Roman" w:eastAsia="仿宋_GB2312" w:cs="Times New Roman"/>
                <w:i w:val="0"/>
                <w:iCs w:val="0"/>
                <w:color w:val="auto"/>
                <w:kern w:val="0"/>
                <w:sz w:val="20"/>
                <w:szCs w:val="20"/>
                <w:u w:val="none"/>
                <w:lang w:val="en-US" w:eastAsia="zh-CN" w:bidi="ar"/>
              </w:rPr>
              <w:t>/</w:t>
            </w: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lang w:val="en-US" w:eastAsia="zh-CN"/>
              </w:rPr>
            </w:pPr>
            <w:r>
              <w:rPr>
                <w:rFonts w:hint="default" w:ascii="Times New Roman" w:hAnsi="Times New Roman" w:eastAsia="仿宋_GB2312" w:cs="Times New Roman"/>
                <w:i w:val="0"/>
                <w:iCs w:val="0"/>
                <w:color w:val="auto"/>
                <w:kern w:val="0"/>
                <w:sz w:val="20"/>
                <w:szCs w:val="20"/>
                <w:u w:val="none"/>
                <w:lang w:val="en-US" w:eastAsia="zh-CN" w:bidi="ar"/>
              </w:rPr>
              <w:t>/</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0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林草植被恢复率（%）</w:t>
            </w:r>
          </w:p>
        </w:tc>
        <w:tc>
          <w:tcPr>
            <w:tcW w:w="5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97</w:t>
            </w:r>
          </w:p>
        </w:tc>
        <w:tc>
          <w:tcPr>
            <w:tcW w:w="165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林草植被面积/可恢复林草植被面积×100%</w:t>
            </w:r>
          </w:p>
        </w:tc>
        <w:tc>
          <w:tcPr>
            <w:tcW w:w="107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eastAsia" w:eastAsia="仿宋_GB2312" w:cs="Times New Roman"/>
                <w:i w:val="0"/>
                <w:iCs w:val="0"/>
                <w:color w:val="auto"/>
                <w:kern w:val="0"/>
                <w:sz w:val="20"/>
                <w:szCs w:val="20"/>
                <w:u w:val="none"/>
                <w:lang w:val="en-US" w:eastAsia="zh-CN" w:bidi="ar"/>
              </w:rPr>
              <w:t>3.95</w:t>
            </w:r>
            <w:r>
              <w:rPr>
                <w:rFonts w:hint="default" w:ascii="Times New Roman" w:hAnsi="Times New Roman" w:eastAsia="仿宋_GB2312" w:cs="Times New Roman"/>
                <w:i w:val="0"/>
                <w:iCs w:val="0"/>
                <w:color w:val="auto"/>
                <w:kern w:val="0"/>
                <w:sz w:val="20"/>
                <w:szCs w:val="20"/>
                <w:u w:val="none"/>
                <w:lang w:val="en-US" w:eastAsia="zh-CN" w:bidi="ar"/>
              </w:rPr>
              <w:t>/</w:t>
            </w:r>
            <w:r>
              <w:rPr>
                <w:rFonts w:hint="eastAsia" w:eastAsia="仿宋_GB2312" w:cs="Times New Roman"/>
                <w:i w:val="0"/>
                <w:iCs w:val="0"/>
                <w:color w:val="auto"/>
                <w:kern w:val="0"/>
                <w:sz w:val="20"/>
                <w:szCs w:val="20"/>
                <w:u w:val="none"/>
                <w:lang w:val="en-US" w:eastAsia="zh-CN" w:bidi="ar"/>
              </w:rPr>
              <w:t>3.99</w:t>
            </w:r>
            <w:r>
              <w:rPr>
                <w:rFonts w:hint="default" w:ascii="Times New Roman" w:hAnsi="Times New Roman" w:eastAsia="仿宋_GB2312" w:cs="Times New Roman"/>
                <w:i w:val="0"/>
                <w:iCs w:val="0"/>
                <w:color w:val="auto"/>
                <w:kern w:val="0"/>
                <w:sz w:val="20"/>
                <w:szCs w:val="20"/>
                <w:u w:val="none"/>
                <w:lang w:val="en-US" w:eastAsia="zh-CN" w:bidi="ar"/>
              </w:rPr>
              <w:t>×100%</w:t>
            </w: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lang w:val="en-US"/>
              </w:rPr>
            </w:pPr>
            <w:r>
              <w:rPr>
                <w:rFonts w:hint="eastAsia" w:eastAsia="仿宋_GB2312" w:cs="Times New Roman"/>
                <w:i w:val="0"/>
                <w:iCs w:val="0"/>
                <w:color w:val="auto"/>
                <w:kern w:val="0"/>
                <w:sz w:val="20"/>
                <w:szCs w:val="20"/>
                <w:u w:val="none"/>
                <w:lang w:val="en-US" w:eastAsia="zh-CN" w:bidi="ar"/>
              </w:rPr>
              <w:t>99</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0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林草覆盖率（%）</w:t>
            </w:r>
          </w:p>
        </w:tc>
        <w:tc>
          <w:tcPr>
            <w:tcW w:w="5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lang w:val="en-US"/>
              </w:rPr>
            </w:pPr>
            <w:r>
              <w:rPr>
                <w:rFonts w:hint="default" w:ascii="Times New Roman" w:hAnsi="Times New Roman" w:eastAsia="仿宋_GB2312" w:cs="Times New Roman"/>
                <w:i w:val="0"/>
                <w:iCs w:val="0"/>
                <w:color w:val="auto"/>
                <w:kern w:val="0"/>
                <w:sz w:val="20"/>
                <w:szCs w:val="20"/>
                <w:u w:val="none"/>
                <w:lang w:val="en-US" w:eastAsia="zh-CN" w:bidi="ar"/>
              </w:rPr>
              <w:t>19</w:t>
            </w:r>
          </w:p>
        </w:tc>
        <w:tc>
          <w:tcPr>
            <w:tcW w:w="165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default" w:ascii="Times New Roman" w:hAnsi="Times New Roman" w:eastAsia="仿宋_GB2312" w:cs="Times New Roman"/>
                <w:i w:val="0"/>
                <w:iCs w:val="0"/>
                <w:color w:val="auto"/>
                <w:kern w:val="0"/>
                <w:sz w:val="20"/>
                <w:szCs w:val="20"/>
                <w:u w:val="none"/>
                <w:lang w:val="en-US" w:eastAsia="zh-CN" w:bidi="ar"/>
              </w:rPr>
              <w:t>林草类植被面积/总面积×100%</w:t>
            </w:r>
          </w:p>
        </w:tc>
        <w:tc>
          <w:tcPr>
            <w:tcW w:w="107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rPr>
            </w:pPr>
            <w:r>
              <w:rPr>
                <w:rFonts w:hint="eastAsia" w:eastAsia="仿宋_GB2312" w:cs="Times New Roman"/>
                <w:i w:val="0"/>
                <w:iCs w:val="0"/>
                <w:color w:val="auto"/>
                <w:kern w:val="0"/>
                <w:sz w:val="20"/>
                <w:szCs w:val="20"/>
                <w:u w:val="none"/>
                <w:lang w:val="en-US" w:eastAsia="zh-CN" w:bidi="ar"/>
              </w:rPr>
              <w:t>3.95</w:t>
            </w:r>
            <w:r>
              <w:rPr>
                <w:rFonts w:hint="default" w:ascii="Times New Roman" w:hAnsi="Times New Roman" w:eastAsia="仿宋_GB2312" w:cs="Times New Roman"/>
                <w:i w:val="0"/>
                <w:iCs w:val="0"/>
                <w:color w:val="auto"/>
                <w:kern w:val="0"/>
                <w:sz w:val="20"/>
                <w:szCs w:val="20"/>
                <w:u w:val="none"/>
                <w:lang w:val="en-US" w:eastAsia="zh-CN" w:bidi="ar"/>
              </w:rPr>
              <w:t>/</w:t>
            </w:r>
            <w:r>
              <w:rPr>
                <w:rFonts w:hint="eastAsia" w:eastAsia="仿宋_GB2312" w:cs="Times New Roman"/>
                <w:i w:val="0"/>
                <w:iCs w:val="0"/>
                <w:color w:val="auto"/>
                <w:kern w:val="0"/>
                <w:sz w:val="20"/>
                <w:szCs w:val="20"/>
                <w:u w:val="none"/>
                <w:lang w:val="en-US" w:eastAsia="zh-CN" w:bidi="ar"/>
              </w:rPr>
              <w:t>19.98</w:t>
            </w:r>
            <w:r>
              <w:rPr>
                <w:rFonts w:hint="default" w:ascii="Times New Roman" w:hAnsi="Times New Roman" w:eastAsia="仿宋_GB2312" w:cs="Times New Roman"/>
                <w:i w:val="0"/>
                <w:iCs w:val="0"/>
                <w:color w:val="auto"/>
                <w:kern w:val="0"/>
                <w:sz w:val="20"/>
                <w:szCs w:val="20"/>
                <w:u w:val="none"/>
                <w:lang w:val="en-US" w:eastAsia="zh-CN" w:bidi="ar"/>
              </w:rPr>
              <w:t>×100%</w:t>
            </w: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i w:val="0"/>
                <w:iCs w:val="0"/>
                <w:color w:val="auto"/>
                <w:sz w:val="20"/>
                <w:szCs w:val="20"/>
                <w:u w:val="none"/>
                <w:lang w:val="en-US"/>
              </w:rPr>
            </w:pPr>
            <w:r>
              <w:rPr>
                <w:rFonts w:hint="default" w:ascii="Times New Roman" w:hAnsi="Times New Roman" w:eastAsia="仿宋_GB2312" w:cs="Times New Roman"/>
                <w:i w:val="0"/>
                <w:iCs w:val="0"/>
                <w:color w:val="auto"/>
                <w:kern w:val="0"/>
                <w:sz w:val="20"/>
                <w:szCs w:val="20"/>
                <w:u w:val="none"/>
                <w:lang w:val="en-US" w:eastAsia="zh-CN" w:bidi="ar"/>
              </w:rPr>
              <w:t>19.</w:t>
            </w:r>
            <w:r>
              <w:rPr>
                <w:rFonts w:hint="eastAsia" w:eastAsia="仿宋_GB2312" w:cs="Times New Roman"/>
                <w:i w:val="0"/>
                <w:iCs w:val="0"/>
                <w:color w:val="auto"/>
                <w:kern w:val="0"/>
                <w:sz w:val="20"/>
                <w:szCs w:val="20"/>
                <w:u w:val="none"/>
                <w:lang w:val="en-US" w:eastAsia="zh-CN" w:bidi="ar"/>
              </w:rPr>
              <w:t>77</w:t>
            </w:r>
          </w:p>
        </w:tc>
      </w:tr>
    </w:tbl>
    <w:p>
      <w:pPr>
        <w:pStyle w:val="6"/>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7.2.2减少水土流失量计算</w:t>
      </w:r>
    </w:p>
    <w:p>
      <w:pPr>
        <w:pageBreakBefore w:val="0"/>
        <w:kinsoku/>
        <w:wordWrap/>
        <w:bidi w:val="0"/>
        <w:spacing w:line="360" w:lineRule="auto"/>
        <w:ind w:firstLine="480" w:firstLineChars="200"/>
        <w:rPr>
          <w:rFonts w:hint="default" w:ascii="Times New Roman" w:hAnsi="Times New Roman" w:cs="Times New Roman"/>
          <w:color w:val="000000"/>
          <w:highlight w:val="none"/>
        </w:rPr>
      </w:pPr>
      <w:r>
        <w:rPr>
          <w:rFonts w:hint="default" w:ascii="Times New Roman" w:hAnsi="Times New Roman" w:eastAsia="仿宋_GB2312" w:cs="Times New Roman"/>
          <w:bCs/>
          <w:iCs/>
          <w:sz w:val="24"/>
          <w:szCs w:val="28"/>
          <w:highlight w:val="none"/>
        </w:rPr>
        <w:t>本方案对工程建设过程中可能产生水土流失的区域布设了水土保持防护措施，使新增水土流失得到有效控制，原有水土流失得到治理。</w:t>
      </w:r>
      <w:r>
        <w:rPr>
          <w:rFonts w:hint="default" w:ascii="Times New Roman" w:hAnsi="Times New Roman" w:eastAsia="仿宋_GB2312" w:cs="Times New Roman"/>
          <w:bCs/>
          <w:iCs/>
          <w:sz w:val="24"/>
          <w:szCs w:val="28"/>
          <w:highlight w:val="none"/>
          <w:lang w:eastAsia="zh-CN"/>
        </w:rPr>
        <w:t>本期项目</w:t>
      </w:r>
      <w:r>
        <w:rPr>
          <w:rFonts w:hint="default" w:ascii="Times New Roman" w:hAnsi="Times New Roman" w:eastAsia="仿宋_GB2312" w:cs="Times New Roman"/>
          <w:bCs/>
          <w:iCs/>
          <w:sz w:val="24"/>
          <w:szCs w:val="28"/>
          <w:highlight w:val="none"/>
        </w:rPr>
        <w:t>采取水土保持措施后可减少土壤流失量</w:t>
      </w:r>
      <w:r>
        <w:rPr>
          <w:rFonts w:hint="eastAsia" w:eastAsia="仿宋_GB2312" w:cs="Times New Roman"/>
          <w:bCs/>
          <w:iCs/>
          <w:sz w:val="24"/>
          <w:szCs w:val="28"/>
          <w:highlight w:val="none"/>
          <w:lang w:val="en-US" w:eastAsia="zh-CN"/>
        </w:rPr>
        <w:t>1101.10</w:t>
      </w:r>
      <w:r>
        <w:rPr>
          <w:rFonts w:hint="default" w:ascii="Times New Roman" w:hAnsi="Times New Roman" w:eastAsia="仿宋_GB2312" w:cs="Times New Roman"/>
          <w:bCs/>
          <w:iCs/>
          <w:sz w:val="24"/>
          <w:szCs w:val="28"/>
          <w:highlight w:val="none"/>
        </w:rPr>
        <w:t>t。</w:t>
      </w:r>
      <w:r>
        <w:rPr>
          <w:rFonts w:hint="default" w:ascii="Times New Roman" w:hAnsi="Times New Roman" w:eastAsia="仿宋_GB2312" w:cs="Times New Roman"/>
          <w:sz w:val="24"/>
          <w:highlight w:val="none"/>
        </w:rPr>
        <w:t>减少土壤流失量计算见表7-1</w:t>
      </w:r>
      <w:r>
        <w:rPr>
          <w:rFonts w:hint="eastAsia" w:eastAsia="仿宋_GB2312" w:cs="Times New Roman"/>
          <w:sz w:val="24"/>
          <w:highlight w:val="none"/>
          <w:lang w:val="en-US" w:eastAsia="zh-CN"/>
        </w:rPr>
        <w:t>2</w:t>
      </w:r>
      <w:r>
        <w:rPr>
          <w:rFonts w:hint="default" w:ascii="Times New Roman" w:hAnsi="Times New Roman" w:eastAsia="仿宋_GB2312" w:cs="Times New Roman"/>
          <w:sz w:val="24"/>
          <w:highlight w:val="none"/>
        </w:rPr>
        <w:t>。</w:t>
      </w:r>
    </w:p>
    <w:p>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eastAsia="微软雅黑" w:cs="Times New Roman"/>
          <w:b w:val="0"/>
          <w:bCs w:val="0"/>
          <w:spacing w:val="2"/>
          <w:sz w:val="21"/>
          <w:szCs w:val="21"/>
        </w:rPr>
      </w:pPr>
    </w:p>
    <w:p>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eastAsia="微软雅黑" w:cs="Times New Roman"/>
          <w:b w:val="0"/>
          <w:bCs w:val="0"/>
          <w:spacing w:val="2"/>
          <w:sz w:val="21"/>
          <w:szCs w:val="21"/>
        </w:rPr>
      </w:pPr>
    </w:p>
    <w:p>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eastAsia="微软雅黑" w:cs="Times New Roman"/>
          <w:b w:val="0"/>
          <w:bCs w:val="0"/>
          <w:spacing w:val="2"/>
          <w:sz w:val="21"/>
          <w:szCs w:val="21"/>
        </w:rPr>
      </w:pPr>
    </w:p>
    <w:p>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eastAsia="微软雅黑" w:cs="Times New Roman"/>
          <w:b w:val="0"/>
          <w:bCs w:val="0"/>
          <w:spacing w:val="2"/>
          <w:sz w:val="21"/>
          <w:szCs w:val="21"/>
        </w:rPr>
      </w:pPr>
    </w:p>
    <w:p>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eastAsia="微软雅黑" w:cs="Times New Roman"/>
          <w:b w:val="0"/>
          <w:bCs w:val="0"/>
          <w:spacing w:val="2"/>
          <w:sz w:val="21"/>
          <w:szCs w:val="21"/>
        </w:rPr>
      </w:pPr>
      <w:r>
        <w:rPr>
          <w:rFonts w:hint="default" w:ascii="Times New Roman" w:hAnsi="Times New Roman" w:eastAsia="微软雅黑" w:cs="Times New Roman"/>
          <w:b w:val="0"/>
          <w:bCs w:val="0"/>
          <w:spacing w:val="2"/>
          <w:sz w:val="21"/>
          <w:szCs w:val="21"/>
        </w:rPr>
        <w:t>表7-1</w:t>
      </w:r>
      <w:r>
        <w:rPr>
          <w:rFonts w:hint="eastAsia" w:eastAsia="微软雅黑" w:cs="Times New Roman"/>
          <w:b w:val="0"/>
          <w:bCs w:val="0"/>
          <w:spacing w:val="2"/>
          <w:sz w:val="21"/>
          <w:szCs w:val="21"/>
          <w:lang w:val="en-US" w:eastAsia="zh-CN"/>
        </w:rPr>
        <w:t>2</w:t>
      </w:r>
      <w:r>
        <w:rPr>
          <w:rFonts w:hint="default" w:ascii="Times New Roman" w:hAnsi="Times New Roman" w:eastAsia="微软雅黑" w:cs="Times New Roman"/>
          <w:b w:val="0"/>
          <w:bCs w:val="0"/>
          <w:spacing w:val="2"/>
          <w:sz w:val="21"/>
          <w:szCs w:val="21"/>
          <w:lang w:val="en-US" w:eastAsia="zh-CN"/>
        </w:rPr>
        <w:t xml:space="preserve">  </w:t>
      </w:r>
      <w:r>
        <w:rPr>
          <w:rFonts w:hint="default" w:ascii="Times New Roman" w:hAnsi="Times New Roman" w:eastAsia="微软雅黑" w:cs="Times New Roman"/>
          <w:b w:val="0"/>
          <w:bCs w:val="0"/>
          <w:spacing w:val="2"/>
          <w:sz w:val="21"/>
          <w:szCs w:val="21"/>
        </w:rPr>
        <w:t>减少土壤流失量计算表</w:t>
      </w:r>
    </w:p>
    <w:tbl>
      <w:tblPr>
        <w:tblStyle w:val="88"/>
        <w:tblW w:w="4999" w:type="pct"/>
        <w:jc w:val="center"/>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928"/>
        <w:gridCol w:w="1654"/>
        <w:gridCol w:w="1608"/>
        <w:gridCol w:w="1468"/>
        <w:gridCol w:w="1678"/>
        <w:gridCol w:w="1286"/>
      </w:tblGrid>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497" w:type="pct"/>
            <w:gridSpan w:val="2"/>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预测单元</w:t>
            </w:r>
          </w:p>
        </w:tc>
        <w:tc>
          <w:tcPr>
            <w:tcW w:w="93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000000"/>
                <w:kern w:val="0"/>
                <w:sz w:val="20"/>
                <w:szCs w:val="20"/>
                <w:u w:val="none"/>
                <w:lang w:val="en-US" w:eastAsia="zh-CN" w:bidi="ar"/>
              </w:rPr>
              <w:t>面积（hm²）</w:t>
            </w:r>
          </w:p>
        </w:tc>
        <w:tc>
          <w:tcPr>
            <w:tcW w:w="851"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000000"/>
                <w:kern w:val="0"/>
                <w:sz w:val="20"/>
                <w:szCs w:val="20"/>
                <w:u w:val="none"/>
                <w:lang w:val="en-US" w:eastAsia="zh-CN" w:bidi="ar"/>
              </w:rPr>
              <w:t>建设期防治措施未完善时水土流失量（t）</w:t>
            </w:r>
          </w:p>
        </w:tc>
        <w:tc>
          <w:tcPr>
            <w:tcW w:w="97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000000"/>
                <w:kern w:val="0"/>
                <w:sz w:val="20"/>
                <w:szCs w:val="20"/>
                <w:u w:val="none"/>
                <w:lang w:val="en-US" w:eastAsia="zh-CN" w:bidi="ar"/>
              </w:rPr>
              <w:t>建设期防治措施完善后水土流失量（t）</w:t>
            </w:r>
          </w:p>
        </w:tc>
        <w:tc>
          <w:tcPr>
            <w:tcW w:w="7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000000"/>
                <w:kern w:val="0"/>
                <w:sz w:val="20"/>
                <w:szCs w:val="20"/>
                <w:u w:val="none"/>
                <w:lang w:val="en-US" w:eastAsia="zh-CN" w:bidi="ar"/>
              </w:rPr>
              <w:t>水土流失减少量（t）</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38"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工程建设区</w:t>
            </w:r>
          </w:p>
        </w:tc>
        <w:tc>
          <w:tcPr>
            <w:tcW w:w="95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val="en-US" w:eastAsia="zh-CN"/>
              </w:rPr>
              <w:t>建构筑物区</w:t>
            </w:r>
          </w:p>
        </w:tc>
        <w:tc>
          <w:tcPr>
            <w:tcW w:w="9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000000"/>
                <w:sz w:val="20"/>
                <w:szCs w:val="20"/>
                <w:highlight w:val="none"/>
                <w:lang w:val="en-US" w:eastAsia="zh-CN"/>
              </w:rPr>
            </w:pPr>
            <w:r>
              <w:rPr>
                <w:rFonts w:hint="eastAsia" w:eastAsia="仿宋_GB2312" w:cs="Times New Roman"/>
                <w:sz w:val="20"/>
                <w:szCs w:val="20"/>
                <w:lang w:val="en-US" w:eastAsia="zh-CN"/>
              </w:rPr>
              <w:t>8.00</w:t>
            </w:r>
          </w:p>
        </w:tc>
        <w:tc>
          <w:tcPr>
            <w:tcW w:w="146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仿宋_GB2312" w:cs="Times New Roman"/>
                <w:sz w:val="20"/>
                <w:szCs w:val="20"/>
                <w:lang w:val="en-US" w:eastAsia="zh-CN"/>
              </w:rPr>
            </w:pPr>
            <w:r>
              <w:rPr>
                <w:rFonts w:hint="default" w:eastAsia="仿宋_GB2312" w:cs="Times New Roman"/>
                <w:sz w:val="20"/>
                <w:szCs w:val="20"/>
                <w:lang w:val="en-US" w:eastAsia="zh-CN"/>
              </w:rPr>
              <w:t xml:space="preserve">480.25 </w:t>
            </w:r>
          </w:p>
        </w:tc>
        <w:tc>
          <w:tcPr>
            <w:tcW w:w="167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仿宋_GB2312" w:cs="Times New Roman"/>
                <w:sz w:val="20"/>
                <w:szCs w:val="20"/>
                <w:lang w:val="en-US" w:eastAsia="zh-CN"/>
              </w:rPr>
            </w:pPr>
            <w:r>
              <w:rPr>
                <w:rFonts w:hint="default" w:eastAsia="仿宋_GB2312" w:cs="Times New Roman"/>
                <w:sz w:val="20"/>
                <w:szCs w:val="20"/>
                <w:lang w:val="en-US" w:eastAsia="zh-CN"/>
              </w:rPr>
              <w:t xml:space="preserve">24.01 </w:t>
            </w:r>
          </w:p>
        </w:tc>
        <w:tc>
          <w:tcPr>
            <w:tcW w:w="128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仿宋_GB2312" w:cs="Times New Roman"/>
                <w:sz w:val="20"/>
                <w:szCs w:val="20"/>
                <w:lang w:val="en-US" w:eastAsia="zh-CN"/>
              </w:rPr>
            </w:pPr>
            <w:r>
              <w:rPr>
                <w:rFonts w:hint="default" w:eastAsia="仿宋_GB2312" w:cs="Times New Roman"/>
                <w:sz w:val="20"/>
                <w:szCs w:val="20"/>
                <w:lang w:val="en-US" w:eastAsia="zh-CN"/>
              </w:rPr>
              <w:t xml:space="preserve">456.24 </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default" w:ascii="Times New Roman" w:hAnsi="Times New Roman" w:eastAsia="仿宋_GB2312" w:cs="Times New Roman"/>
                <w:color w:val="000000"/>
                <w:sz w:val="20"/>
                <w:szCs w:val="20"/>
                <w:highlight w:val="none"/>
                <w:lang w:val="en-US" w:eastAsia="zh-CN"/>
              </w:rPr>
            </w:pPr>
          </w:p>
        </w:tc>
        <w:tc>
          <w:tcPr>
            <w:tcW w:w="95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sz w:val="20"/>
                <w:szCs w:val="20"/>
                <w:lang w:val="en-US" w:eastAsia="zh-CN"/>
              </w:rPr>
              <w:t>道路及硬化区</w:t>
            </w:r>
          </w:p>
        </w:tc>
        <w:tc>
          <w:tcPr>
            <w:tcW w:w="9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0"/>
                <w:szCs w:val="20"/>
                <w:highlight w:val="none"/>
                <w:lang w:val="en-US" w:eastAsia="zh-CN"/>
              </w:rPr>
            </w:pPr>
            <w:r>
              <w:rPr>
                <w:rFonts w:hint="eastAsia" w:eastAsia="仿宋_GB2312" w:cs="Times New Roman"/>
                <w:sz w:val="20"/>
                <w:szCs w:val="20"/>
                <w:lang w:val="en-US" w:eastAsia="zh-CN"/>
              </w:rPr>
              <w:t>7.99</w:t>
            </w:r>
          </w:p>
        </w:tc>
        <w:tc>
          <w:tcPr>
            <w:tcW w:w="146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仿宋_GB2312" w:cs="Times New Roman"/>
                <w:sz w:val="20"/>
                <w:szCs w:val="20"/>
                <w:lang w:val="en-US" w:eastAsia="zh-CN"/>
              </w:rPr>
            </w:pPr>
            <w:r>
              <w:rPr>
                <w:rFonts w:hint="default" w:eastAsia="仿宋_GB2312" w:cs="Times New Roman"/>
                <w:sz w:val="20"/>
                <w:szCs w:val="20"/>
                <w:lang w:val="en-US" w:eastAsia="zh-CN"/>
              </w:rPr>
              <w:t xml:space="preserve">638.86 </w:t>
            </w:r>
          </w:p>
        </w:tc>
        <w:tc>
          <w:tcPr>
            <w:tcW w:w="167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仿宋_GB2312" w:cs="Times New Roman"/>
                <w:sz w:val="20"/>
                <w:szCs w:val="20"/>
                <w:lang w:val="en-US" w:eastAsia="zh-CN"/>
              </w:rPr>
            </w:pPr>
            <w:r>
              <w:rPr>
                <w:rFonts w:hint="default" w:eastAsia="仿宋_GB2312" w:cs="Times New Roman"/>
                <w:sz w:val="20"/>
                <w:szCs w:val="20"/>
                <w:lang w:val="en-US" w:eastAsia="zh-CN"/>
              </w:rPr>
              <w:t xml:space="preserve">31.94 </w:t>
            </w:r>
          </w:p>
        </w:tc>
        <w:tc>
          <w:tcPr>
            <w:tcW w:w="128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仿宋_GB2312" w:cs="Times New Roman"/>
                <w:sz w:val="20"/>
                <w:szCs w:val="20"/>
                <w:lang w:val="en-US" w:eastAsia="zh-CN"/>
              </w:rPr>
            </w:pPr>
            <w:r>
              <w:rPr>
                <w:rFonts w:hint="default" w:eastAsia="仿宋_GB2312" w:cs="Times New Roman"/>
                <w:sz w:val="20"/>
                <w:szCs w:val="20"/>
                <w:lang w:val="en-US" w:eastAsia="zh-CN"/>
              </w:rPr>
              <w:t xml:space="preserve">606.92 </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default" w:ascii="Times New Roman" w:hAnsi="Times New Roman" w:eastAsia="仿宋_GB2312" w:cs="Times New Roman"/>
                <w:color w:val="000000"/>
                <w:sz w:val="20"/>
                <w:szCs w:val="20"/>
                <w:highlight w:val="none"/>
              </w:rPr>
            </w:pPr>
          </w:p>
        </w:tc>
        <w:tc>
          <w:tcPr>
            <w:tcW w:w="95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val="en-US" w:eastAsia="zh-CN"/>
              </w:rPr>
              <w:t>绿化区</w:t>
            </w:r>
          </w:p>
        </w:tc>
        <w:tc>
          <w:tcPr>
            <w:tcW w:w="9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i w:val="0"/>
                <w:iCs w:val="0"/>
                <w:color w:val="000000"/>
                <w:kern w:val="2"/>
                <w:sz w:val="20"/>
                <w:szCs w:val="20"/>
                <w:u w:val="none"/>
                <w:lang w:val="en-US" w:eastAsia="zh-CN" w:bidi="ar-SA"/>
              </w:rPr>
            </w:pPr>
            <w:r>
              <w:rPr>
                <w:rFonts w:hint="eastAsia" w:eastAsia="仿宋_GB2312" w:cs="Times New Roman"/>
                <w:sz w:val="20"/>
                <w:szCs w:val="20"/>
                <w:lang w:val="en-US" w:eastAsia="zh-CN"/>
              </w:rPr>
              <w:t>3.99</w:t>
            </w:r>
          </w:p>
        </w:tc>
        <w:tc>
          <w:tcPr>
            <w:tcW w:w="146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仿宋_GB2312" w:cs="Times New Roman"/>
                <w:sz w:val="20"/>
                <w:szCs w:val="20"/>
                <w:lang w:val="en-US" w:eastAsia="zh-CN"/>
              </w:rPr>
            </w:pPr>
            <w:r>
              <w:rPr>
                <w:rFonts w:hint="default" w:eastAsia="仿宋_GB2312" w:cs="Times New Roman"/>
                <w:sz w:val="20"/>
                <w:szCs w:val="20"/>
                <w:lang w:val="en-US" w:eastAsia="zh-CN"/>
              </w:rPr>
              <w:t xml:space="preserve">39.93 </w:t>
            </w:r>
          </w:p>
        </w:tc>
        <w:tc>
          <w:tcPr>
            <w:tcW w:w="167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仿宋_GB2312" w:cs="Times New Roman"/>
                <w:sz w:val="20"/>
                <w:szCs w:val="20"/>
                <w:lang w:val="en-US" w:eastAsia="zh-CN"/>
              </w:rPr>
            </w:pPr>
            <w:r>
              <w:rPr>
                <w:rFonts w:hint="default" w:eastAsia="仿宋_GB2312" w:cs="Times New Roman"/>
                <w:sz w:val="20"/>
                <w:szCs w:val="20"/>
                <w:lang w:val="en-US" w:eastAsia="zh-CN"/>
              </w:rPr>
              <w:t xml:space="preserve">2.00 </w:t>
            </w:r>
          </w:p>
        </w:tc>
        <w:tc>
          <w:tcPr>
            <w:tcW w:w="128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仿宋_GB2312" w:cs="Times New Roman"/>
                <w:sz w:val="20"/>
                <w:szCs w:val="20"/>
                <w:lang w:val="en-US" w:eastAsia="zh-CN"/>
              </w:rPr>
            </w:pPr>
            <w:r>
              <w:rPr>
                <w:rFonts w:hint="default" w:eastAsia="仿宋_GB2312" w:cs="Times New Roman"/>
                <w:sz w:val="20"/>
                <w:szCs w:val="20"/>
                <w:lang w:val="en-US" w:eastAsia="zh-CN"/>
              </w:rPr>
              <w:t xml:space="preserve">37.94 </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497" w:type="pct"/>
            <w:gridSpan w:val="2"/>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合计</w:t>
            </w:r>
          </w:p>
        </w:tc>
        <w:tc>
          <w:tcPr>
            <w:tcW w:w="9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i w:val="0"/>
                <w:iCs w:val="0"/>
                <w:color w:val="000000"/>
                <w:kern w:val="0"/>
                <w:sz w:val="20"/>
                <w:szCs w:val="20"/>
                <w:u w:val="none"/>
                <w:lang w:val="en-US" w:eastAsia="zh-CN" w:bidi="ar"/>
              </w:rPr>
            </w:pPr>
            <w:r>
              <w:rPr>
                <w:rFonts w:hint="eastAsia" w:eastAsia="仿宋_GB2312" w:cs="Times New Roman"/>
                <w:sz w:val="20"/>
                <w:szCs w:val="20"/>
                <w:lang w:val="en-US" w:eastAsia="zh-CN"/>
              </w:rPr>
              <w:t>19.98</w:t>
            </w:r>
          </w:p>
        </w:tc>
        <w:tc>
          <w:tcPr>
            <w:tcW w:w="146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仿宋_GB2312" w:cs="Times New Roman"/>
                <w:sz w:val="20"/>
                <w:szCs w:val="20"/>
                <w:lang w:val="en-US" w:eastAsia="zh-CN"/>
              </w:rPr>
            </w:pPr>
            <w:r>
              <w:rPr>
                <w:rFonts w:hint="default" w:eastAsia="仿宋_GB2312" w:cs="Times New Roman"/>
                <w:sz w:val="20"/>
                <w:szCs w:val="20"/>
                <w:lang w:val="en-US" w:eastAsia="zh-CN"/>
              </w:rPr>
              <w:t xml:space="preserve">1159.05 </w:t>
            </w:r>
          </w:p>
        </w:tc>
        <w:tc>
          <w:tcPr>
            <w:tcW w:w="167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仿宋_GB2312" w:cs="Times New Roman"/>
                <w:sz w:val="20"/>
                <w:szCs w:val="20"/>
                <w:lang w:val="en-US" w:eastAsia="zh-CN"/>
              </w:rPr>
            </w:pPr>
            <w:r>
              <w:rPr>
                <w:rFonts w:hint="default" w:eastAsia="仿宋_GB2312" w:cs="Times New Roman"/>
                <w:sz w:val="20"/>
                <w:szCs w:val="20"/>
                <w:lang w:val="en-US" w:eastAsia="zh-CN"/>
              </w:rPr>
              <w:t xml:space="preserve">57.95 </w:t>
            </w:r>
          </w:p>
        </w:tc>
        <w:tc>
          <w:tcPr>
            <w:tcW w:w="128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仿宋_GB2312" w:cs="Times New Roman"/>
                <w:sz w:val="20"/>
                <w:szCs w:val="20"/>
                <w:lang w:val="en-US" w:eastAsia="zh-CN"/>
              </w:rPr>
            </w:pPr>
            <w:r>
              <w:rPr>
                <w:rFonts w:hint="default" w:eastAsia="仿宋_GB2312" w:cs="Times New Roman"/>
                <w:sz w:val="20"/>
                <w:szCs w:val="20"/>
                <w:lang w:val="en-US" w:eastAsia="zh-CN"/>
              </w:rPr>
              <w:t xml:space="preserve">1101.10 </w:t>
            </w:r>
          </w:p>
        </w:tc>
      </w:tr>
    </w:tbl>
    <w:p>
      <w:pPr>
        <w:pageBreakBefore w:val="0"/>
        <w:kinsoku/>
        <w:wordWrap/>
        <w:bidi w:val="0"/>
        <w:spacing w:line="360" w:lineRule="auto"/>
        <w:ind w:firstLine="561"/>
        <w:rPr>
          <w:rFonts w:hint="default" w:ascii="Times New Roman" w:hAnsi="Times New Roman" w:eastAsia="仿宋_GB2312" w:cs="Times New Roman"/>
          <w:sz w:val="24"/>
          <w:highlight w:val="none"/>
        </w:rPr>
      </w:pPr>
    </w:p>
    <w:p>
      <w:pPr>
        <w:pStyle w:val="153"/>
        <w:pageBreakBefore w:val="0"/>
        <w:kinsoku/>
        <w:wordWrap/>
        <w:bidi w:val="0"/>
        <w:rPr>
          <w:rFonts w:hint="default" w:ascii="Times New Roman" w:hAnsi="Times New Roman" w:eastAsia="仿宋_GB2312" w:cs="Times New Roman"/>
          <w:sz w:val="24"/>
          <w:highlight w:val="none"/>
        </w:rPr>
      </w:pPr>
    </w:p>
    <w:p>
      <w:pPr>
        <w:pageBreakBefore w:val="0"/>
        <w:kinsoku/>
        <w:wordWrap/>
        <w:bidi w:val="0"/>
        <w:spacing w:line="360" w:lineRule="auto"/>
        <w:ind w:firstLine="561"/>
        <w:rPr>
          <w:rFonts w:hint="default" w:ascii="Times New Roman" w:hAnsi="Times New Roman" w:eastAsia="仿宋_GB2312" w:cs="Times New Roman"/>
          <w:sz w:val="24"/>
          <w:highlight w:val="none"/>
        </w:rPr>
        <w:sectPr>
          <w:headerReference r:id="rId26" w:type="default"/>
          <w:footerReference r:id="rId27" w:type="default"/>
          <w:pgSz w:w="11906" w:h="16838"/>
          <w:pgMar w:top="1440" w:right="1701"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p>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Pr>
        <w:pStyle w:val="4"/>
        <w:keepNext/>
        <w:keepLines/>
        <w:pageBreakBefore w:val="0"/>
        <w:widowControl w:val="0"/>
        <w:kinsoku/>
        <w:wordWrap/>
        <w:overflowPunct/>
        <w:topLinePunct w:val="0"/>
        <w:autoSpaceDE/>
        <w:autoSpaceDN/>
        <w:bidi w:val="0"/>
        <w:adjustRightInd/>
        <w:snapToGrid/>
        <w:spacing w:after="0" w:afterLines="0" w:line="240" w:lineRule="auto"/>
        <w:textAlignment w:val="auto"/>
        <w:rPr>
          <w:rFonts w:hint="default" w:ascii="Times New Roman" w:hAnsi="Times New Roman" w:eastAsia="微软雅黑" w:cs="Times New Roman"/>
          <w:b w:val="0"/>
          <w:bCs w:val="0"/>
        </w:rPr>
      </w:pPr>
      <w:bookmarkStart w:id="420" w:name="_Toc29032"/>
      <w:r>
        <w:rPr>
          <w:rFonts w:hint="default" w:ascii="Times New Roman" w:hAnsi="Times New Roman" w:eastAsia="微软雅黑" w:cs="Times New Roman"/>
          <w:b w:val="0"/>
          <w:bCs w:val="0"/>
        </w:rPr>
        <mc:AlternateContent>
          <mc:Choice Requires="wps">
            <w:drawing>
              <wp:anchor distT="0" distB="0" distL="114300" distR="114300" simplePos="0" relativeHeight="251682816" behindDoc="0" locked="0" layoutInCell="0" allowOverlap="1">
                <wp:simplePos x="0" y="0"/>
                <wp:positionH relativeFrom="page">
                  <wp:posOffset>1141095</wp:posOffset>
                </wp:positionH>
                <wp:positionV relativeFrom="page">
                  <wp:posOffset>751205</wp:posOffset>
                </wp:positionV>
                <wp:extent cx="5278755" cy="9525"/>
                <wp:effectExtent l="0" t="0" r="0" b="0"/>
                <wp:wrapNone/>
                <wp:docPr id="150" name="任意多边形 150"/>
                <wp:cNvGraphicFramePr/>
                <a:graphic xmlns:a="http://schemas.openxmlformats.org/drawingml/2006/main">
                  <a:graphicData uri="http://schemas.microsoft.com/office/word/2010/wordprocessingShape">
                    <wps:wsp>
                      <wps:cNvSpPr/>
                      <wps:spPr>
                        <a:xfrm>
                          <a:off x="0" y="0"/>
                          <a:ext cx="5278755" cy="9525"/>
                        </a:xfrm>
                        <a:custGeom>
                          <a:avLst/>
                          <a:gdLst/>
                          <a:ahLst/>
                          <a:cxnLst/>
                          <a:pathLst>
                            <a:path w="8312" h="15">
                              <a:moveTo>
                                <a:pt x="0" y="0"/>
                              </a:moveTo>
                              <a:lnTo>
                                <a:pt x="8312" y="0"/>
                              </a:lnTo>
                              <a:lnTo>
                                <a:pt x="8312"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9.85pt;margin-top:59.15pt;height:0.75pt;width:415.65pt;mso-position-horizontal-relative:page;mso-position-vertical-relative:page;z-index:251682816;mso-width-relative:page;mso-height-relative:page;" fillcolor="#000000" filled="t" stroked="f" coordsize="8312,15" o:allowincell="f" o:gfxdata="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DCUmpvaAAAADAEAAA8AAAAA&#10;AAAAAQAgAAAAIgAAAGRycy9kb3ducmV2LnhtbFBLAQIUABQAAAAIAIdO4kCHAMPxEgIAAH8EAAAO&#10;AAAAAAAAAAEAIAAAACkBAABkcnMvZTJvRG9jLnhtbFBLBQYAAAAABgAGAFkBAACtBQAAAAA=&#10;" path="m0,0l8312,0,8312,14,0,14,0,0xe">
                <v:fill on="t" focussize="0,0"/>
                <v:stroke on="f"/>
                <v:imagedata o:title=""/>
                <o:lock v:ext="edit" aspectratio="f"/>
              </v:shape>
            </w:pict>
          </mc:Fallback>
        </mc:AlternateContent>
      </w:r>
      <w:bookmarkStart w:id="421" w:name="_bookmark44"/>
      <w:bookmarkEnd w:id="421"/>
      <w:r>
        <w:rPr>
          <w:rFonts w:hint="default" w:ascii="Times New Roman" w:hAnsi="Times New Roman" w:eastAsia="微软雅黑" w:cs="Times New Roman"/>
          <w:b w:val="0"/>
          <w:bCs w:val="0"/>
        </w:rPr>
        <w:t>8.水土保持管理</w:t>
      </w:r>
      <w:bookmarkEnd w:id="420"/>
    </w:p>
    <w:p>
      <w:pPr>
        <w:pStyle w:val="5"/>
        <w:pageBreakBefore w:val="0"/>
        <w:kinsoku/>
        <w:wordWrap/>
        <w:bidi w:val="0"/>
        <w:rPr>
          <w:rFonts w:hint="default" w:ascii="Times New Roman" w:hAnsi="Times New Roman" w:eastAsia="仿宋_GB2312" w:cs="Times New Roman"/>
          <w:b/>
          <w:bCs/>
        </w:rPr>
      </w:pPr>
      <w:bookmarkStart w:id="422" w:name="_bookmark45"/>
      <w:bookmarkEnd w:id="422"/>
      <w:bookmarkStart w:id="423" w:name="_Toc11165"/>
      <w:r>
        <w:rPr>
          <w:rFonts w:hint="default" w:ascii="Times New Roman" w:hAnsi="Times New Roman" w:eastAsia="仿宋_GB2312" w:cs="Times New Roman"/>
          <w:b/>
          <w:bCs/>
        </w:rPr>
        <w:t>8.1组织管理</w:t>
      </w:r>
      <w:bookmarkEnd w:id="423"/>
    </w:p>
    <w:p>
      <w:pPr>
        <w:pStyle w:val="164"/>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仿宋_GB2312" w:cs="Times New Roman"/>
          <w:bCs/>
          <w:iCs/>
          <w:color w:val="auto"/>
          <w:sz w:val="24"/>
          <w:szCs w:val="24"/>
        </w:rPr>
      </w:pPr>
      <w:r>
        <w:rPr>
          <w:rFonts w:hint="default" w:ascii="Times New Roman" w:hAnsi="Times New Roman" w:eastAsia="仿宋_GB2312" w:cs="Times New Roman"/>
          <w:bCs/>
          <w:iCs/>
          <w:color w:val="auto"/>
          <w:sz w:val="24"/>
          <w:szCs w:val="24"/>
        </w:rPr>
        <w:t>本项目</w:t>
      </w:r>
      <w:r>
        <w:rPr>
          <w:rFonts w:hint="eastAsia" w:ascii="Times New Roman" w:hAnsi="Times New Roman" w:eastAsia="仿宋_GB2312" w:cs="Times New Roman"/>
          <w:bCs/>
          <w:iCs/>
          <w:color w:val="auto"/>
          <w:sz w:val="24"/>
          <w:szCs w:val="24"/>
          <w:lang w:val="en-US" w:eastAsia="zh-CN"/>
        </w:rPr>
        <w:t>法人单位</w:t>
      </w:r>
      <w:r>
        <w:rPr>
          <w:rFonts w:hint="default" w:ascii="Times New Roman" w:hAnsi="Times New Roman" w:eastAsia="仿宋_GB2312" w:cs="Times New Roman"/>
          <w:bCs/>
          <w:iCs/>
          <w:color w:val="auto"/>
          <w:sz w:val="24"/>
          <w:szCs w:val="24"/>
        </w:rPr>
        <w:t>为长春市瑞通投资有限公司，本方案由项目建设单位组织实施，建设单位应当严格落实人为水土流失防治的主体责任，</w:t>
      </w:r>
      <w:r>
        <w:rPr>
          <w:rFonts w:hint="eastAsia" w:ascii="Times New Roman" w:hAnsi="Times New Roman" w:eastAsia="仿宋_GB2312" w:cs="Times New Roman"/>
          <w:bCs/>
          <w:iCs/>
          <w:color w:val="auto"/>
          <w:sz w:val="24"/>
          <w:szCs w:val="24"/>
          <w:lang w:eastAsia="zh-CN"/>
        </w:rPr>
        <w:t>严格</w:t>
      </w:r>
      <w:r>
        <w:rPr>
          <w:rFonts w:hint="eastAsia" w:ascii="Times New Roman" w:hAnsi="Times New Roman" w:eastAsia="仿宋_GB2312" w:cs="Times New Roman"/>
          <w:bCs/>
          <w:iCs/>
          <w:color w:val="auto"/>
          <w:sz w:val="24"/>
          <w:szCs w:val="24"/>
          <w:lang w:val="en-US" w:eastAsia="zh-CN"/>
        </w:rPr>
        <w:t>落实</w:t>
      </w:r>
      <w:r>
        <w:rPr>
          <w:rFonts w:hint="eastAsia" w:ascii="Times New Roman" w:hAnsi="Times New Roman" w:eastAsia="仿宋_GB2312" w:cs="Times New Roman"/>
          <w:bCs/>
          <w:iCs/>
          <w:color w:val="auto"/>
          <w:sz w:val="24"/>
          <w:szCs w:val="24"/>
          <w:lang w:eastAsia="zh-CN"/>
        </w:rPr>
        <w:t>相关法律法规、规章制度、技术标准规范、规程以及有关文件规定，加强全过程水土保持管理，认真做好水土保持相关工作。</w:t>
      </w:r>
      <w:r>
        <w:rPr>
          <w:rFonts w:hint="default" w:ascii="Times New Roman" w:hAnsi="Times New Roman" w:eastAsia="仿宋_GB2312" w:cs="Times New Roman"/>
          <w:bCs/>
          <w:iCs/>
          <w:color w:val="auto"/>
          <w:sz w:val="24"/>
          <w:szCs w:val="24"/>
        </w:rPr>
        <w:t>建设单位</w:t>
      </w:r>
      <w:r>
        <w:rPr>
          <w:rFonts w:hint="eastAsia" w:ascii="Times New Roman" w:hAnsi="Times New Roman" w:eastAsia="仿宋_GB2312" w:cs="Times New Roman"/>
          <w:bCs/>
          <w:iCs/>
          <w:color w:val="auto"/>
          <w:sz w:val="24"/>
          <w:szCs w:val="24"/>
          <w:lang w:val="en-US" w:eastAsia="zh-CN"/>
        </w:rPr>
        <w:t>应当</w:t>
      </w:r>
      <w:r>
        <w:rPr>
          <w:rFonts w:hint="default" w:ascii="Times New Roman" w:hAnsi="Times New Roman" w:eastAsia="仿宋_GB2312" w:cs="Times New Roman"/>
          <w:bCs/>
          <w:iCs/>
          <w:color w:val="auto"/>
          <w:sz w:val="24"/>
          <w:szCs w:val="24"/>
        </w:rPr>
        <w:t>加强领导和组织管理，</w:t>
      </w:r>
      <w:r>
        <w:rPr>
          <w:rFonts w:hint="eastAsia" w:ascii="Times New Roman" w:hAnsi="Times New Roman" w:eastAsia="仿宋_GB2312" w:cs="Times New Roman"/>
          <w:bCs/>
          <w:iCs/>
          <w:color w:val="auto"/>
          <w:sz w:val="24"/>
          <w:szCs w:val="24"/>
          <w:lang w:val="en-US" w:eastAsia="zh-CN"/>
        </w:rPr>
        <w:t>建立专门的</w:t>
      </w:r>
      <w:r>
        <w:rPr>
          <w:rFonts w:hint="default" w:ascii="Times New Roman" w:hAnsi="Times New Roman" w:eastAsia="仿宋_GB2312" w:cs="Times New Roman"/>
          <w:bCs/>
          <w:iCs/>
          <w:color w:val="auto"/>
          <w:sz w:val="24"/>
          <w:szCs w:val="24"/>
        </w:rPr>
        <w:t>水土保持方案</w:t>
      </w:r>
      <w:r>
        <w:rPr>
          <w:rFonts w:hint="eastAsia" w:ascii="Times New Roman" w:hAnsi="Times New Roman" w:eastAsia="仿宋_GB2312" w:cs="Times New Roman"/>
          <w:bCs/>
          <w:iCs/>
          <w:color w:val="auto"/>
          <w:sz w:val="24"/>
          <w:szCs w:val="24"/>
          <w:lang w:val="en-US" w:eastAsia="zh-CN"/>
        </w:rPr>
        <w:t>管理</w:t>
      </w:r>
      <w:r>
        <w:rPr>
          <w:rFonts w:hint="default" w:ascii="Times New Roman" w:hAnsi="Times New Roman" w:eastAsia="仿宋_GB2312" w:cs="Times New Roman"/>
          <w:bCs/>
          <w:iCs/>
          <w:color w:val="auto"/>
          <w:sz w:val="24"/>
          <w:szCs w:val="24"/>
        </w:rPr>
        <w:t>机构，</w:t>
      </w:r>
      <w:r>
        <w:rPr>
          <w:rFonts w:hint="eastAsia" w:ascii="Times New Roman" w:hAnsi="Times New Roman" w:eastAsia="仿宋_GB2312" w:cs="Times New Roman"/>
          <w:bCs/>
          <w:iCs/>
          <w:color w:val="auto"/>
          <w:sz w:val="24"/>
          <w:szCs w:val="24"/>
          <w:lang w:val="en-US" w:eastAsia="zh-CN"/>
        </w:rPr>
        <w:t>并</w:t>
      </w:r>
      <w:r>
        <w:rPr>
          <w:rFonts w:hint="default" w:ascii="Times New Roman" w:hAnsi="Times New Roman" w:eastAsia="仿宋_GB2312" w:cs="Times New Roman"/>
          <w:bCs/>
          <w:iCs/>
          <w:color w:val="auto"/>
          <w:sz w:val="24"/>
          <w:szCs w:val="24"/>
        </w:rPr>
        <w:t>设置专人负责水土保持工作，落实“项目法人制、招投标制和施工监理制”；制定方案施行的目标责任制和施行、检查、验收的具体办法和要求，建立健全水土保持管理的规章制度，建立水土保持工程档案，落实建设单位防治责任；并从施工招投标入手，落实施工单位</w:t>
      </w:r>
      <w:r>
        <w:rPr>
          <w:rFonts w:hint="eastAsia" w:ascii="Times New Roman" w:hAnsi="Times New Roman" w:eastAsia="仿宋_GB2312" w:cs="Times New Roman"/>
          <w:bCs/>
          <w:iCs/>
          <w:color w:val="auto"/>
          <w:sz w:val="24"/>
          <w:szCs w:val="24"/>
          <w:lang w:val="en-US" w:eastAsia="zh-CN"/>
        </w:rPr>
        <w:t>水土流失</w:t>
      </w:r>
      <w:r>
        <w:rPr>
          <w:rFonts w:hint="default" w:ascii="Times New Roman" w:hAnsi="Times New Roman" w:eastAsia="仿宋_GB2312" w:cs="Times New Roman"/>
          <w:bCs/>
          <w:iCs/>
          <w:color w:val="auto"/>
          <w:sz w:val="24"/>
          <w:szCs w:val="24"/>
        </w:rPr>
        <w:t>防治</w:t>
      </w:r>
      <w:r>
        <w:rPr>
          <w:rFonts w:hint="eastAsia" w:ascii="Times New Roman" w:hAnsi="Times New Roman" w:eastAsia="仿宋_GB2312" w:cs="Times New Roman"/>
          <w:bCs/>
          <w:iCs/>
          <w:color w:val="auto"/>
          <w:sz w:val="24"/>
          <w:szCs w:val="24"/>
          <w:lang w:val="en-US" w:eastAsia="zh-CN"/>
        </w:rPr>
        <w:t>主要</w:t>
      </w:r>
      <w:r>
        <w:rPr>
          <w:rFonts w:hint="default" w:ascii="Times New Roman" w:hAnsi="Times New Roman" w:eastAsia="仿宋_GB2312" w:cs="Times New Roman"/>
          <w:bCs/>
          <w:iCs/>
          <w:color w:val="auto"/>
          <w:sz w:val="24"/>
          <w:szCs w:val="24"/>
        </w:rPr>
        <w:t>责任；应当督促水土保持方案编制、监测、监理、施工、验收等单位及其人员强化行业自律，自觉遵守信用管理规定，分别对其技术成果、工程施工过程和质量负责并承担相应责任，防范违法违规和失信问题发生</w:t>
      </w:r>
      <w:r>
        <w:rPr>
          <w:rFonts w:hint="eastAsia" w:ascii="Times New Roman" w:hAnsi="Times New Roman" w:eastAsia="仿宋_GB2312" w:cs="Times New Roman"/>
          <w:bCs/>
          <w:iCs/>
          <w:color w:val="auto"/>
          <w:sz w:val="24"/>
          <w:szCs w:val="24"/>
          <w:lang w:eastAsia="zh-CN"/>
        </w:rPr>
        <w:t>；</w:t>
      </w:r>
      <w:r>
        <w:rPr>
          <w:rFonts w:hint="default" w:ascii="Times New Roman" w:hAnsi="Times New Roman" w:eastAsia="仿宋_GB2312" w:cs="Times New Roman"/>
          <w:bCs/>
          <w:iCs/>
          <w:color w:val="auto"/>
          <w:sz w:val="24"/>
          <w:szCs w:val="24"/>
        </w:rPr>
        <w:t>接受水行政主管部门监督检查，确保各年度水土保持工程按方案设计落到实处。</w:t>
      </w:r>
    </w:p>
    <w:p>
      <w:pPr>
        <w:pStyle w:val="164"/>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仿宋_GB2312" w:cs="Times New Roman"/>
          <w:bCs/>
          <w:iCs/>
          <w:color w:val="auto"/>
          <w:sz w:val="24"/>
          <w:szCs w:val="24"/>
        </w:rPr>
      </w:pPr>
      <w:r>
        <w:rPr>
          <w:rFonts w:hint="default" w:ascii="Times New Roman" w:hAnsi="Times New Roman" w:eastAsia="仿宋_GB2312" w:cs="Times New Roman"/>
          <w:bCs/>
          <w:iCs/>
          <w:color w:val="auto"/>
          <w:sz w:val="24"/>
          <w:szCs w:val="24"/>
          <w:lang w:eastAsia="zh-CN"/>
        </w:rPr>
        <w:t>本期项目</w:t>
      </w:r>
      <w:r>
        <w:rPr>
          <w:rFonts w:hint="default" w:ascii="Times New Roman" w:hAnsi="Times New Roman" w:eastAsia="仿宋_GB2312" w:cs="Times New Roman"/>
          <w:bCs/>
          <w:iCs/>
          <w:color w:val="auto"/>
          <w:sz w:val="24"/>
          <w:szCs w:val="24"/>
        </w:rPr>
        <w:t>各项水土保持措施投资纳入项目建设资金统一管理，并与主体工程建设资金同时调拨使用、同时施工、同时发挥效益，建设单位应积极开展工作，落实资金，保证方案施行。</w:t>
      </w:r>
    </w:p>
    <w:p>
      <w:pPr>
        <w:pStyle w:val="164"/>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仿宋_GB2312" w:cs="Times New Roman"/>
          <w:bCs/>
          <w:iCs/>
          <w:color w:val="auto"/>
          <w:sz w:val="24"/>
          <w:szCs w:val="24"/>
        </w:rPr>
      </w:pPr>
      <w:r>
        <w:rPr>
          <w:rFonts w:hint="default" w:ascii="Times New Roman" w:hAnsi="Times New Roman" w:eastAsia="仿宋_GB2312" w:cs="Times New Roman"/>
          <w:bCs/>
          <w:iCs/>
          <w:color w:val="auto"/>
          <w:sz w:val="24"/>
          <w:szCs w:val="24"/>
        </w:rPr>
        <w:t>建设单位要做好资金使用管理，建立水土保持资金档案，进行专项管理，保证建设资金及时足额到位，保障水土保持工作顺利进行。水土保持设施验收时建设单位应就水土保持投资估算调整情况、分年度投资安排、资金到位情况和经费支出情况提出总结报告。</w:t>
      </w:r>
    </w:p>
    <w:p>
      <w:pPr>
        <w:pStyle w:val="164"/>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napToGrid w:val="0"/>
          <w:color w:val="auto"/>
          <w:sz w:val="24"/>
          <w:szCs w:val="24"/>
        </w:rPr>
        <w:t>根据《生产建设项目水土保持方案管理办法》（水利部令第53号）</w:t>
      </w:r>
      <w:r>
        <w:rPr>
          <w:rFonts w:hint="eastAsia" w:ascii="Times New Roman" w:hAnsi="Times New Roman" w:eastAsia="仿宋_GB2312" w:cs="Times New Roman"/>
          <w:snapToGrid w:val="0"/>
          <w:color w:val="auto"/>
          <w:sz w:val="24"/>
          <w:szCs w:val="24"/>
          <w:lang w:val="en-US" w:eastAsia="zh-CN"/>
        </w:rPr>
        <w:t>以及</w:t>
      </w:r>
      <w:r>
        <w:rPr>
          <w:rFonts w:hint="default" w:ascii="Times New Roman" w:hAnsi="Times New Roman" w:eastAsia="仿宋_GB2312" w:cs="Times New Roman"/>
          <w:snapToGrid w:val="0"/>
          <w:color w:val="auto"/>
          <w:sz w:val="24"/>
          <w:szCs w:val="24"/>
        </w:rPr>
        <w:t>《水利部办公厅关于实施生产建设项目水土保持信用监管“两单”制度的通知》（办水保〔2020〕157号）</w:t>
      </w:r>
      <w:r>
        <w:rPr>
          <w:rFonts w:hint="eastAsia" w:ascii="Times New Roman" w:hAnsi="Times New Roman" w:eastAsia="仿宋_GB2312" w:cs="Times New Roman"/>
          <w:snapToGrid w:val="0"/>
          <w:color w:val="auto"/>
          <w:sz w:val="24"/>
          <w:szCs w:val="24"/>
          <w:lang w:val="en-US" w:eastAsia="zh-CN"/>
        </w:rPr>
        <w:t>等有关规定</w:t>
      </w:r>
      <w:r>
        <w:rPr>
          <w:rFonts w:hint="default" w:ascii="Times New Roman" w:hAnsi="Times New Roman" w:eastAsia="仿宋_GB2312" w:cs="Times New Roman"/>
          <w:snapToGrid w:val="0"/>
          <w:color w:val="auto"/>
          <w:sz w:val="24"/>
          <w:szCs w:val="24"/>
        </w:rPr>
        <w:t>，生产建设单位如</w:t>
      </w:r>
      <w:r>
        <w:rPr>
          <w:rFonts w:hint="eastAsia" w:ascii="Times New Roman" w:hAnsi="Times New Roman" w:eastAsia="仿宋_GB2312" w:cs="Times New Roman"/>
          <w:snapToGrid w:val="0"/>
          <w:color w:val="auto"/>
          <w:sz w:val="24"/>
          <w:szCs w:val="24"/>
          <w:lang w:val="en-US" w:eastAsia="zh-CN"/>
        </w:rPr>
        <w:t>存在</w:t>
      </w:r>
      <w:r>
        <w:rPr>
          <w:rFonts w:hint="default" w:ascii="Times New Roman" w:hAnsi="Times New Roman" w:eastAsia="仿宋_GB2312" w:cs="Times New Roman"/>
          <w:snapToGrid w:val="0"/>
          <w:color w:val="auto"/>
          <w:sz w:val="24"/>
          <w:szCs w:val="24"/>
        </w:rPr>
        <w:t>“未批先弃”“未验先投”的</w:t>
      </w:r>
      <w:r>
        <w:rPr>
          <w:rFonts w:hint="eastAsia" w:ascii="Times New Roman" w:hAnsi="Times New Roman" w:eastAsia="仿宋_GB2312" w:cs="Times New Roman"/>
          <w:snapToGrid w:val="0"/>
          <w:color w:val="auto"/>
          <w:sz w:val="24"/>
          <w:szCs w:val="24"/>
          <w:lang w:eastAsia="zh-CN"/>
        </w:rPr>
        <w:t>，</w:t>
      </w:r>
      <w:r>
        <w:rPr>
          <w:rFonts w:hint="default" w:ascii="Times New Roman" w:hAnsi="Times New Roman" w:eastAsia="仿宋_GB2312" w:cs="Times New Roman"/>
          <w:snapToGrid w:val="0"/>
          <w:color w:val="auto"/>
          <w:sz w:val="24"/>
          <w:szCs w:val="24"/>
        </w:rPr>
        <w:t>作出不实承诺或者未履行承诺的</w:t>
      </w:r>
      <w:r>
        <w:rPr>
          <w:rFonts w:hint="eastAsia" w:ascii="Times New Roman" w:hAnsi="Times New Roman" w:eastAsia="仿宋_GB2312" w:cs="Times New Roman"/>
          <w:snapToGrid w:val="0"/>
          <w:color w:val="auto"/>
          <w:sz w:val="24"/>
          <w:szCs w:val="24"/>
          <w:lang w:eastAsia="zh-CN"/>
        </w:rPr>
        <w:t>，</w:t>
      </w:r>
      <w:r>
        <w:rPr>
          <w:rFonts w:hint="default" w:ascii="Times New Roman" w:hAnsi="Times New Roman" w:eastAsia="仿宋_GB2312" w:cs="Times New Roman"/>
          <w:snapToGrid w:val="0"/>
          <w:color w:val="auto"/>
          <w:sz w:val="24"/>
          <w:szCs w:val="24"/>
        </w:rPr>
        <w:t>未按规定组织开展水土保持设计、监测、监理工作的</w:t>
      </w:r>
      <w:r>
        <w:rPr>
          <w:rFonts w:hint="eastAsia" w:ascii="Times New Roman" w:hAnsi="Times New Roman" w:eastAsia="仿宋_GB2312" w:cs="Times New Roman"/>
          <w:snapToGrid w:val="0"/>
          <w:color w:val="auto"/>
          <w:sz w:val="24"/>
          <w:szCs w:val="24"/>
          <w:lang w:eastAsia="zh-CN"/>
        </w:rPr>
        <w:t>，</w:t>
      </w:r>
      <w:r>
        <w:rPr>
          <w:rFonts w:hint="default" w:ascii="Times New Roman" w:hAnsi="Times New Roman" w:eastAsia="仿宋_GB2312" w:cs="Times New Roman"/>
          <w:snapToGrid w:val="0"/>
          <w:color w:val="auto"/>
          <w:sz w:val="24"/>
          <w:szCs w:val="24"/>
        </w:rPr>
        <w:t>水土保持工程、植物、临时措施落实不足50%的</w:t>
      </w:r>
      <w:r>
        <w:rPr>
          <w:rFonts w:hint="eastAsia" w:ascii="Times New Roman" w:hAnsi="Times New Roman" w:eastAsia="仿宋_GB2312" w:cs="Times New Roman"/>
          <w:snapToGrid w:val="0"/>
          <w:color w:val="auto"/>
          <w:sz w:val="24"/>
          <w:szCs w:val="24"/>
          <w:lang w:eastAsia="zh-CN"/>
        </w:rPr>
        <w:t>，</w:t>
      </w:r>
      <w:r>
        <w:rPr>
          <w:rFonts w:hint="default" w:ascii="Times New Roman" w:hAnsi="Times New Roman" w:eastAsia="仿宋_GB2312" w:cs="Times New Roman"/>
          <w:snapToGrid w:val="0"/>
          <w:color w:val="auto"/>
          <w:sz w:val="24"/>
          <w:szCs w:val="24"/>
        </w:rPr>
        <w:t>不满足验收标准和条件而通过自主验收的</w:t>
      </w:r>
      <w:r>
        <w:rPr>
          <w:rFonts w:hint="eastAsia" w:ascii="Times New Roman" w:hAnsi="Times New Roman" w:eastAsia="仿宋_GB2312" w:cs="Times New Roman"/>
          <w:snapToGrid w:val="0"/>
          <w:color w:val="auto"/>
          <w:sz w:val="24"/>
          <w:szCs w:val="24"/>
          <w:lang w:val="en-US" w:eastAsia="zh-CN"/>
        </w:rPr>
        <w:t>等情形的</w:t>
      </w:r>
      <w:r>
        <w:rPr>
          <w:rFonts w:hint="default" w:ascii="Times New Roman" w:hAnsi="Times New Roman" w:eastAsia="仿宋_GB2312" w:cs="Times New Roman"/>
          <w:snapToGrid w:val="0"/>
          <w:color w:val="auto"/>
          <w:sz w:val="24"/>
          <w:szCs w:val="24"/>
        </w:rPr>
        <w:t>；将</w:t>
      </w:r>
      <w:r>
        <w:rPr>
          <w:rFonts w:hint="eastAsia" w:ascii="Times New Roman" w:hAnsi="Times New Roman" w:eastAsia="仿宋_GB2312" w:cs="Times New Roman"/>
          <w:snapToGrid w:val="0"/>
          <w:color w:val="auto"/>
          <w:sz w:val="24"/>
          <w:szCs w:val="24"/>
          <w:lang w:val="en-US" w:eastAsia="zh-CN"/>
        </w:rPr>
        <w:t>可能被水行政主管部门依法依规</w:t>
      </w:r>
      <w:r>
        <w:rPr>
          <w:rFonts w:hint="default" w:ascii="Times New Roman" w:hAnsi="Times New Roman" w:eastAsia="仿宋_GB2312" w:cs="Times New Roman"/>
          <w:snapToGrid w:val="0"/>
          <w:color w:val="auto"/>
          <w:sz w:val="24"/>
          <w:szCs w:val="24"/>
        </w:rPr>
        <w:t>列入水土保持“重点关注名单”。在“重点关注名单”公开期内再次发生将列入“重点关注名单”情形的，或作出不实承诺被撤销准予许可决定的，或被实施水土保持行政强制的，或拒不执行水土保持行政处罚决定的，将</w:t>
      </w:r>
      <w:r>
        <w:rPr>
          <w:rFonts w:hint="eastAsia" w:ascii="Times New Roman" w:hAnsi="Times New Roman" w:eastAsia="仿宋_GB2312" w:cs="Times New Roman"/>
          <w:snapToGrid w:val="0"/>
          <w:color w:val="auto"/>
          <w:sz w:val="24"/>
          <w:szCs w:val="24"/>
          <w:lang w:val="en-US" w:eastAsia="zh-CN"/>
        </w:rPr>
        <w:t>会被水行政主管部门依法依规</w:t>
      </w:r>
      <w:r>
        <w:rPr>
          <w:rFonts w:hint="default" w:ascii="Times New Roman" w:hAnsi="Times New Roman" w:eastAsia="仿宋_GB2312" w:cs="Times New Roman"/>
          <w:snapToGrid w:val="0"/>
          <w:color w:val="auto"/>
          <w:sz w:val="24"/>
          <w:szCs w:val="24"/>
        </w:rPr>
        <w:t>列入水土保持“黑名单”。</w:t>
      </w:r>
    </w:p>
    <w:p>
      <w:pPr>
        <w:pStyle w:val="5"/>
        <w:keepNext/>
        <w:keepLines/>
        <w:pageBreakBefore w:val="0"/>
        <w:widowControl w:val="0"/>
        <w:kinsoku/>
        <w:wordWrap/>
        <w:overflowPunct/>
        <w:topLinePunct w:val="0"/>
        <w:autoSpaceDE w:val="0"/>
        <w:autoSpaceDN w:val="0"/>
        <w:bidi w:val="0"/>
        <w:adjustRightInd/>
        <w:snapToGrid/>
        <w:ind w:left="431" w:hanging="431"/>
        <w:textAlignment w:val="bottom"/>
        <w:rPr>
          <w:rFonts w:hint="default" w:ascii="Times New Roman" w:hAnsi="Times New Roman" w:eastAsia="仿宋_GB2312" w:cs="Times New Roman"/>
          <w:b/>
          <w:bCs/>
        </w:rPr>
      </w:pPr>
      <w:bookmarkStart w:id="424" w:name="_bookmark46"/>
      <w:bookmarkEnd w:id="424"/>
      <w:bookmarkStart w:id="425" w:name="_Toc13041"/>
      <w:r>
        <w:rPr>
          <w:rFonts w:hint="default" w:ascii="Times New Roman" w:hAnsi="Times New Roman" w:eastAsia="仿宋_GB2312" w:cs="Times New Roman"/>
          <w:b/>
          <w:bCs/>
        </w:rPr>
        <w:t>8.2后续设计</w:t>
      </w:r>
      <w:bookmarkEnd w:id="425"/>
    </w:p>
    <w:p>
      <w:pPr>
        <w:pStyle w:val="87"/>
        <w:keepNext w:val="0"/>
        <w:keepLines w:val="0"/>
        <w:pageBreakBefore w:val="0"/>
        <w:widowControl w:val="0"/>
        <w:kinsoku/>
        <w:wordWrap/>
        <w:overflowPunct/>
        <w:topLinePunct w:val="0"/>
        <w:autoSpaceDE/>
        <w:autoSpaceDN/>
        <w:bidi w:val="0"/>
        <w:adjustRightInd/>
        <w:snapToGrid/>
        <w:spacing w:after="0" w:line="360" w:lineRule="auto"/>
        <w:ind w:left="0" w:leftChars="0" w:firstLine="480"/>
        <w:textAlignment w:val="baseline"/>
        <w:rPr>
          <w:rFonts w:hint="eastAsia" w:eastAsia="仿宋_GB2312" w:cs="Times New Roman"/>
          <w:kern w:val="0"/>
          <w:sz w:val="24"/>
          <w:lang w:eastAsia="zh-CN"/>
        </w:rPr>
      </w:pPr>
      <w:r>
        <w:rPr>
          <w:rFonts w:hint="eastAsia" w:ascii="Times New Roman" w:hAnsi="Times New Roman" w:eastAsia="仿宋_GB2312" w:cs="Times New Roman"/>
          <w:snapToGrid w:val="0"/>
          <w:color w:val="auto"/>
          <w:sz w:val="24"/>
          <w:szCs w:val="24"/>
          <w:lang w:val="en-US" w:eastAsia="zh-CN"/>
        </w:rPr>
        <w:t>根据</w:t>
      </w:r>
      <w:r>
        <w:rPr>
          <w:rFonts w:hint="default" w:ascii="Times New Roman" w:hAnsi="Times New Roman" w:eastAsia="仿宋_GB2312" w:cs="Times New Roman"/>
          <w:snapToGrid w:val="0"/>
          <w:color w:val="auto"/>
          <w:sz w:val="24"/>
          <w:szCs w:val="24"/>
        </w:rPr>
        <w:t>《生产建设项目水土保持方案管理办法》（水利部令第53号）</w:t>
      </w:r>
      <w:r>
        <w:rPr>
          <w:rFonts w:hint="eastAsia" w:ascii="Times New Roman" w:hAnsi="Times New Roman" w:eastAsia="仿宋_GB2312" w:cs="Times New Roman"/>
          <w:snapToGrid w:val="0"/>
          <w:color w:val="auto"/>
          <w:sz w:val="24"/>
          <w:szCs w:val="24"/>
          <w:lang w:val="en-US" w:eastAsia="zh-CN"/>
        </w:rPr>
        <w:t>以及</w:t>
      </w:r>
      <w:r>
        <w:rPr>
          <w:rFonts w:hint="default" w:ascii="Times New Roman" w:hAnsi="Times New Roman" w:eastAsia="仿宋_GB2312" w:cs="Times New Roman"/>
          <w:kern w:val="0"/>
          <w:sz w:val="24"/>
        </w:rPr>
        <w:t>《吉林省水利厅关于印发省级生产建设项目水土保持后续设计报备政务事项服务指南的通知》（吉水保函〔2022〕177号）</w:t>
      </w:r>
      <w:r>
        <w:rPr>
          <w:rFonts w:hint="eastAsia" w:ascii="Times New Roman" w:hAnsi="Times New Roman" w:eastAsia="仿宋_GB2312" w:cs="Times New Roman"/>
          <w:kern w:val="0"/>
          <w:sz w:val="24"/>
          <w:lang w:val="en-US" w:eastAsia="zh-CN"/>
        </w:rPr>
        <w:t>规定，需要编制初步设计的生产建设项目，其初步设计应当包括水土保持篇章，明确水土流失防治措施、标准和水土保持投资，其施工图设计应当细化水土保持措施设计。</w:t>
      </w:r>
      <w:r>
        <w:rPr>
          <w:rFonts w:hint="default" w:ascii="Times New Roman" w:hAnsi="Times New Roman" w:eastAsia="仿宋_GB2312" w:cs="Times New Roman"/>
          <w:kern w:val="0"/>
          <w:sz w:val="24"/>
          <w:lang w:eastAsia="zh-CN"/>
        </w:rPr>
        <w:t>本期项目</w:t>
      </w:r>
      <w:r>
        <w:rPr>
          <w:rFonts w:hint="default" w:ascii="Times New Roman" w:hAnsi="Times New Roman" w:eastAsia="仿宋_GB2312" w:cs="Times New Roman"/>
          <w:kern w:val="0"/>
          <w:sz w:val="24"/>
        </w:rPr>
        <w:t>的水土保持方案报告书经水行政主管部门批复后，建设单位应及时</w:t>
      </w:r>
      <w:r>
        <w:rPr>
          <w:rFonts w:hint="eastAsia" w:eastAsia="仿宋_GB2312" w:cs="Times New Roman"/>
          <w:kern w:val="0"/>
          <w:sz w:val="24"/>
          <w:lang w:val="en-US" w:eastAsia="zh-CN"/>
        </w:rPr>
        <w:t>按规定委托</w:t>
      </w:r>
      <w:r>
        <w:rPr>
          <w:rFonts w:hint="default" w:ascii="Times New Roman" w:hAnsi="Times New Roman" w:eastAsia="仿宋_GB2312" w:cs="Times New Roman"/>
          <w:kern w:val="0"/>
          <w:sz w:val="24"/>
        </w:rPr>
        <w:t>开展水土保持后续设计并向水行政主管部门</w:t>
      </w:r>
      <w:r>
        <w:rPr>
          <w:rFonts w:hint="eastAsia" w:eastAsia="仿宋_GB2312" w:cs="Times New Roman"/>
          <w:kern w:val="0"/>
          <w:sz w:val="24"/>
          <w:lang w:val="en-US" w:eastAsia="zh-CN"/>
        </w:rPr>
        <w:t>履行</w:t>
      </w:r>
      <w:r>
        <w:rPr>
          <w:rFonts w:hint="default" w:ascii="Times New Roman" w:hAnsi="Times New Roman" w:eastAsia="仿宋_GB2312" w:cs="Times New Roman"/>
          <w:kern w:val="0"/>
          <w:sz w:val="24"/>
        </w:rPr>
        <w:t>报备</w:t>
      </w:r>
      <w:r>
        <w:rPr>
          <w:rFonts w:hint="eastAsia" w:eastAsia="仿宋_GB2312" w:cs="Times New Roman"/>
          <w:kern w:val="0"/>
          <w:sz w:val="24"/>
          <w:lang w:val="en-US" w:eastAsia="zh-CN"/>
        </w:rPr>
        <w:t>手续</w:t>
      </w:r>
      <w:r>
        <w:rPr>
          <w:rFonts w:hint="eastAsia" w:eastAsia="仿宋_GB2312" w:cs="Times New Roman"/>
          <w:kern w:val="0"/>
          <w:sz w:val="24"/>
          <w:lang w:eastAsia="zh-CN"/>
        </w:rPr>
        <w:t>。</w:t>
      </w:r>
    </w:p>
    <w:p>
      <w:pPr>
        <w:pStyle w:val="87"/>
        <w:keepNext w:val="0"/>
        <w:keepLines w:val="0"/>
        <w:pageBreakBefore w:val="0"/>
        <w:widowControl w:val="0"/>
        <w:kinsoku/>
        <w:wordWrap/>
        <w:overflowPunct/>
        <w:topLinePunct w:val="0"/>
        <w:autoSpaceDE/>
        <w:autoSpaceDN/>
        <w:bidi w:val="0"/>
        <w:adjustRightInd/>
        <w:snapToGrid/>
        <w:spacing w:after="0" w:line="360" w:lineRule="auto"/>
        <w:ind w:left="0" w:leftChars="0" w:firstLine="480"/>
        <w:textAlignment w:val="baseline"/>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设计单位应分区复核土石方平衡，复核水土流失防治责任范围、水土流失防治分区和水土保持措施总体布局，要将批复水保方案的措施体系加入至施工图中，进行水土流失防治单项工程的的施工图设计，计算完善相应工程量，核算水土保持工程量和投资预算。</w:t>
      </w:r>
      <w:r>
        <w:rPr>
          <w:rFonts w:hint="eastAsia" w:eastAsia="仿宋_GB2312" w:cs="Times New Roman"/>
          <w:kern w:val="0"/>
          <w:sz w:val="24"/>
          <w:lang w:val="en-US" w:eastAsia="zh-CN"/>
        </w:rPr>
        <w:t>根据《吉林省水利厅关于进一步加强全省生产建设项目水土保持方案管理有关工作的通知》（吉水保函〔2023〕8号），</w:t>
      </w:r>
      <w:r>
        <w:rPr>
          <w:rFonts w:hint="default" w:ascii="Times New Roman" w:hAnsi="Times New Roman" w:eastAsia="仿宋_GB2312" w:cs="Times New Roman"/>
          <w:kern w:val="0"/>
          <w:sz w:val="24"/>
        </w:rPr>
        <w:t>编制水土保持后续设计要按照相关法律法规、技术标准以及经批准的水土保持方案制定，无合法有效依据，不得随意改变行政许可决定确定的水土流失防治责任范围、水土流失防治标准指标以及水土保持各项措施等内容，不得自行减免应当承担的水土保持法定责任与义务。</w:t>
      </w:r>
    </w:p>
    <w:p>
      <w:pPr>
        <w:pStyle w:val="87"/>
        <w:keepNext w:val="0"/>
        <w:keepLines w:val="0"/>
        <w:pageBreakBefore w:val="0"/>
        <w:widowControl w:val="0"/>
        <w:kinsoku/>
        <w:wordWrap/>
        <w:overflowPunct/>
        <w:topLinePunct w:val="0"/>
        <w:autoSpaceDE/>
        <w:autoSpaceDN/>
        <w:bidi w:val="0"/>
        <w:adjustRightInd/>
        <w:snapToGrid/>
        <w:spacing w:after="0" w:line="360" w:lineRule="auto"/>
        <w:ind w:left="0" w:leftChars="0" w:firstLine="480"/>
        <w:textAlignment w:val="baseline"/>
        <w:rPr>
          <w:rFonts w:hint="default" w:ascii="Times New Roman" w:hAnsi="Times New Roman" w:eastAsia="仿宋_GB2312" w:cs="Times New Roman"/>
          <w:kern w:val="0"/>
          <w:sz w:val="24"/>
        </w:rPr>
      </w:pPr>
      <w:r>
        <w:rPr>
          <w:rFonts w:hint="eastAsia" w:eastAsia="仿宋_GB2312" w:cs="Times New Roman"/>
          <w:kern w:val="0"/>
          <w:sz w:val="24"/>
          <w:lang w:val="en-US" w:eastAsia="zh-CN"/>
        </w:rPr>
        <w:t>根据</w:t>
      </w:r>
      <w:r>
        <w:rPr>
          <w:rFonts w:hint="default" w:ascii="Times New Roman" w:hAnsi="Times New Roman" w:eastAsia="仿宋_GB2312" w:cs="Times New Roman"/>
          <w:snapToGrid w:val="0"/>
          <w:color w:val="auto"/>
          <w:sz w:val="24"/>
          <w:szCs w:val="24"/>
        </w:rPr>
        <w:t>《生产建设项目水土保持方案管理办法》（水利部令第53号）</w:t>
      </w:r>
      <w:r>
        <w:rPr>
          <w:rFonts w:hint="eastAsia" w:ascii="Times New Roman" w:hAnsi="Times New Roman" w:eastAsia="仿宋_GB2312" w:cs="Times New Roman"/>
          <w:snapToGrid w:val="0"/>
          <w:color w:val="auto"/>
          <w:sz w:val="24"/>
          <w:szCs w:val="24"/>
          <w:lang w:val="en-US" w:eastAsia="zh-CN"/>
        </w:rPr>
        <w:t>以及</w:t>
      </w:r>
      <w:r>
        <w:rPr>
          <w:rFonts w:hint="default" w:ascii="Times New Roman" w:hAnsi="Times New Roman" w:eastAsia="仿宋_GB2312" w:cs="Times New Roman"/>
          <w:kern w:val="0"/>
          <w:sz w:val="24"/>
        </w:rPr>
        <w:t>《水利部办公厅关于实施生产建设项目水土保持信用监管“两单”制度的通知》（办水保〔2020〕157号）</w:t>
      </w:r>
      <w:r>
        <w:rPr>
          <w:rFonts w:hint="eastAsia"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rPr>
        <w:t>如设计单位未按水土保持方案和设计规范开展设计或者存在弄虚作假等违法行为，视情节严重情况</w:t>
      </w:r>
      <w:r>
        <w:rPr>
          <w:rFonts w:hint="eastAsia" w:eastAsia="仿宋_GB2312" w:cs="Times New Roman"/>
          <w:kern w:val="0"/>
          <w:sz w:val="24"/>
          <w:lang w:eastAsia="zh-CN"/>
        </w:rPr>
        <w:t>，</w:t>
      </w:r>
      <w:r>
        <w:rPr>
          <w:rFonts w:hint="eastAsia" w:eastAsia="仿宋_GB2312" w:cs="Times New Roman"/>
          <w:kern w:val="0"/>
          <w:sz w:val="24"/>
          <w:lang w:val="en-US" w:eastAsia="zh-CN"/>
        </w:rPr>
        <w:t>将会被水行政主管部门</w:t>
      </w:r>
      <w:r>
        <w:rPr>
          <w:rFonts w:hint="default" w:ascii="Times New Roman" w:hAnsi="Times New Roman" w:eastAsia="仿宋_GB2312" w:cs="Times New Roman"/>
          <w:kern w:val="0"/>
          <w:sz w:val="24"/>
        </w:rPr>
        <w:t>列入水土保持“重点关注名单”或者“黑名单”。</w:t>
      </w:r>
    </w:p>
    <w:p>
      <w:pPr>
        <w:pStyle w:val="87"/>
        <w:keepNext w:val="0"/>
        <w:keepLines w:val="0"/>
        <w:pageBreakBefore w:val="0"/>
        <w:widowControl w:val="0"/>
        <w:kinsoku/>
        <w:wordWrap/>
        <w:overflowPunct/>
        <w:topLinePunct w:val="0"/>
        <w:autoSpaceDE/>
        <w:autoSpaceDN/>
        <w:bidi w:val="0"/>
        <w:adjustRightInd/>
        <w:snapToGrid/>
        <w:spacing w:after="0" w:line="360" w:lineRule="auto"/>
        <w:ind w:left="0" w:leftChars="0" w:firstLine="480"/>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rPr>
        <w:t>在后续的施工过程中，如果因本方案主体工程设计变更时应同时进行水土保持措施变更设计，须报经原批准单位同意，并按规定程序报备。当生产建设项目的地点、规模发生重大变化的，或水土保持方案实施过程中水土保持措施需作出重大变更的，必须严格按照</w:t>
      </w:r>
      <w:r>
        <w:rPr>
          <w:rFonts w:hint="default" w:ascii="Times New Roman" w:hAnsi="Times New Roman" w:eastAsia="仿宋_GB2312" w:cs="Times New Roman"/>
          <w:snapToGrid w:val="0"/>
          <w:color w:val="auto"/>
          <w:sz w:val="24"/>
          <w:szCs w:val="24"/>
        </w:rPr>
        <w:t>《生产建设项目水土保持方案管理办法》（水利部令第53号）</w:t>
      </w:r>
      <w:r>
        <w:rPr>
          <w:rFonts w:hint="eastAsia" w:eastAsia="仿宋_GB2312" w:cs="Times New Roman"/>
          <w:kern w:val="0"/>
          <w:sz w:val="24"/>
          <w:lang w:val="en-US" w:eastAsia="zh-CN"/>
        </w:rPr>
        <w:t>要求，及时</w:t>
      </w:r>
      <w:r>
        <w:rPr>
          <w:rFonts w:hint="default" w:ascii="Times New Roman" w:hAnsi="Times New Roman" w:eastAsia="仿宋_GB2312" w:cs="Times New Roman"/>
          <w:kern w:val="0"/>
          <w:sz w:val="24"/>
        </w:rPr>
        <w:t>补充或者修改水土保持方案并报</w:t>
      </w:r>
      <w:r>
        <w:rPr>
          <w:rFonts w:hint="eastAsia" w:eastAsia="仿宋_GB2312" w:cs="Times New Roman"/>
          <w:kern w:val="0"/>
          <w:sz w:val="24"/>
          <w:lang w:val="en-US" w:eastAsia="zh-CN"/>
        </w:rPr>
        <w:t>原方案审批部门批准</w:t>
      </w:r>
      <w:r>
        <w:rPr>
          <w:rFonts w:hint="default" w:ascii="Times New Roman" w:hAnsi="Times New Roman" w:eastAsia="仿宋_GB2312" w:cs="Times New Roman"/>
          <w:kern w:val="0"/>
          <w:sz w:val="24"/>
        </w:rPr>
        <w:t>。</w:t>
      </w:r>
    </w:p>
    <w:p>
      <w:pPr>
        <w:pStyle w:val="5"/>
        <w:pageBreakBefore w:val="0"/>
        <w:kinsoku/>
        <w:wordWrap/>
        <w:bidi w:val="0"/>
        <w:rPr>
          <w:rFonts w:hint="default" w:ascii="Times New Roman" w:hAnsi="Times New Roman" w:eastAsia="仿宋_GB2312" w:cs="Times New Roman"/>
          <w:b/>
          <w:bCs/>
        </w:rPr>
      </w:pPr>
      <w:bookmarkStart w:id="426" w:name="_bookmark47"/>
      <w:bookmarkEnd w:id="426"/>
      <w:bookmarkStart w:id="427" w:name="_Toc3150"/>
      <w:r>
        <w:rPr>
          <w:rFonts w:hint="default" w:ascii="Times New Roman" w:hAnsi="Times New Roman" w:eastAsia="仿宋_GB2312" w:cs="Times New Roman"/>
          <w:b/>
          <w:bCs/>
        </w:rPr>
        <w:t>8.3水土保持监测</w:t>
      </w:r>
      <w:bookmarkEnd w:id="427"/>
    </w:p>
    <w:p>
      <w:pPr>
        <w:pStyle w:val="7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根据水土保持</w:t>
      </w:r>
      <w:r>
        <w:rPr>
          <w:rFonts w:hint="eastAsia" w:ascii="Times New Roman" w:eastAsia="仿宋_GB2312" w:cs="Times New Roman"/>
          <w:color w:val="auto"/>
          <w:sz w:val="24"/>
          <w:szCs w:val="24"/>
          <w:lang w:val="en-US" w:eastAsia="zh-CN"/>
        </w:rPr>
        <w:t>法律法规</w:t>
      </w: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snapToGrid w:val="0"/>
          <w:color w:val="auto"/>
          <w:sz w:val="24"/>
          <w:szCs w:val="24"/>
        </w:rPr>
        <w:t>《生产建设项目水土保持方案管理办法》（水利部令第53号）</w:t>
      </w:r>
      <w:r>
        <w:rPr>
          <w:rFonts w:hint="eastAsia" w:ascii="Times New Roman" w:hAnsi="Times New Roman" w:eastAsia="仿宋_GB2312" w:cs="Times New Roman"/>
          <w:snapToGrid w:val="0"/>
          <w:color w:val="auto"/>
          <w:sz w:val="24"/>
          <w:szCs w:val="24"/>
          <w:lang w:val="en-US" w:eastAsia="zh-CN"/>
        </w:rPr>
        <w:t>以及</w:t>
      </w:r>
      <w:r>
        <w:rPr>
          <w:rFonts w:hint="default" w:ascii="Times New Roman" w:hAnsi="Times New Roman" w:eastAsia="仿宋_GB2312" w:cs="Times New Roman"/>
          <w:color w:val="auto"/>
          <w:sz w:val="24"/>
          <w:szCs w:val="24"/>
        </w:rPr>
        <w:t>《水利部关于进一步深化“放管服”改革全面加强水土保持监管的意见》（水保</w:t>
      </w:r>
      <w:r>
        <w:rPr>
          <w:rFonts w:hint="default" w:ascii="Times New Roman" w:hAnsi="Times New Roman" w:eastAsia="仿宋_GB2312" w:cs="Times New Roman"/>
          <w:snapToGrid w:val="0"/>
          <w:color w:val="auto"/>
          <w:sz w:val="24"/>
          <w:szCs w:val="24"/>
          <w:lang w:val="zh-CN"/>
        </w:rPr>
        <w:t>〔</w:t>
      </w:r>
      <w:r>
        <w:rPr>
          <w:rFonts w:hint="default" w:ascii="Times New Roman" w:hAnsi="Times New Roman" w:eastAsia="仿宋_GB2312" w:cs="Times New Roman"/>
          <w:color w:val="auto"/>
          <w:sz w:val="24"/>
          <w:szCs w:val="24"/>
        </w:rPr>
        <w:t>2019</w:t>
      </w:r>
      <w:r>
        <w:rPr>
          <w:rFonts w:hint="default" w:ascii="Times New Roman" w:hAnsi="Times New Roman" w:eastAsia="仿宋_GB2312" w:cs="Times New Roman"/>
          <w:snapToGrid w:val="0"/>
          <w:color w:val="auto"/>
          <w:sz w:val="24"/>
          <w:szCs w:val="24"/>
          <w:lang w:val="zh-CN"/>
        </w:rPr>
        <w:t>〕</w:t>
      </w:r>
      <w:r>
        <w:rPr>
          <w:rFonts w:hint="default" w:ascii="Times New Roman" w:hAnsi="Times New Roman" w:eastAsia="仿宋_GB2312" w:cs="Times New Roman"/>
          <w:color w:val="auto"/>
          <w:sz w:val="24"/>
          <w:szCs w:val="24"/>
        </w:rPr>
        <w:t>160号）、</w:t>
      </w:r>
      <w:r>
        <w:rPr>
          <w:rFonts w:hint="default" w:ascii="Times New Roman" w:hAnsi="Times New Roman" w:eastAsia="仿宋_GB2312" w:cs="Times New Roman"/>
          <w:snapToGrid w:val="0"/>
          <w:color w:val="auto"/>
          <w:sz w:val="24"/>
          <w:szCs w:val="24"/>
          <w:lang w:val="zh-CN"/>
        </w:rPr>
        <w:t>《水利部办公厅关于印发生产建设项目水土保持监督管理办法的通知》（办水保〔201</w:t>
      </w:r>
      <w:r>
        <w:rPr>
          <w:rFonts w:hint="default" w:ascii="Times New Roman" w:hAnsi="Times New Roman" w:eastAsia="仿宋_GB2312" w:cs="Times New Roman"/>
          <w:snapToGrid w:val="0"/>
          <w:color w:val="auto"/>
          <w:sz w:val="24"/>
          <w:szCs w:val="24"/>
        </w:rPr>
        <w:t>9</w:t>
      </w:r>
      <w:r>
        <w:rPr>
          <w:rFonts w:hint="default" w:ascii="Times New Roman" w:hAnsi="Times New Roman" w:eastAsia="仿宋_GB2312" w:cs="Times New Roman"/>
          <w:snapToGrid w:val="0"/>
          <w:color w:val="auto"/>
          <w:sz w:val="24"/>
          <w:szCs w:val="24"/>
          <w:lang w:val="zh-CN"/>
        </w:rPr>
        <w:t>〕1</w:t>
      </w:r>
      <w:r>
        <w:rPr>
          <w:rFonts w:hint="default" w:ascii="Times New Roman" w:hAnsi="Times New Roman" w:eastAsia="仿宋_GB2312" w:cs="Times New Roman"/>
          <w:snapToGrid w:val="0"/>
          <w:color w:val="auto"/>
          <w:sz w:val="24"/>
          <w:szCs w:val="24"/>
        </w:rPr>
        <w:t>72</w:t>
      </w:r>
      <w:r>
        <w:rPr>
          <w:rFonts w:hint="default" w:ascii="Times New Roman" w:hAnsi="Times New Roman" w:eastAsia="仿宋_GB2312" w:cs="Times New Roman"/>
          <w:snapToGrid w:val="0"/>
          <w:color w:val="auto"/>
          <w:sz w:val="24"/>
          <w:szCs w:val="24"/>
          <w:lang w:val="zh-CN"/>
        </w:rPr>
        <w:t>号）、《水利部办公厅关于进一步加强生产建设项目水土保持监测工作的通知》（办水保〔2020〕161号）</w:t>
      </w:r>
      <w:r>
        <w:rPr>
          <w:rFonts w:hint="eastAsia" w:ascii="Times New Roman" w:eastAsia="仿宋_GB2312" w:cs="Times New Roman"/>
          <w:color w:val="auto"/>
          <w:sz w:val="24"/>
          <w:szCs w:val="24"/>
          <w:lang w:val="en-US" w:eastAsia="zh-CN"/>
        </w:rPr>
        <w:t>等有关</w:t>
      </w:r>
      <w:r>
        <w:rPr>
          <w:rFonts w:hint="default" w:ascii="Times New Roman" w:hAnsi="Times New Roman" w:eastAsia="仿宋_GB2312" w:cs="Times New Roman"/>
          <w:color w:val="auto"/>
          <w:sz w:val="24"/>
          <w:szCs w:val="24"/>
        </w:rPr>
        <w:t>规定</w:t>
      </w:r>
      <w:r>
        <w:rPr>
          <w:rFonts w:hint="eastAsia" w:ascii="Times New Roman" w:eastAsia="仿宋_GB2312" w:cs="Times New Roman"/>
          <w:color w:val="auto"/>
          <w:sz w:val="24"/>
          <w:szCs w:val="24"/>
          <w:lang w:val="en-US" w:eastAsia="zh-CN"/>
        </w:rPr>
        <w:t>和</w:t>
      </w:r>
      <w:r>
        <w:rPr>
          <w:rFonts w:hint="default" w:ascii="Times New Roman" w:hAnsi="Times New Roman" w:eastAsia="仿宋_GB2312" w:cs="Times New Roman"/>
          <w:color w:val="auto"/>
          <w:sz w:val="24"/>
          <w:szCs w:val="24"/>
        </w:rPr>
        <w:t>要求，开展水土保持监测，是建设单位</w:t>
      </w:r>
      <w:r>
        <w:rPr>
          <w:rFonts w:hint="eastAsia" w:ascii="Times New Roman" w:eastAsia="仿宋_GB2312" w:cs="Times New Roman"/>
          <w:color w:val="auto"/>
          <w:sz w:val="24"/>
          <w:szCs w:val="24"/>
          <w:lang w:val="en-US" w:eastAsia="zh-CN"/>
        </w:rPr>
        <w:t>必须</w:t>
      </w:r>
      <w:r>
        <w:rPr>
          <w:rFonts w:hint="default" w:ascii="Times New Roman" w:hAnsi="Times New Roman" w:eastAsia="仿宋_GB2312" w:cs="Times New Roman"/>
          <w:color w:val="auto"/>
          <w:sz w:val="24"/>
          <w:szCs w:val="24"/>
        </w:rPr>
        <w:t>履行的一项法定义务。建设单位应及时自行开展或委托具有相应技术条件的机构进行</w:t>
      </w:r>
      <w:r>
        <w:rPr>
          <w:rFonts w:hint="default" w:ascii="Times New Roman" w:hAnsi="Times New Roman" w:eastAsia="仿宋_GB2312" w:cs="Times New Roman"/>
          <w:color w:val="auto"/>
          <w:sz w:val="24"/>
          <w:szCs w:val="24"/>
          <w:lang w:eastAsia="zh-CN"/>
        </w:rPr>
        <w:t>本期项目</w:t>
      </w:r>
      <w:r>
        <w:rPr>
          <w:rFonts w:hint="default" w:ascii="Times New Roman" w:hAnsi="Times New Roman" w:eastAsia="仿宋_GB2312" w:cs="Times New Roman"/>
          <w:color w:val="auto"/>
          <w:sz w:val="24"/>
          <w:szCs w:val="24"/>
        </w:rPr>
        <w:t>水土保持监测。</w:t>
      </w:r>
    </w:p>
    <w:p>
      <w:pPr>
        <w:pStyle w:val="7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监测单位要按照水土保持有关技术标准和批复后的本方案中的相关要求，根据项目特点，明确监测内容、方法和频次，定量分析评价项目水土流失状况和防治效果，及时向建设单位提出防治水土流失的意见建议，并按规定向水行政主管部门定期报送监测情况。在监测季报和总结报告等监测成果中进行“绿、黄、红”三色赋分并明确评价结论。生产建设单位应当将水土保持监测季报在其官方网站公开。</w:t>
      </w:r>
    </w:p>
    <w:p>
      <w:pPr>
        <w:pStyle w:val="7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监测单位应向有关水行政主管部门报送《生产建设项目水土保持监测实施方案》；每季度的第一个月月底前报送上个季度的《生产建设项目水土保持监测季度报告》；因降雨、大风或人为原因发生严重水土流失及危害事件的，应于事件发生后7日内报告有关情况；水土保持监测工作完成后，应于3个月内报送《生产建设项目水土保持监测总结报告》。监测过程中所获得的监测数据、监测图件和影响资料应妥善保存，并及时提交建设单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_GB2312" w:cs="Times New Roman"/>
          <w:sz w:val="24"/>
          <w:szCs w:val="24"/>
        </w:rPr>
      </w:pPr>
      <w:r>
        <w:rPr>
          <w:rFonts w:hint="eastAsia" w:eastAsia="仿宋_GB2312" w:cs="Times New Roman"/>
          <w:snapToGrid w:val="0"/>
          <w:color w:val="auto"/>
          <w:sz w:val="24"/>
          <w:szCs w:val="24"/>
          <w:lang w:val="en-US" w:eastAsia="zh-CN"/>
        </w:rPr>
        <w:t>根据</w:t>
      </w:r>
      <w:r>
        <w:rPr>
          <w:rFonts w:hint="default" w:ascii="Times New Roman" w:hAnsi="Times New Roman" w:eastAsia="仿宋_GB2312" w:cs="Times New Roman"/>
          <w:snapToGrid w:val="0"/>
          <w:color w:val="auto"/>
          <w:sz w:val="24"/>
          <w:szCs w:val="24"/>
        </w:rPr>
        <w:t>《生产建设项目水土保持方案管理办法》（水利部令第53号）</w:t>
      </w:r>
      <w:r>
        <w:rPr>
          <w:rFonts w:hint="eastAsia" w:ascii="Times New Roman" w:hAnsi="Times New Roman" w:eastAsia="仿宋_GB2312" w:cs="Times New Roman"/>
          <w:snapToGrid w:val="0"/>
          <w:color w:val="auto"/>
          <w:sz w:val="24"/>
          <w:szCs w:val="24"/>
          <w:lang w:val="en-US" w:eastAsia="zh-CN"/>
        </w:rPr>
        <w:t>以及</w:t>
      </w:r>
      <w:r>
        <w:rPr>
          <w:rFonts w:hint="default" w:ascii="Times New Roman" w:hAnsi="Times New Roman" w:eastAsia="仿宋_GB2312" w:cs="Times New Roman"/>
          <w:snapToGrid w:val="0"/>
          <w:color w:val="auto"/>
          <w:sz w:val="24"/>
          <w:szCs w:val="24"/>
        </w:rPr>
        <w:t>《水利部办公厅关于实施生产建设项目水土保持信用监管“两单”制度的通知》（办水保〔2020〕157号），</w:t>
      </w:r>
      <w:r>
        <w:rPr>
          <w:rFonts w:hint="eastAsia" w:eastAsia="仿宋_GB2312" w:cs="Times New Roman"/>
          <w:snapToGrid w:val="0"/>
          <w:color w:val="auto"/>
          <w:sz w:val="24"/>
          <w:szCs w:val="24"/>
          <w:lang w:val="en-US" w:eastAsia="zh-CN"/>
        </w:rPr>
        <w:t>对于</w:t>
      </w:r>
      <w:r>
        <w:rPr>
          <w:rFonts w:hint="default" w:ascii="Times New Roman" w:hAnsi="Times New Roman" w:eastAsia="仿宋_GB2312" w:cs="Times New Roman"/>
          <w:snapToGrid w:val="0"/>
          <w:color w:val="auto"/>
          <w:sz w:val="24"/>
          <w:szCs w:val="24"/>
        </w:rPr>
        <w:t>监测单位存在迟于合同规定6个月以上未开展监测工作的；同一项目的监测季报2次未按时提交的；监测季报三色评价和总结报告结论与实际不符的；将</w:t>
      </w:r>
      <w:r>
        <w:rPr>
          <w:rFonts w:hint="eastAsia" w:eastAsia="仿宋_GB2312" w:cs="Times New Roman"/>
          <w:snapToGrid w:val="0"/>
          <w:color w:val="auto"/>
          <w:sz w:val="24"/>
          <w:szCs w:val="24"/>
          <w:lang w:val="en-US" w:eastAsia="zh-CN"/>
        </w:rPr>
        <w:t>可能被水行政主管部门依法依规</w:t>
      </w:r>
      <w:r>
        <w:rPr>
          <w:rFonts w:hint="default" w:ascii="Times New Roman" w:hAnsi="Times New Roman" w:eastAsia="仿宋_GB2312" w:cs="Times New Roman"/>
          <w:snapToGrid w:val="0"/>
          <w:color w:val="auto"/>
          <w:sz w:val="24"/>
          <w:szCs w:val="24"/>
        </w:rPr>
        <w:t>列入水土保持“重点关注名单”。在“重点关注名单”公开期内再次发生将列入“重点关注名单”情形的，或在监测工作及相关技术成果中弄虚作假、谋取不正当利益的，或被实施水土保持行政强制的，或拒不执行水土保持行政处罚决定的，将</w:t>
      </w:r>
      <w:r>
        <w:rPr>
          <w:rFonts w:hint="eastAsia" w:eastAsia="仿宋_GB2312" w:cs="Times New Roman"/>
          <w:snapToGrid w:val="0"/>
          <w:color w:val="auto"/>
          <w:sz w:val="24"/>
          <w:szCs w:val="24"/>
          <w:lang w:val="en-US" w:eastAsia="zh-CN"/>
        </w:rPr>
        <w:t>会被水行政主管部门依法依规</w:t>
      </w:r>
      <w:r>
        <w:rPr>
          <w:rFonts w:hint="default" w:ascii="Times New Roman" w:hAnsi="Times New Roman" w:eastAsia="仿宋_GB2312" w:cs="Times New Roman"/>
          <w:snapToGrid w:val="0"/>
          <w:color w:val="auto"/>
          <w:sz w:val="24"/>
          <w:szCs w:val="24"/>
        </w:rPr>
        <w:t>列入水土保持“黑名单”。</w:t>
      </w:r>
    </w:p>
    <w:p>
      <w:pPr>
        <w:pStyle w:val="5"/>
        <w:pageBreakBefore w:val="0"/>
        <w:kinsoku/>
        <w:wordWrap/>
        <w:bidi w:val="0"/>
        <w:rPr>
          <w:rFonts w:hint="default" w:ascii="Times New Roman" w:hAnsi="Times New Roman" w:eastAsia="仿宋_GB2312" w:cs="Times New Roman"/>
          <w:b/>
          <w:bCs/>
        </w:rPr>
      </w:pPr>
      <w:bookmarkStart w:id="428" w:name="_bookmark48"/>
      <w:bookmarkEnd w:id="428"/>
      <w:bookmarkStart w:id="429" w:name="_Toc16030"/>
      <w:r>
        <w:rPr>
          <w:rFonts w:hint="default" w:ascii="Times New Roman" w:hAnsi="Times New Roman" w:eastAsia="仿宋_GB2312" w:cs="Times New Roman"/>
          <w:b/>
          <w:bCs/>
        </w:rPr>
        <w:t>8.4水土保持监理</w:t>
      </w:r>
      <w:bookmarkEnd w:id="429"/>
    </w:p>
    <w:p>
      <w:pPr>
        <w:keepNext w:val="0"/>
        <w:keepLines w:val="0"/>
        <w:pageBreakBefore w:val="0"/>
        <w:widowControl w:val="0"/>
        <w:kinsoku/>
        <w:wordWrap/>
        <w:topLinePunct w:val="0"/>
        <w:autoSpaceDE/>
        <w:autoSpaceDN/>
        <w:bidi w:val="0"/>
        <w:adjustRightInd/>
        <w:snapToGrid/>
        <w:spacing w:line="360" w:lineRule="auto"/>
        <w:ind w:right="0" w:firstLine="480" w:firstLineChars="200"/>
        <w:textAlignment w:val="auto"/>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建设单位应按照水土保持</w:t>
      </w:r>
      <w:r>
        <w:rPr>
          <w:rFonts w:hint="eastAsia" w:eastAsia="仿宋_GB2312" w:cs="Times New Roman"/>
          <w:color w:val="auto"/>
          <w:sz w:val="24"/>
          <w:lang w:val="en-US" w:eastAsia="zh-CN"/>
        </w:rPr>
        <w:t>法律法规</w:t>
      </w:r>
      <w:r>
        <w:rPr>
          <w:rFonts w:hint="default" w:ascii="Times New Roman" w:hAnsi="Times New Roman" w:eastAsia="仿宋_GB2312" w:cs="Times New Roman"/>
          <w:color w:val="auto"/>
          <w:sz w:val="24"/>
        </w:rPr>
        <w:t>、</w:t>
      </w:r>
      <w:r>
        <w:rPr>
          <w:rFonts w:hint="default" w:ascii="Times New Roman" w:hAnsi="Times New Roman" w:eastAsia="仿宋_GB2312" w:cs="Times New Roman"/>
          <w:snapToGrid w:val="0"/>
          <w:color w:val="auto"/>
          <w:sz w:val="24"/>
          <w:szCs w:val="24"/>
        </w:rPr>
        <w:t>《生产建设项目水土保持方案管理办法》（水利部令第53号）</w:t>
      </w:r>
      <w:r>
        <w:rPr>
          <w:rFonts w:hint="eastAsia" w:ascii="Times New Roman" w:hAnsi="Times New Roman" w:eastAsia="仿宋_GB2312" w:cs="Times New Roman"/>
          <w:snapToGrid w:val="0"/>
          <w:color w:val="auto"/>
          <w:sz w:val="24"/>
          <w:szCs w:val="24"/>
          <w:lang w:eastAsia="zh-CN"/>
        </w:rPr>
        <w:t>、</w:t>
      </w:r>
      <w:r>
        <w:rPr>
          <w:rFonts w:hint="default" w:ascii="Times New Roman" w:hAnsi="Times New Roman" w:eastAsia="仿宋_GB2312" w:cs="Times New Roman"/>
          <w:color w:val="auto"/>
          <w:sz w:val="24"/>
        </w:rPr>
        <w:t>《水利工程建设监理规定》（水利部令〔2017〕</w:t>
      </w:r>
      <w:r>
        <w:rPr>
          <w:rFonts w:hint="default" w:ascii="Times New Roman" w:hAnsi="Times New Roman" w:eastAsia="仿宋_GB2312" w:cs="Times New Roman"/>
          <w:color w:val="auto"/>
          <w:sz w:val="24"/>
          <w:lang w:eastAsia="zh-CN"/>
        </w:rPr>
        <w:t>54</w:t>
      </w:r>
      <w:r>
        <w:rPr>
          <w:rFonts w:hint="default" w:ascii="Times New Roman" w:hAnsi="Times New Roman" w:eastAsia="仿宋_GB2312" w:cs="Times New Roman"/>
          <w:color w:val="auto"/>
          <w:sz w:val="24"/>
        </w:rPr>
        <w:t>号）</w:t>
      </w:r>
      <w:r>
        <w:rPr>
          <w:rFonts w:hint="eastAsia" w:eastAsia="仿宋_GB2312" w:cs="Times New Roman"/>
          <w:color w:val="auto"/>
          <w:sz w:val="24"/>
          <w:lang w:val="en-US" w:eastAsia="zh-CN"/>
        </w:rPr>
        <w:t>以及</w:t>
      </w:r>
      <w:r>
        <w:rPr>
          <w:rFonts w:hint="default" w:ascii="Times New Roman" w:hAnsi="Times New Roman" w:eastAsia="仿宋_GB2312" w:cs="Times New Roman"/>
          <w:color w:val="auto"/>
          <w:sz w:val="24"/>
        </w:rPr>
        <w:t>《水利部关于进一步深化“放管服”改革全面加强水土保持监管的意见》（水保〔2019〕160号）等相关</w:t>
      </w:r>
      <w:r>
        <w:rPr>
          <w:rFonts w:hint="eastAsia" w:eastAsia="仿宋_GB2312" w:cs="Times New Roman"/>
          <w:color w:val="auto"/>
          <w:sz w:val="24"/>
          <w:lang w:val="en-US" w:eastAsia="zh-CN"/>
        </w:rPr>
        <w:t>规定和</w:t>
      </w:r>
      <w:r>
        <w:rPr>
          <w:rFonts w:hint="default" w:ascii="Times New Roman" w:hAnsi="Times New Roman" w:eastAsia="仿宋_GB2312" w:cs="Times New Roman"/>
          <w:color w:val="auto"/>
          <w:sz w:val="24"/>
        </w:rPr>
        <w:t>要求，</w:t>
      </w:r>
      <w:r>
        <w:rPr>
          <w:rFonts w:hint="eastAsia" w:eastAsia="仿宋_GB2312" w:cs="Times New Roman"/>
          <w:color w:val="auto"/>
          <w:sz w:val="24"/>
          <w:lang w:val="en-US" w:eastAsia="zh-CN"/>
        </w:rPr>
        <w:t>组织开展水土保持监理工作。根据项目实际，</w:t>
      </w:r>
      <w:r>
        <w:rPr>
          <w:rFonts w:hint="default" w:ascii="Times New Roman" w:hAnsi="Times New Roman" w:eastAsia="仿宋_GB2312" w:cs="Times New Roman"/>
          <w:color w:val="auto"/>
          <w:sz w:val="24"/>
          <w:lang w:eastAsia="zh-CN"/>
        </w:rPr>
        <w:t>本期项目可由主体监理</w:t>
      </w:r>
      <w:r>
        <w:rPr>
          <w:rFonts w:hint="default" w:ascii="Times New Roman" w:hAnsi="Times New Roman" w:eastAsia="仿宋_GB2312" w:cs="Times New Roman"/>
          <w:color w:val="auto"/>
          <w:sz w:val="24"/>
        </w:rPr>
        <w:t>开展</w:t>
      </w:r>
      <w:r>
        <w:rPr>
          <w:rFonts w:hint="default" w:ascii="Times New Roman" w:hAnsi="Times New Roman" w:eastAsia="仿宋_GB2312" w:cs="Times New Roman"/>
          <w:color w:val="auto"/>
          <w:sz w:val="24"/>
          <w:lang w:eastAsia="zh-CN"/>
        </w:rPr>
        <w:t>本期项目</w:t>
      </w:r>
      <w:r>
        <w:rPr>
          <w:rFonts w:hint="default" w:ascii="Times New Roman" w:hAnsi="Times New Roman" w:eastAsia="仿宋_GB2312" w:cs="Times New Roman"/>
          <w:color w:val="auto"/>
          <w:sz w:val="24"/>
        </w:rPr>
        <w:t>的水土保持监理工作。</w:t>
      </w:r>
    </w:p>
    <w:p>
      <w:pPr>
        <w:pStyle w:val="35"/>
        <w:keepNext w:val="0"/>
        <w:keepLines w:val="0"/>
        <w:pageBreakBefore w:val="0"/>
        <w:widowControl w:val="0"/>
        <w:kinsoku/>
        <w:wordWrap/>
        <w:overflowPunct w:val="0"/>
        <w:topLinePunct w:val="0"/>
        <w:autoSpaceDE/>
        <w:autoSpaceDN/>
        <w:bidi w:val="0"/>
        <w:adjustRightInd/>
        <w:snapToGrid/>
        <w:spacing w:line="360" w:lineRule="auto"/>
        <w:ind w:right="0" w:firstLine="480" w:firstLineChars="200"/>
        <w:textAlignment w:val="auto"/>
        <w:rPr>
          <w:rFonts w:hint="default" w:ascii="Times New Roman" w:hAnsi="Times New Roman" w:eastAsia="仿宋_GB2312" w:cs="Times New Roman"/>
          <w:color w:val="auto"/>
          <w:szCs w:val="24"/>
        </w:rPr>
      </w:pPr>
      <w:r>
        <w:rPr>
          <w:rFonts w:hint="default" w:ascii="Times New Roman" w:hAnsi="Times New Roman" w:eastAsia="仿宋_GB2312" w:cs="Times New Roman"/>
          <w:color w:val="auto"/>
          <w:szCs w:val="24"/>
        </w:rPr>
        <w:t>监理单位在监理过程中，应对水土保持建设进行质量、进度和投资控制，建立施工过程中临时措施影像、照片等档案资料和质量评定的原始资料。承担水土保持工程监理工作的单位根据监理合同开展工作，并及时编制工程项目水土保持工程监理规划及实施细则，在施工建设各阶段随时进行质量监督。在监理过程中，将出现的问题及时向建设单位汇报，对水土保持设施的单元工程、分部工程、单位工程提出质量评定意见，并指导施工，接受当地水行政主管部门的监督检查，定期将监理成果向建设单位报告。在水土保持设施竣工验收时，监理单位需提交水土保持专项监理报告。</w:t>
      </w:r>
    </w:p>
    <w:p>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rPr>
        <w:t>根据《水利部办公厅关于实施生产建设项目水土保持信用监管“两单”制度的通知》（办水保〔2020〕157号）文件，监理单位对施工单位违反规定擅自作出重大变更未予制止和督促整改的；对未批先弃、乱弃乱倒、顺坡溜渣、随意开挖等未予制止和督促整改的，</w:t>
      </w:r>
      <w:r>
        <w:rPr>
          <w:rFonts w:hint="default" w:ascii="Times New Roman" w:hAnsi="Times New Roman" w:eastAsia="仿宋_GB2312" w:cs="Times New Roman"/>
          <w:snapToGrid w:val="0"/>
          <w:color w:val="auto"/>
          <w:sz w:val="24"/>
          <w:szCs w:val="24"/>
        </w:rPr>
        <w:t>将</w:t>
      </w:r>
      <w:r>
        <w:rPr>
          <w:rFonts w:hint="eastAsia" w:eastAsia="仿宋_GB2312" w:cs="Times New Roman"/>
          <w:snapToGrid w:val="0"/>
          <w:color w:val="auto"/>
          <w:sz w:val="24"/>
          <w:szCs w:val="24"/>
          <w:lang w:val="en-US" w:eastAsia="zh-CN"/>
        </w:rPr>
        <w:t>可能被水行政主管部门依法依规</w:t>
      </w:r>
      <w:r>
        <w:rPr>
          <w:rFonts w:hint="eastAsia" w:eastAsia="仿宋_GB2312" w:cs="Times New Roman"/>
          <w:snapToGrid w:val="0"/>
          <w:color w:val="auto"/>
          <w:sz w:val="24"/>
          <w:lang w:val="en-US" w:eastAsia="zh-CN"/>
        </w:rPr>
        <w:t>列入</w:t>
      </w:r>
      <w:r>
        <w:rPr>
          <w:rFonts w:hint="default" w:ascii="Times New Roman" w:hAnsi="Times New Roman" w:eastAsia="仿宋_GB2312" w:cs="Times New Roman"/>
          <w:color w:val="auto"/>
          <w:sz w:val="24"/>
        </w:rPr>
        <w:t>水土保持“重点关注名单”。在监理中弄虚作假，谋取不正当利益的，</w:t>
      </w:r>
      <w:r>
        <w:rPr>
          <w:rFonts w:hint="default" w:ascii="Times New Roman" w:hAnsi="Times New Roman" w:eastAsia="仿宋_GB2312" w:cs="Times New Roman"/>
          <w:snapToGrid w:val="0"/>
          <w:color w:val="auto"/>
          <w:sz w:val="24"/>
          <w:szCs w:val="24"/>
        </w:rPr>
        <w:t>将</w:t>
      </w:r>
      <w:r>
        <w:rPr>
          <w:rFonts w:hint="eastAsia" w:eastAsia="仿宋_GB2312" w:cs="Times New Roman"/>
          <w:snapToGrid w:val="0"/>
          <w:color w:val="auto"/>
          <w:sz w:val="24"/>
          <w:szCs w:val="24"/>
          <w:lang w:val="en-US" w:eastAsia="zh-CN"/>
        </w:rPr>
        <w:t>会被水行政主管部门依法依规</w:t>
      </w:r>
      <w:r>
        <w:rPr>
          <w:rFonts w:hint="eastAsia" w:eastAsia="仿宋_GB2312" w:cs="Times New Roman"/>
          <w:snapToGrid w:val="0"/>
          <w:color w:val="auto"/>
          <w:sz w:val="24"/>
          <w:lang w:val="en-US" w:eastAsia="zh-CN"/>
        </w:rPr>
        <w:t>列入</w:t>
      </w:r>
      <w:r>
        <w:rPr>
          <w:rFonts w:hint="default" w:ascii="Times New Roman" w:hAnsi="Times New Roman" w:eastAsia="仿宋_GB2312" w:cs="Times New Roman"/>
          <w:color w:val="auto"/>
          <w:sz w:val="24"/>
        </w:rPr>
        <w:t>水土保持“黑名单”。</w:t>
      </w:r>
    </w:p>
    <w:p>
      <w:pPr>
        <w:pStyle w:val="5"/>
        <w:pageBreakBefore w:val="0"/>
        <w:kinsoku/>
        <w:wordWrap/>
        <w:bidi w:val="0"/>
        <w:rPr>
          <w:rFonts w:hint="default" w:ascii="Times New Roman" w:hAnsi="Times New Roman" w:eastAsia="仿宋_GB2312" w:cs="Times New Roman"/>
          <w:b/>
          <w:bCs/>
        </w:rPr>
      </w:pPr>
      <w:bookmarkStart w:id="430" w:name="_bookmark49"/>
      <w:bookmarkEnd w:id="430"/>
      <w:bookmarkStart w:id="431" w:name="_Toc1831"/>
      <w:r>
        <w:rPr>
          <w:rFonts w:hint="default" w:ascii="Times New Roman" w:hAnsi="Times New Roman" w:eastAsia="仿宋_GB2312" w:cs="Times New Roman"/>
          <w:b/>
          <w:bCs/>
        </w:rPr>
        <w:t>8.5水土保持施工</w:t>
      </w:r>
      <w:bookmarkEnd w:id="431"/>
    </w:p>
    <w:p>
      <w:pPr>
        <w:pStyle w:val="164"/>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rPr>
        <w:t>建设单位应按照水土保持</w:t>
      </w:r>
      <w:r>
        <w:rPr>
          <w:rFonts w:hint="eastAsia" w:eastAsia="仿宋_GB2312" w:cs="Times New Roman"/>
          <w:color w:val="auto"/>
          <w:sz w:val="24"/>
          <w:lang w:val="en-US" w:eastAsia="zh-CN"/>
        </w:rPr>
        <w:t>法律法规</w:t>
      </w:r>
      <w:r>
        <w:rPr>
          <w:rFonts w:hint="default" w:ascii="Times New Roman" w:hAnsi="Times New Roman" w:eastAsia="仿宋_GB2312" w:cs="Times New Roman"/>
          <w:color w:val="auto"/>
          <w:sz w:val="24"/>
        </w:rPr>
        <w:t>、</w:t>
      </w:r>
      <w:r>
        <w:rPr>
          <w:rFonts w:hint="default" w:ascii="Times New Roman" w:hAnsi="Times New Roman" w:eastAsia="仿宋_GB2312" w:cs="Times New Roman"/>
          <w:snapToGrid w:val="0"/>
          <w:color w:val="auto"/>
          <w:sz w:val="24"/>
          <w:szCs w:val="24"/>
        </w:rPr>
        <w:t>《生产建设项目水土保持方案管理办法》（水利部令第53号）</w:t>
      </w:r>
      <w:r>
        <w:rPr>
          <w:rFonts w:hint="eastAsia" w:ascii="Times New Roman" w:hAnsi="Times New Roman" w:eastAsia="仿宋_GB2312" w:cs="Times New Roman"/>
          <w:snapToGrid w:val="0"/>
          <w:color w:val="auto"/>
          <w:sz w:val="24"/>
          <w:szCs w:val="24"/>
          <w:lang w:val="en-US" w:eastAsia="zh-CN"/>
        </w:rPr>
        <w:t>以及</w:t>
      </w:r>
      <w:r>
        <w:rPr>
          <w:rFonts w:hint="default" w:ascii="Times New Roman" w:hAnsi="Times New Roman" w:eastAsia="仿宋_GB2312" w:cs="Times New Roman"/>
          <w:color w:val="auto"/>
          <w:sz w:val="24"/>
          <w:szCs w:val="24"/>
        </w:rPr>
        <w:t>《水利部关于进一步深化“放管服”改革全面加强水土保持监管的意见》（水保</w:t>
      </w:r>
      <w:r>
        <w:rPr>
          <w:rFonts w:hint="default" w:ascii="Times New Roman" w:hAnsi="Times New Roman" w:eastAsia="仿宋_GB2312" w:cs="Times New Roman"/>
          <w:snapToGrid w:val="0"/>
          <w:color w:val="auto"/>
          <w:sz w:val="24"/>
          <w:szCs w:val="24"/>
          <w:lang w:val="zh-CN"/>
        </w:rPr>
        <w:t>〔</w:t>
      </w:r>
      <w:r>
        <w:rPr>
          <w:rFonts w:hint="default" w:ascii="Times New Roman" w:hAnsi="Times New Roman" w:eastAsia="仿宋_GB2312" w:cs="Times New Roman"/>
          <w:color w:val="auto"/>
          <w:sz w:val="24"/>
          <w:szCs w:val="24"/>
        </w:rPr>
        <w:t>2019</w:t>
      </w:r>
      <w:r>
        <w:rPr>
          <w:rFonts w:hint="default" w:ascii="Times New Roman" w:hAnsi="Times New Roman" w:eastAsia="仿宋_GB2312" w:cs="Times New Roman"/>
          <w:snapToGrid w:val="0"/>
          <w:color w:val="auto"/>
          <w:sz w:val="24"/>
          <w:szCs w:val="24"/>
          <w:lang w:val="zh-CN"/>
        </w:rPr>
        <w:t>〕</w:t>
      </w:r>
      <w:r>
        <w:rPr>
          <w:rFonts w:hint="default" w:ascii="Times New Roman" w:hAnsi="Times New Roman" w:eastAsia="仿宋_GB2312" w:cs="Times New Roman"/>
          <w:color w:val="auto"/>
          <w:sz w:val="24"/>
          <w:szCs w:val="24"/>
        </w:rPr>
        <w:t>160号）</w:t>
      </w:r>
      <w:r>
        <w:rPr>
          <w:rFonts w:hint="eastAsia" w:ascii="Times New Roman" w:hAnsi="Times New Roman" w:eastAsia="仿宋_GB2312" w:cs="Times New Roman"/>
          <w:snapToGrid w:val="0"/>
          <w:color w:val="auto"/>
          <w:sz w:val="24"/>
          <w:szCs w:val="24"/>
          <w:lang w:val="en-US" w:eastAsia="zh-CN"/>
        </w:rPr>
        <w:t xml:space="preserve">等有关规定，严格规范施工管理。应当将水土保持工作任务和内容纳入施工合同，督促施工单位强化水土流失防治主要责任，在建设过程中同步实施水土保持方案提出的水土保持措施，优化施工工艺和时序，提高水土资源利用效率，保证水土保持措施的质量、实施进度和资金投入。切实加强对施工单位的管理，规范施工行为，严格控制施工扰动范围，禁止随意占压破坏地表植被，有效控制可能造成的水土流失。 </w:t>
      </w:r>
      <w:r>
        <w:rPr>
          <w:rFonts w:hint="default" w:ascii="Times New Roman" w:hAnsi="Times New Roman" w:eastAsia="仿宋_GB2312" w:cs="Times New Roman"/>
          <w:color w:val="auto"/>
          <w:sz w:val="24"/>
          <w:szCs w:val="24"/>
          <w:lang w:eastAsia="zh-CN"/>
        </w:rPr>
        <w:t>本期项目</w:t>
      </w:r>
      <w:r>
        <w:rPr>
          <w:rFonts w:hint="default" w:ascii="Times New Roman" w:hAnsi="Times New Roman" w:eastAsia="仿宋_GB2312" w:cs="Times New Roman"/>
          <w:color w:val="auto"/>
          <w:sz w:val="24"/>
          <w:szCs w:val="24"/>
        </w:rPr>
        <w:t>建设单位在合同条款形式明确了承包商应承担的防治水土流失的责任、义务和实施的水土保持措施。工程建设所需砂石料，在购买合同中应明确料场的水土流失防治责任由供货方负责。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szCs w:val="24"/>
        </w:rPr>
        <w:t>根据</w:t>
      </w:r>
      <w:r>
        <w:rPr>
          <w:rFonts w:hint="default" w:ascii="Times New Roman" w:hAnsi="Times New Roman" w:eastAsia="仿宋_GB2312" w:cs="Times New Roman"/>
          <w:snapToGrid w:val="0"/>
          <w:color w:val="auto"/>
          <w:sz w:val="24"/>
          <w:szCs w:val="24"/>
        </w:rPr>
        <w:t>《生产建设项目水土保持方案管理办法》（水利部令第53号）</w:t>
      </w:r>
      <w:r>
        <w:rPr>
          <w:rFonts w:hint="eastAsia" w:ascii="Times New Roman" w:hAnsi="Times New Roman" w:eastAsia="仿宋_GB2312" w:cs="Times New Roman"/>
          <w:snapToGrid w:val="0"/>
          <w:color w:val="auto"/>
          <w:sz w:val="24"/>
          <w:szCs w:val="24"/>
          <w:lang w:val="en-US" w:eastAsia="zh-CN"/>
        </w:rPr>
        <w:t>以及</w:t>
      </w:r>
      <w:r>
        <w:rPr>
          <w:rFonts w:hint="default" w:ascii="Times New Roman" w:hAnsi="Times New Roman" w:eastAsia="仿宋_GB2312" w:cs="Times New Roman"/>
          <w:color w:val="auto"/>
          <w:sz w:val="24"/>
          <w:szCs w:val="24"/>
        </w:rPr>
        <w:t>《水利部办公厅关于实施生产建设项目水土保持信用监管“两单”制度的通知》（办水保〔2020〕157号）文件，施工单位对水土保持工程、植物、临时措施落实到位不足50%的，未按照监督检查、监测、监理意见要求对未批先弃、乱弃乱倒、顺坡溜渣、随意开挖等问题进行整改的，</w:t>
      </w:r>
      <w:r>
        <w:rPr>
          <w:rFonts w:hint="eastAsia" w:eastAsia="仿宋_GB2312" w:cs="Times New Roman"/>
          <w:color w:val="auto"/>
          <w:sz w:val="24"/>
          <w:szCs w:val="24"/>
          <w:lang w:val="en-US" w:eastAsia="zh-CN"/>
        </w:rPr>
        <w:t>将</w:t>
      </w:r>
      <w:r>
        <w:rPr>
          <w:rFonts w:hint="eastAsia" w:eastAsia="仿宋_GB2312" w:cs="Times New Roman"/>
          <w:snapToGrid w:val="0"/>
          <w:color w:val="auto"/>
          <w:sz w:val="24"/>
          <w:szCs w:val="24"/>
          <w:lang w:val="en-US" w:eastAsia="zh-CN"/>
        </w:rPr>
        <w:t>可能被水行政主管部门依法依规</w:t>
      </w:r>
      <w:r>
        <w:rPr>
          <w:rFonts w:hint="default" w:ascii="Times New Roman" w:hAnsi="Times New Roman" w:eastAsia="仿宋_GB2312" w:cs="Times New Roman"/>
          <w:color w:val="auto"/>
          <w:sz w:val="24"/>
          <w:szCs w:val="24"/>
        </w:rPr>
        <w:t>列入水土保持“重点关注名单”。在施工中弄虚作假，谋取不正当利益的，</w:t>
      </w:r>
      <w:r>
        <w:rPr>
          <w:rFonts w:hint="eastAsia" w:eastAsia="仿宋_GB2312" w:cs="Times New Roman"/>
          <w:color w:val="auto"/>
          <w:sz w:val="24"/>
          <w:szCs w:val="24"/>
          <w:lang w:val="en-US" w:eastAsia="zh-CN"/>
        </w:rPr>
        <w:t>将</w:t>
      </w:r>
      <w:r>
        <w:rPr>
          <w:rFonts w:hint="eastAsia" w:eastAsia="仿宋_GB2312" w:cs="Times New Roman"/>
          <w:snapToGrid w:val="0"/>
          <w:color w:val="auto"/>
          <w:sz w:val="24"/>
          <w:szCs w:val="24"/>
          <w:lang w:val="en-US" w:eastAsia="zh-CN"/>
        </w:rPr>
        <w:t>会被水行政主管部门依法依规</w:t>
      </w:r>
      <w:r>
        <w:rPr>
          <w:rFonts w:hint="default" w:ascii="Times New Roman" w:hAnsi="Times New Roman" w:eastAsia="仿宋_GB2312" w:cs="Times New Roman"/>
          <w:color w:val="auto"/>
          <w:sz w:val="24"/>
          <w:szCs w:val="24"/>
        </w:rPr>
        <w:t>列入水土保持“黑名单”。</w:t>
      </w:r>
    </w:p>
    <w:p>
      <w:pPr>
        <w:pStyle w:val="5"/>
        <w:pageBreakBefore w:val="0"/>
        <w:kinsoku/>
        <w:wordWrap/>
        <w:bidi w:val="0"/>
        <w:rPr>
          <w:rFonts w:hint="default" w:ascii="Times New Roman" w:hAnsi="Times New Roman" w:eastAsia="仿宋_GB2312" w:cs="Times New Roman"/>
          <w:b/>
          <w:bCs/>
        </w:rPr>
      </w:pPr>
      <w:bookmarkStart w:id="432" w:name="_Toc32523"/>
      <w:r>
        <w:rPr>
          <w:rFonts w:hint="default" w:ascii="Times New Roman" w:hAnsi="Times New Roman" w:eastAsia="仿宋_GB2312" w:cs="Times New Roman"/>
          <w:b/>
          <w:bCs/>
        </w:rPr>
        <mc:AlternateContent>
          <mc:Choice Requires="wps">
            <w:drawing>
              <wp:anchor distT="0" distB="0" distL="114300" distR="114300" simplePos="0" relativeHeight="251683840" behindDoc="0" locked="0" layoutInCell="0" allowOverlap="1">
                <wp:simplePos x="0" y="0"/>
                <wp:positionH relativeFrom="page">
                  <wp:posOffset>1141095</wp:posOffset>
                </wp:positionH>
                <wp:positionV relativeFrom="page">
                  <wp:posOffset>751205</wp:posOffset>
                </wp:positionV>
                <wp:extent cx="5278755" cy="9525"/>
                <wp:effectExtent l="0" t="0" r="0" b="0"/>
                <wp:wrapNone/>
                <wp:docPr id="170" name="任意多边形 170"/>
                <wp:cNvGraphicFramePr/>
                <a:graphic xmlns:a="http://schemas.openxmlformats.org/drawingml/2006/main">
                  <a:graphicData uri="http://schemas.microsoft.com/office/word/2010/wordprocessingShape">
                    <wps:wsp>
                      <wps:cNvSpPr/>
                      <wps:spPr>
                        <a:xfrm>
                          <a:off x="0" y="0"/>
                          <a:ext cx="5278755" cy="9525"/>
                        </a:xfrm>
                        <a:custGeom>
                          <a:avLst/>
                          <a:gdLst/>
                          <a:ahLst/>
                          <a:cxnLst/>
                          <a:pathLst>
                            <a:path w="8312" h="15">
                              <a:moveTo>
                                <a:pt x="0" y="0"/>
                              </a:moveTo>
                              <a:lnTo>
                                <a:pt x="8312" y="0"/>
                              </a:lnTo>
                              <a:lnTo>
                                <a:pt x="8312"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9.85pt;margin-top:59.15pt;height:0.75pt;width:415.65pt;mso-position-horizontal-relative:page;mso-position-vertical-relative:page;z-index:251683840;mso-width-relative:page;mso-height-relative:page;" fillcolor="#000000" filled="t" stroked="f" coordsize="8312,15" o:allowincell="f" o:gfxdata="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wlJqb2gAAAAwBAAAPAAAA&#10;AAAAAAEAIAAAACIAAABkcnMvZG93bnJldi54bWxQSwECFAAUAAAACACHTuJADekWABMCAAB/BAAA&#10;DgAAAAAAAAABACAAAAApAQAAZHJzL2Uyb0RvYy54bWxQSwUGAAAAAAYABgBZAQAArgUAAAAA&#10;" path="m0,0l8312,0,8312,14,0,14,0,0xe">
                <v:fill on="t" focussize="0,0"/>
                <v:stroke on="f"/>
                <v:imagedata o:title=""/>
                <o:lock v:ext="edit" aspectratio="f"/>
              </v:shape>
            </w:pict>
          </mc:Fallback>
        </mc:AlternateContent>
      </w:r>
      <w:bookmarkStart w:id="433" w:name="_bookmark50"/>
      <w:bookmarkEnd w:id="433"/>
      <w:r>
        <w:rPr>
          <w:rFonts w:hint="default" w:ascii="Times New Roman" w:hAnsi="Times New Roman" w:eastAsia="仿宋_GB2312" w:cs="Times New Roman"/>
          <w:b/>
          <w:bCs/>
        </w:rPr>
        <w:t>8.6水土保持设施验收</w:t>
      </w:r>
      <w:bookmarkEnd w:id="432"/>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rPr>
        <w:t>根据</w:t>
      </w:r>
      <w:r>
        <w:rPr>
          <w:rFonts w:hint="default" w:ascii="Times New Roman" w:hAnsi="Times New Roman" w:eastAsia="仿宋_GB2312" w:cs="Times New Roman"/>
          <w:snapToGrid w:val="0"/>
          <w:color w:val="auto"/>
          <w:sz w:val="24"/>
          <w:szCs w:val="24"/>
        </w:rPr>
        <w:t>《生产建设项目水土保持方案管理办法》（水利部令第53号）</w:t>
      </w:r>
      <w:r>
        <w:rPr>
          <w:rFonts w:hint="eastAsia" w:ascii="Times New Roman" w:hAnsi="Times New Roman" w:eastAsia="仿宋_GB2312" w:cs="Times New Roman"/>
          <w:snapToGrid w:val="0"/>
          <w:color w:val="auto"/>
          <w:sz w:val="24"/>
          <w:szCs w:val="24"/>
          <w:lang w:val="en-US" w:eastAsia="zh-CN"/>
        </w:rPr>
        <w:t>以及</w:t>
      </w:r>
      <w:r>
        <w:rPr>
          <w:rFonts w:hint="default" w:ascii="Times New Roman" w:hAnsi="Times New Roman" w:eastAsia="仿宋_GB2312" w:cs="Times New Roman"/>
          <w:color w:val="auto"/>
          <w:sz w:val="24"/>
        </w:rPr>
        <w:t>《水利部关于加强事中事后监管规范生产建设项目水土保持设施自主验收的通知》（水保〔2017〕365号）</w:t>
      </w:r>
      <w:r>
        <w:rPr>
          <w:rFonts w:hint="eastAsia" w:eastAsia="仿宋_GB2312" w:cs="Times New Roman"/>
          <w:color w:val="auto"/>
          <w:sz w:val="24"/>
          <w:lang w:eastAsia="zh-CN"/>
        </w:rPr>
        <w:t>、</w:t>
      </w:r>
      <w:r>
        <w:rPr>
          <w:rFonts w:hint="default" w:ascii="Times New Roman" w:hAnsi="Times New Roman" w:eastAsia="仿宋_GB2312" w:cs="Times New Roman"/>
          <w:color w:val="auto"/>
          <w:sz w:val="24"/>
        </w:rPr>
        <w:t>《水利部办公厅关于印发生产建设项目水土保持设施自主验收规程（试行）的通知》（办水保〔2018〕133号）</w:t>
      </w:r>
      <w:r>
        <w:rPr>
          <w:rFonts w:hint="eastAsia" w:eastAsia="仿宋_GB2312" w:cs="Times New Roman"/>
          <w:color w:val="auto"/>
          <w:sz w:val="24"/>
          <w:lang w:eastAsia="zh-CN"/>
        </w:rPr>
        <w:t>、</w:t>
      </w:r>
      <w:r>
        <w:rPr>
          <w:rFonts w:hint="default" w:ascii="Times New Roman" w:hAnsi="Times New Roman" w:eastAsia="仿宋_GB2312" w:cs="Times New Roman"/>
          <w:color w:val="auto"/>
          <w:sz w:val="24"/>
        </w:rPr>
        <w:t>《水利部办公厅关于印发生产建设项目水土保持监督管理办法的通知》（办水保〔2019〕172号）</w:t>
      </w:r>
      <w:r>
        <w:rPr>
          <w:rFonts w:hint="eastAsia" w:eastAsia="仿宋_GB2312" w:cs="Times New Roman"/>
          <w:color w:val="auto"/>
          <w:sz w:val="24"/>
          <w:lang w:val="en-US" w:eastAsia="zh-CN"/>
        </w:rPr>
        <w:t>等有关规定</w:t>
      </w:r>
      <w:r>
        <w:rPr>
          <w:rFonts w:hint="default" w:ascii="Times New Roman" w:hAnsi="Times New Roman" w:eastAsia="仿宋_GB2312" w:cs="Times New Roman"/>
          <w:color w:val="auto"/>
          <w:sz w:val="24"/>
        </w:rPr>
        <w:t>，依法编制水土保持方案报告书的生产建设项目投产使用前，建设单位应当</w:t>
      </w:r>
      <w:r>
        <w:rPr>
          <w:rFonts w:hint="eastAsia" w:ascii="Times New Roman" w:hAnsi="Times New Roman" w:eastAsia="仿宋_GB2312" w:cs="Times New Roman"/>
          <w:color w:val="auto"/>
          <w:sz w:val="24"/>
          <w:lang w:val="en-US" w:eastAsia="zh-CN"/>
        </w:rPr>
        <w:t>按规定</w:t>
      </w:r>
      <w:r>
        <w:rPr>
          <w:rFonts w:hint="default" w:ascii="Times New Roman" w:hAnsi="Times New Roman" w:eastAsia="仿宋_GB2312" w:cs="Times New Roman"/>
          <w:color w:val="auto"/>
          <w:sz w:val="24"/>
        </w:rPr>
        <w:t>组织第三方机构</w:t>
      </w:r>
      <w:r>
        <w:rPr>
          <w:rFonts w:hint="eastAsia" w:ascii="Times New Roman" w:hAnsi="Times New Roman" w:eastAsia="仿宋_GB2312" w:cs="Times New Roman"/>
          <w:color w:val="auto"/>
          <w:sz w:val="24"/>
          <w:lang w:eastAsia="zh-CN"/>
        </w:rPr>
        <w:t>（</w:t>
      </w:r>
      <w:r>
        <w:rPr>
          <w:rFonts w:hint="eastAsia" w:ascii="Times New Roman" w:hAnsi="Times New Roman" w:eastAsia="仿宋_GB2312" w:cs="Times New Roman"/>
          <w:color w:val="auto"/>
          <w:sz w:val="24"/>
          <w:lang w:val="en-US" w:eastAsia="zh-CN"/>
        </w:rPr>
        <w:t>注：</w:t>
      </w:r>
      <w:r>
        <w:rPr>
          <w:rFonts w:hint="eastAsia" w:ascii="Times New Roman" w:hAnsi="Times New Roman" w:eastAsia="仿宋_GB2312" w:cs="Times New Roman"/>
          <w:color w:val="auto"/>
          <w:sz w:val="24"/>
          <w:lang w:eastAsia="zh-CN"/>
        </w:rPr>
        <w:t>承担生产建设项目水土保持方案技术评审、水土保持监测、水土保持监理工作的单位不得作为该生产建设项目水土保持设施验收报告编制的第三方机构）</w:t>
      </w:r>
      <w:r>
        <w:rPr>
          <w:rFonts w:hint="default" w:ascii="Times New Roman" w:hAnsi="Times New Roman" w:eastAsia="仿宋_GB2312" w:cs="Times New Roman"/>
          <w:color w:val="auto"/>
          <w:sz w:val="24"/>
        </w:rPr>
        <w:t>编制水土保持设施验收报告</w:t>
      </w:r>
      <w:r>
        <w:rPr>
          <w:rFonts w:hint="eastAsia" w:ascii="Times New Roman" w:hAnsi="Times New Roman" w:eastAsia="仿宋_GB2312" w:cs="Times New Roman"/>
          <w:color w:val="auto"/>
          <w:sz w:val="24"/>
          <w:lang w:val="en-US" w:eastAsia="zh-CN"/>
        </w:rPr>
        <w:t>并履行相关报备手续，本项目水土保持设施自主验收工作应按照《吉林省水利厅关于印发省级生产建设项目水土保持设施自主验收报备政务事项服务指南的通知》（吉水保〔2022〕197号）等有关规定执行。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水土保持设施验收报告编制完成后，建设单位应当按照水土保持法律法规、标准规范、水土保持方案及其审批决定、水土保持设施后续设计</w:t>
      </w:r>
      <w:r>
        <w:rPr>
          <w:rFonts w:hint="eastAsia" w:ascii="Times New Roman" w:hAnsi="Times New Roman" w:eastAsia="仿宋_GB2312" w:cs="Times New Roman"/>
          <w:color w:val="auto"/>
          <w:sz w:val="24"/>
          <w:lang w:val="en-US" w:eastAsia="zh-CN"/>
        </w:rPr>
        <w:t>及其审查（审核）意见</w:t>
      </w:r>
      <w:r>
        <w:rPr>
          <w:rFonts w:hint="default" w:ascii="Times New Roman" w:hAnsi="Times New Roman" w:eastAsia="仿宋_GB2312" w:cs="Times New Roman"/>
          <w:color w:val="auto"/>
          <w:sz w:val="24"/>
        </w:rPr>
        <w:t>等，组织水土保持设施验收工作，形成水土保持设施验收鉴定书，明确水土保持设施验收合格的结论。水土保持设施自主验收报备应当提交水土保持设施验收鉴定书、水土保持设施验收报告和水土保持监测总结报告。</w:t>
      </w:r>
    </w:p>
    <w:p>
      <w:pPr>
        <w:pStyle w:val="16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水土保持设施验收报告编制完成后，建设单位应当按照水土保持法律法规、标准规范、水土保持方案及其审批决定、水土保持后续设计等，组织水土保持设施验收工作，形成验收鉴定书，明确水土保持设施验收合格的结论。水土保持设施验收合格后，</w:t>
      </w:r>
      <w:r>
        <w:rPr>
          <w:rFonts w:hint="default" w:ascii="Times New Roman" w:hAnsi="Times New Roman" w:eastAsia="仿宋_GB2312" w:cs="Times New Roman"/>
          <w:color w:val="auto"/>
          <w:sz w:val="24"/>
        </w:rPr>
        <w:t>项目方可投入使用</w:t>
      </w:r>
      <w:r>
        <w:rPr>
          <w:rFonts w:hint="default" w:ascii="Times New Roman" w:hAnsi="Times New Roman" w:eastAsia="仿宋_GB2312" w:cs="Times New Roman"/>
          <w:color w:val="auto"/>
          <w:sz w:val="24"/>
          <w:szCs w:val="24"/>
        </w:rPr>
        <w:t>。</w:t>
      </w:r>
    </w:p>
    <w:p>
      <w:pPr>
        <w:pStyle w:val="16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根据《生产建设项目水土保持方案管理办法》（2023年1月17日水利部令第53号发布），水土保持设施未验收或者验收不合格的，生产建设项目不得投产使用。存在下列情形之一的，水土保持设施验收结论应当为不合格：（一）未依法依规履行水土保持方案编报审批程序或者开展水土保持监测、监理的；（二）弃土弃渣未堆放在经批准的水土保持方案确定的专门存放地的；水土保持措施体系、等级和标准或者水土流失防治标准未按照水土保持方案批复要求落实的；（三）存在水土流失风险隐患的；（四）水土保持设施验收材料明显不实、内容存在重大缺项、遗漏的；（五）存在法律法规和技术标准规定不得通过水土保持设施验收的其他情形的。</w:t>
      </w:r>
    </w:p>
    <w:p>
      <w:pPr>
        <w:pStyle w:val="16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rPr>
        <w:t>建设单位应当在</w:t>
      </w:r>
      <w:r>
        <w:rPr>
          <w:rFonts w:hint="default" w:ascii="Times New Roman" w:hAnsi="Times New Roman" w:eastAsia="仿宋_GB2312" w:cs="Times New Roman"/>
          <w:color w:val="auto"/>
          <w:sz w:val="24"/>
          <w:lang w:eastAsia="zh-CN"/>
        </w:rPr>
        <w:t>本期项目</w:t>
      </w:r>
      <w:r>
        <w:rPr>
          <w:rFonts w:hint="default" w:ascii="Times New Roman" w:hAnsi="Times New Roman" w:eastAsia="仿宋_GB2312" w:cs="Times New Roman"/>
          <w:color w:val="auto"/>
          <w:sz w:val="24"/>
        </w:rPr>
        <w:t>的水土保持设施验收合格后</w:t>
      </w:r>
      <w:r>
        <w:rPr>
          <w:rFonts w:hint="default" w:ascii="Times New Roman" w:hAnsi="Times New Roman" w:eastAsia="仿宋_GB2312" w:cs="Times New Roman"/>
          <w:color w:val="auto"/>
          <w:sz w:val="24"/>
          <w:szCs w:val="24"/>
        </w:rPr>
        <w:t>，及时在其官方网站或者其他公众知悉的网站公示水土保持设施验收材料，公示时间不得少于20个工作日。对于公众反映的主要问题和意见，生产建设单位应当及时给予处理或回应。</w:t>
      </w:r>
    </w:p>
    <w:p>
      <w:pPr>
        <w:pStyle w:val="16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建设单位应当在水土保持措施验收通过3个月内，向水土保持方案审批机关报备水土保持设施验收材料。报备材料包括水土保持设施验收鉴定书、水土保持设施验收报告和水土保持监测总结报告。建设单位、第三方机构和水土保持监测机构分别对水土保持设施验收鉴定书、水土保持设施验收报告和水土保持监测总结报告等材料的真实性负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napToGrid w:val="0"/>
          <w:color w:val="auto"/>
          <w:sz w:val="24"/>
        </w:rPr>
        <w:t>根据</w:t>
      </w:r>
      <w:r>
        <w:rPr>
          <w:rFonts w:hint="default" w:ascii="Times New Roman" w:hAnsi="Times New Roman" w:eastAsia="仿宋_GB2312" w:cs="Times New Roman"/>
          <w:snapToGrid w:val="0"/>
          <w:color w:val="auto"/>
          <w:sz w:val="24"/>
          <w:szCs w:val="24"/>
        </w:rPr>
        <w:t>《生产建设项目水土保持方案管理办法》（水利部令第53号）</w:t>
      </w:r>
      <w:r>
        <w:rPr>
          <w:rFonts w:hint="eastAsia" w:ascii="Times New Roman" w:hAnsi="Times New Roman" w:eastAsia="仿宋_GB2312" w:cs="Times New Roman"/>
          <w:snapToGrid w:val="0"/>
          <w:color w:val="auto"/>
          <w:sz w:val="24"/>
          <w:szCs w:val="24"/>
          <w:lang w:val="en-US" w:eastAsia="zh-CN"/>
        </w:rPr>
        <w:t>以及</w:t>
      </w:r>
      <w:r>
        <w:rPr>
          <w:rFonts w:hint="default" w:ascii="Times New Roman" w:hAnsi="Times New Roman" w:eastAsia="仿宋_GB2312" w:cs="Times New Roman"/>
          <w:snapToGrid w:val="0"/>
          <w:color w:val="auto"/>
          <w:sz w:val="24"/>
        </w:rPr>
        <w:t>《水利部办公厅关于实施生产建设项目水土保持信用监管“两单”制度的通知》（办水保〔2020〕157号）</w:t>
      </w:r>
      <w:r>
        <w:rPr>
          <w:rFonts w:hint="eastAsia" w:eastAsia="仿宋_GB2312" w:cs="Times New Roman"/>
          <w:snapToGrid w:val="0"/>
          <w:color w:val="auto"/>
          <w:sz w:val="24"/>
          <w:lang w:val="en-US" w:eastAsia="zh-CN"/>
        </w:rPr>
        <w:t>等有关规定</w:t>
      </w:r>
      <w:r>
        <w:rPr>
          <w:rFonts w:hint="default" w:ascii="Times New Roman" w:hAnsi="Times New Roman" w:eastAsia="仿宋_GB2312" w:cs="Times New Roman"/>
          <w:snapToGrid w:val="0"/>
          <w:color w:val="auto"/>
          <w:sz w:val="24"/>
        </w:rPr>
        <w:t>，验收报告编制单位存在不满足验收标准和条件而作出验收合格结论的，</w:t>
      </w:r>
      <w:r>
        <w:rPr>
          <w:rFonts w:hint="eastAsia" w:eastAsia="仿宋_GB2312" w:cs="Times New Roman"/>
          <w:color w:val="auto"/>
          <w:sz w:val="24"/>
          <w:szCs w:val="24"/>
          <w:lang w:val="en-US" w:eastAsia="zh-CN"/>
        </w:rPr>
        <w:t>将</w:t>
      </w:r>
      <w:r>
        <w:rPr>
          <w:rFonts w:hint="eastAsia" w:eastAsia="仿宋_GB2312" w:cs="Times New Roman"/>
          <w:snapToGrid w:val="0"/>
          <w:color w:val="auto"/>
          <w:sz w:val="24"/>
          <w:szCs w:val="24"/>
          <w:lang w:val="en-US" w:eastAsia="zh-CN"/>
        </w:rPr>
        <w:t>可能被水行政主管部门依法依规</w:t>
      </w:r>
      <w:r>
        <w:rPr>
          <w:rFonts w:hint="default" w:ascii="Times New Roman" w:hAnsi="Times New Roman" w:eastAsia="仿宋_GB2312" w:cs="Times New Roman"/>
          <w:snapToGrid w:val="0"/>
          <w:color w:val="auto"/>
          <w:sz w:val="24"/>
        </w:rPr>
        <w:t>列入水土保持“重点关注名单”。在“重点关注名单”公开期内再次发生将列入“重点关注名单”情形的，或在设计工作及相关技术成果中弄虚作假、谋取不正当利益的，或被实施水土保持行政强制的，或拒不执行水土保持行政处罚决定的，</w:t>
      </w:r>
      <w:r>
        <w:rPr>
          <w:rFonts w:hint="eastAsia" w:eastAsia="仿宋_GB2312" w:cs="Times New Roman"/>
          <w:color w:val="auto"/>
          <w:sz w:val="24"/>
          <w:szCs w:val="24"/>
          <w:lang w:val="en-US" w:eastAsia="zh-CN"/>
        </w:rPr>
        <w:t>将</w:t>
      </w:r>
      <w:r>
        <w:rPr>
          <w:rFonts w:hint="eastAsia" w:eastAsia="仿宋_GB2312" w:cs="Times New Roman"/>
          <w:snapToGrid w:val="0"/>
          <w:color w:val="auto"/>
          <w:sz w:val="24"/>
          <w:szCs w:val="24"/>
          <w:lang w:val="en-US" w:eastAsia="zh-CN"/>
        </w:rPr>
        <w:t>会被水行政主管部门依法依规</w:t>
      </w:r>
      <w:r>
        <w:rPr>
          <w:rFonts w:hint="default" w:ascii="Times New Roman" w:hAnsi="Times New Roman" w:eastAsia="仿宋_GB2312" w:cs="Times New Roman"/>
          <w:snapToGrid w:val="0"/>
          <w:color w:val="auto"/>
          <w:sz w:val="24"/>
        </w:rPr>
        <w:t>列入水土保持“黑名单”。</w:t>
      </w:r>
    </w:p>
    <w:p>
      <w:pPr>
        <w:pStyle w:val="153"/>
        <w:pageBreakBefore w:val="0"/>
        <w:kinsoku/>
        <w:wordWrap/>
        <w:bidi w:val="0"/>
        <w:rPr>
          <w:rFonts w:hint="default" w:ascii="Times New Roman" w:hAnsi="Times New Roman" w:eastAsia="仿宋_GB2312" w:cs="Times New Roman"/>
          <w:bCs/>
          <w:sz w:val="24"/>
          <w:highlight w:val="none"/>
        </w:rPr>
      </w:pPr>
    </w:p>
    <w:p>
      <w:pPr>
        <w:pStyle w:val="153"/>
        <w:pageBreakBefore w:val="0"/>
        <w:kinsoku/>
        <w:wordWrap/>
        <w:bidi w:val="0"/>
        <w:rPr>
          <w:rFonts w:hint="default" w:ascii="Times New Roman" w:hAnsi="Times New Roman" w:eastAsia="仿宋_GB2312" w:cs="Times New Roman"/>
          <w:bCs/>
          <w:sz w:val="24"/>
          <w:highlight w:val="none"/>
        </w:rPr>
        <w:sectPr>
          <w:headerReference r:id="rId28" w:type="default"/>
          <w:footerReference r:id="rId29" w:type="default"/>
          <w:pgSz w:w="11910" w:h="16850"/>
          <w:pgMar w:top="1440" w:right="1800" w:bottom="1440" w:left="1800" w:header="850" w:footer="992" w:gutter="0"/>
          <w:pgBorders>
            <w:top w:val="none" w:sz="0" w:space="0"/>
            <w:left w:val="none" w:sz="0" w:space="0"/>
            <w:bottom w:val="none" w:sz="0" w:space="0"/>
            <w:right w:val="none" w:sz="0" w:space="0"/>
          </w:pgBorders>
          <w:pgNumType w:fmt="decimal"/>
          <w:cols w:space="720" w:num="1"/>
        </w:sectPr>
      </w:pPr>
    </w:p>
    <w:p>
      <w:pPr>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sz w:val="20"/>
          <w:highlight w:val="none"/>
        </w:rPr>
      </w:pPr>
    </w:p>
    <w:p>
      <w:pPr>
        <w:pStyle w:val="35"/>
        <w:keepNext w:val="0"/>
        <w:keepLines w:val="0"/>
        <w:pageBreakBefore w:val="0"/>
        <w:widowControl w:val="0"/>
        <w:kinsoku/>
        <w:wordWrap/>
        <w:overflowPunct/>
        <w:topLinePunct w:val="0"/>
        <w:bidi w:val="0"/>
        <w:adjustRightInd/>
        <w:snapToGrid/>
        <w:spacing w:before="1"/>
        <w:ind w:left="0" w:right="0"/>
        <w:jc w:val="center"/>
        <w:textAlignment w:val="auto"/>
        <w:rPr>
          <w:rFonts w:hint="default" w:ascii="Times New Roman" w:hAnsi="Times New Roman" w:cs="Times New Roman"/>
          <w:sz w:val="25"/>
          <w:highlight w:val="none"/>
        </w:rPr>
      </w:pPr>
    </w:p>
    <w:p>
      <w:pPr>
        <w:keepNext w:val="0"/>
        <w:keepLines w:val="0"/>
        <w:pageBreakBefore w:val="0"/>
        <w:widowControl w:val="0"/>
        <w:kinsoku/>
        <w:wordWrap/>
        <w:overflowPunct/>
        <w:topLinePunct w:val="0"/>
        <w:bidi w:val="0"/>
        <w:adjustRightInd/>
        <w:snapToGrid/>
        <w:spacing w:before="38"/>
        <w:ind w:left="0" w:right="0"/>
        <w:jc w:val="center"/>
        <w:textAlignment w:val="auto"/>
        <w:rPr>
          <w:rFonts w:hint="default" w:ascii="Times New Roman" w:hAnsi="Times New Roman" w:eastAsia="宋体" w:cs="Times New Roman"/>
          <w:b/>
          <w:sz w:val="36"/>
          <w:szCs w:val="36"/>
          <w:highlight w:val="none"/>
          <w:lang w:eastAsia="zh-CN"/>
        </w:rPr>
      </w:pPr>
      <w:r>
        <w:rPr>
          <w:rFonts w:hint="eastAsia" w:cs="Times New Roman"/>
          <w:b/>
          <w:sz w:val="36"/>
          <w:szCs w:val="36"/>
          <w:highlight w:val="none"/>
          <w:lang w:val="en-US" w:eastAsia="zh-CN"/>
        </w:rPr>
        <w:t>长春国际物流经济开发区新兴建材产业园区建设</w:t>
      </w:r>
      <w:r>
        <w:rPr>
          <w:rFonts w:hint="eastAsia" w:cs="Times New Roman"/>
          <w:b/>
          <w:sz w:val="36"/>
          <w:szCs w:val="36"/>
          <w:highlight w:val="none"/>
          <w:lang w:eastAsia="zh-CN"/>
        </w:rPr>
        <w:t>项目</w:t>
      </w:r>
    </w:p>
    <w:p>
      <w:pPr>
        <w:pStyle w:val="35"/>
        <w:keepNext w:val="0"/>
        <w:keepLines w:val="0"/>
        <w:pageBreakBefore w:val="0"/>
        <w:widowControl w:val="0"/>
        <w:kinsoku/>
        <w:wordWrap/>
        <w:overflowPunct/>
        <w:topLinePunct w:val="0"/>
        <w:bidi w:val="0"/>
        <w:adjustRightInd/>
        <w:snapToGrid/>
        <w:spacing w:before="7"/>
        <w:ind w:left="0" w:right="0"/>
        <w:jc w:val="center"/>
        <w:textAlignment w:val="auto"/>
        <w:rPr>
          <w:rFonts w:hint="default" w:ascii="Times New Roman" w:hAnsi="Times New Roman" w:cs="Times New Roman"/>
          <w:b/>
          <w:sz w:val="38"/>
          <w:highlight w:val="none"/>
        </w:rPr>
      </w:pPr>
    </w:p>
    <w:p>
      <w:pPr>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eastAsia="黑体" w:cs="Times New Roman"/>
          <w:b/>
          <w:sz w:val="72"/>
          <w:szCs w:val="72"/>
          <w:highlight w:val="none"/>
        </w:rPr>
      </w:pPr>
      <w:r>
        <w:rPr>
          <w:rFonts w:hint="default" w:ascii="Times New Roman" w:hAnsi="Times New Roman" w:eastAsia="黑体" w:cs="Times New Roman"/>
          <w:b/>
          <w:sz w:val="72"/>
          <w:szCs w:val="72"/>
          <w:highlight w:val="none"/>
        </w:rPr>
        <w:t>水土保持方案报告书</w:t>
      </w:r>
    </w:p>
    <w:p>
      <w:pPr>
        <w:pStyle w:val="152"/>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szCs w:val="44"/>
          <w:highlight w:val="none"/>
        </w:rPr>
      </w:pPr>
      <w:r>
        <w:rPr>
          <w:rFonts w:hint="default" w:ascii="Times New Roman" w:hAnsi="Times New Roman" w:cs="Times New Roman"/>
          <w:b/>
          <w:sz w:val="44"/>
          <w:szCs w:val="44"/>
          <w:highlight w:val="none"/>
        </w:rPr>
        <w:t>附表</w:t>
      </w: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spacing w:before="2"/>
        <w:ind w:left="0" w:right="0"/>
        <w:jc w:val="center"/>
        <w:textAlignment w:val="auto"/>
        <w:rPr>
          <w:rFonts w:hint="default" w:ascii="Times New Roman" w:hAnsi="Times New Roman" w:cs="Times New Roman"/>
          <w:b/>
          <w:sz w:val="36"/>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right="0" w:firstLine="1600" w:firstLineChars="500"/>
        <w:jc w:val="left"/>
        <w:textAlignment w:val="auto"/>
        <w:rPr>
          <w:rFonts w:hint="default" w:ascii="Times New Roman" w:hAnsi="Times New Roman" w:cs="Times New Roman"/>
          <w:sz w:val="32"/>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right="0" w:firstLine="1600" w:firstLineChars="500"/>
        <w:jc w:val="left"/>
        <w:textAlignment w:val="auto"/>
        <w:rPr>
          <w:rFonts w:hint="default" w:ascii="Times New Roman" w:hAnsi="Times New Roman" w:cs="Times New Roman"/>
          <w:sz w:val="32"/>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right="0" w:firstLine="1600" w:firstLineChars="500"/>
        <w:jc w:val="left"/>
        <w:textAlignment w:val="auto"/>
        <w:rPr>
          <w:rFonts w:hint="default" w:ascii="Times New Roman" w:hAnsi="Times New Roman" w:cs="Times New Roman"/>
          <w:sz w:val="32"/>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right="0" w:firstLine="1600" w:firstLineChars="500"/>
        <w:jc w:val="left"/>
        <w:textAlignment w:val="auto"/>
        <w:rPr>
          <w:rFonts w:hint="default" w:ascii="Times New Roman" w:hAnsi="Times New Roman" w:eastAsia="宋体" w:cs="Times New Roman"/>
          <w:sz w:val="32"/>
          <w:highlight w:val="none"/>
          <w:lang w:eastAsia="zh-CN"/>
        </w:rPr>
      </w:pPr>
      <w:r>
        <w:rPr>
          <w:rFonts w:hint="default" w:ascii="Times New Roman" w:hAnsi="Times New Roman" w:cs="Times New Roman"/>
          <w:sz w:val="32"/>
          <w:highlight w:val="none"/>
        </w:rPr>
        <w:t>建设单位：</w:t>
      </w:r>
      <w:r>
        <w:rPr>
          <w:rFonts w:hint="default" w:ascii="Times New Roman" w:hAnsi="Times New Roman" w:cs="Times New Roman"/>
          <w:sz w:val="32"/>
          <w:highlight w:val="none"/>
          <w:lang w:eastAsia="zh-CN"/>
        </w:rPr>
        <w:t>长春市瑞通投资有限公司</w:t>
      </w:r>
    </w:p>
    <w:p>
      <w:pPr>
        <w:keepNext w:val="0"/>
        <w:keepLines w:val="0"/>
        <w:pageBreakBefore w:val="0"/>
        <w:widowControl w:val="0"/>
        <w:tabs>
          <w:tab w:val="left" w:pos="5288"/>
        </w:tabs>
        <w:kinsoku/>
        <w:wordWrap/>
        <w:overflowPunct/>
        <w:topLinePunct w:val="0"/>
        <w:autoSpaceDE/>
        <w:autoSpaceDN/>
        <w:bidi w:val="0"/>
        <w:adjustRightInd/>
        <w:snapToGrid/>
        <w:spacing w:line="360" w:lineRule="auto"/>
        <w:ind w:left="0" w:right="0" w:firstLine="1600" w:firstLineChars="500"/>
        <w:jc w:val="left"/>
        <w:textAlignment w:val="auto"/>
        <w:rPr>
          <w:rFonts w:hint="default" w:ascii="Times New Roman" w:hAnsi="Times New Roman" w:cs="Times New Roman"/>
          <w:sz w:val="32"/>
          <w:highlight w:val="none"/>
          <w:lang w:eastAsia="zh-CN"/>
        </w:rPr>
      </w:pPr>
      <w:r>
        <w:rPr>
          <w:rFonts w:hint="default" w:ascii="Times New Roman" w:hAnsi="Times New Roman" w:cs="Times New Roman"/>
          <w:sz w:val="32"/>
          <w:highlight w:val="none"/>
        </w:rPr>
        <w:t>编制单位：</w:t>
      </w:r>
      <w:r>
        <w:rPr>
          <w:rFonts w:hint="eastAsia" w:cs="Times New Roman"/>
          <w:sz w:val="32"/>
          <w:highlight w:val="none"/>
          <w:lang w:eastAsia="zh-CN"/>
        </w:rPr>
        <w:t>吉林省晟元工程咨询有限公司</w:t>
      </w:r>
    </w:p>
    <w:p>
      <w:pPr>
        <w:pStyle w:val="153"/>
        <w:pageBreakBefore w:val="0"/>
        <w:kinsoku/>
        <w:wordWrap/>
        <w:bidi w:val="0"/>
        <w:rPr>
          <w:rFonts w:hint="default" w:ascii="Times New Roman" w:hAnsi="Times New Roman" w:cs="Times New Roman"/>
          <w:sz w:val="32"/>
          <w:highlight w:val="none"/>
          <w:lang w:eastAsia="zh-CN"/>
        </w:rPr>
      </w:pPr>
    </w:p>
    <w:p>
      <w:pPr>
        <w:pStyle w:val="153"/>
        <w:pageBreakBefore w:val="0"/>
        <w:kinsoku/>
        <w:wordWrap/>
        <w:bidi w:val="0"/>
        <w:rPr>
          <w:rFonts w:hint="default" w:ascii="Times New Roman" w:hAnsi="Times New Roman" w:cs="Times New Roman"/>
          <w:sz w:val="32"/>
          <w:highlight w:val="none"/>
          <w:lang w:eastAsia="zh-CN"/>
        </w:rPr>
      </w:pPr>
    </w:p>
    <w:p>
      <w:pPr>
        <w:pStyle w:val="153"/>
        <w:pageBreakBefore w:val="0"/>
        <w:kinsoku/>
        <w:wordWrap/>
        <w:bidi w:val="0"/>
        <w:rPr>
          <w:rFonts w:hint="default" w:ascii="Times New Roman" w:hAnsi="Times New Roman" w:cs="Times New Roman"/>
          <w:sz w:val="32"/>
          <w:highlight w:val="none"/>
          <w:lang w:eastAsia="zh-CN"/>
        </w:rPr>
        <w:sectPr>
          <w:headerReference r:id="rId30" w:type="default"/>
          <w:footerReference r:id="rId31" w:type="default"/>
          <w:pgSz w:w="11910" w:h="16838"/>
          <w:pgMar w:top="1440" w:right="1080" w:bottom="1440" w:left="1080" w:header="720" w:footer="720" w:gutter="0"/>
          <w:pgBorders>
            <w:top w:val="none" w:sz="0" w:space="0"/>
            <w:left w:val="none" w:sz="0" w:space="0"/>
            <w:bottom w:val="none" w:sz="0" w:space="0"/>
            <w:right w:val="none" w:sz="0" w:space="0"/>
          </w:pgBorders>
          <w:pgNumType w:fmt="decimal"/>
          <w:cols w:space="720" w:num="1"/>
        </w:sect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b/>
          <w:bCs/>
          <w:sz w:val="28"/>
          <w:szCs w:val="28"/>
          <w:highlight w:val="none"/>
        </w:rPr>
      </w:pPr>
      <w:r>
        <w:rPr>
          <w:rFonts w:hint="default" w:ascii="Times New Roman" w:hAnsi="Times New Roman" w:eastAsia="仿宋_GB2312" w:cs="Times New Roman"/>
          <w:b/>
          <w:bCs/>
          <w:sz w:val="28"/>
          <w:szCs w:val="28"/>
          <w:highlight w:val="none"/>
        </w:rPr>
        <w:t>附表1：</w:t>
      </w:r>
    </w:p>
    <w:p>
      <w:pPr>
        <w:pageBreakBefore w:val="0"/>
        <w:kinsoku/>
        <w:wordWrap/>
        <w:bidi w:val="0"/>
        <w:spacing w:line="360" w:lineRule="auto"/>
        <w:jc w:val="center"/>
        <w:rPr>
          <w:rFonts w:hint="default" w:ascii="Times New Roman" w:hAnsi="Times New Roman" w:cs="Times New Roman"/>
          <w:b/>
          <w:bCs/>
          <w:sz w:val="30"/>
          <w:szCs w:val="30"/>
          <w:highlight w:val="none"/>
        </w:rPr>
      </w:pPr>
      <w:r>
        <w:rPr>
          <w:rFonts w:hint="default" w:ascii="Times New Roman" w:hAnsi="Times New Roman" w:cs="Times New Roman"/>
          <w:b/>
          <w:bCs/>
          <w:sz w:val="30"/>
          <w:szCs w:val="30"/>
          <w:highlight w:val="none"/>
        </w:rPr>
        <w:t>防治范围责任表</w:t>
      </w:r>
    </w:p>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color w:val="auto"/>
          <w:sz w:val="24"/>
          <w:szCs w:val="24"/>
          <w:lang w:val="en-US" w:eastAsia="zh-CN"/>
        </w:rPr>
        <w:t>长春国际物流经济开发区新兴建材产业园区建设</w:t>
      </w:r>
      <w:r>
        <w:rPr>
          <w:rFonts w:hint="default" w:ascii="Times New Roman" w:hAnsi="Times New Roman" w:eastAsia="仿宋_GB2312" w:cs="Times New Roman"/>
          <w:color w:val="auto"/>
          <w:sz w:val="24"/>
          <w:szCs w:val="24"/>
          <w:lang w:eastAsia="zh-CN"/>
        </w:rPr>
        <w:t>项目</w:t>
      </w:r>
      <w:r>
        <w:rPr>
          <w:rFonts w:hint="eastAsia" w:eastAsia="仿宋_GB2312" w:cs="Times New Roman"/>
          <w:sz w:val="24"/>
          <w:szCs w:val="24"/>
          <w:highlight w:val="none"/>
          <w:lang w:val="en-US" w:eastAsia="zh-CN"/>
        </w:rPr>
        <w:t>B地块</w:t>
      </w:r>
      <w:r>
        <w:rPr>
          <w:rFonts w:hint="default" w:ascii="Times New Roman" w:hAnsi="Times New Roman" w:eastAsia="仿宋_GB2312" w:cs="Times New Roman"/>
          <w:sz w:val="24"/>
          <w:szCs w:val="24"/>
          <w:highlight w:val="none"/>
          <w:lang w:val="en-US" w:eastAsia="zh-CN"/>
        </w:rPr>
        <w:t>占地面积为</w:t>
      </w:r>
      <w:r>
        <w:rPr>
          <w:rFonts w:hint="eastAsia" w:eastAsia="仿宋_GB2312" w:cs="Times New Roman"/>
          <w:sz w:val="24"/>
          <w:szCs w:val="24"/>
          <w:highlight w:val="none"/>
          <w:lang w:val="en-US" w:eastAsia="zh-CN"/>
        </w:rPr>
        <w:t>19.98</w:t>
      </w:r>
      <w:r>
        <w:rPr>
          <w:rFonts w:hint="default" w:ascii="Times New Roman" w:hAnsi="Times New Roman" w:eastAsia="仿宋_GB2312" w:cs="Times New Roman"/>
          <w:sz w:val="24"/>
          <w:szCs w:val="24"/>
          <w:highlight w:val="none"/>
        </w:rPr>
        <w:t>hm²</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bCs/>
          <w:sz w:val="24"/>
          <w:highlight w:val="none"/>
          <w:lang w:eastAsia="zh-CN"/>
        </w:rPr>
        <w:t>项目</w:t>
      </w:r>
      <w:r>
        <w:rPr>
          <w:rFonts w:hint="default" w:ascii="Times New Roman" w:hAnsi="Times New Roman" w:eastAsia="仿宋_GB2312" w:cs="Times New Roman"/>
          <w:bCs/>
          <w:sz w:val="24"/>
          <w:highlight w:val="none"/>
        </w:rPr>
        <w:t>水土流失防治责任范围</w:t>
      </w:r>
      <w:r>
        <w:rPr>
          <w:rFonts w:hint="eastAsia" w:eastAsia="仿宋_GB2312" w:cs="Times New Roman"/>
          <w:bCs/>
          <w:sz w:val="24"/>
          <w:highlight w:val="none"/>
          <w:lang w:val="en-US" w:eastAsia="zh-CN"/>
        </w:rPr>
        <w:t>19.98</w:t>
      </w:r>
      <w:r>
        <w:rPr>
          <w:rFonts w:hint="default" w:ascii="Times New Roman" w:hAnsi="Times New Roman" w:eastAsia="仿宋_GB2312" w:cs="Times New Roman"/>
          <w:bCs/>
          <w:sz w:val="24"/>
          <w:highlight w:val="none"/>
          <w:lang w:eastAsia="zh-CN"/>
        </w:rPr>
        <w:t>hm²</w:t>
      </w:r>
      <w:r>
        <w:rPr>
          <w:rFonts w:hint="default" w:ascii="Times New Roman" w:hAnsi="Times New Roman" w:eastAsia="仿宋_GB2312" w:cs="Times New Roman"/>
          <w:bCs/>
          <w:sz w:val="24"/>
          <w:highlight w:val="none"/>
        </w:rPr>
        <w:t>。水土流失防治责任主体单位为</w:t>
      </w:r>
      <w:r>
        <w:rPr>
          <w:rFonts w:hint="default" w:ascii="Times New Roman" w:hAnsi="Times New Roman" w:eastAsia="仿宋_GB2312" w:cs="Times New Roman"/>
          <w:bCs/>
          <w:sz w:val="24"/>
          <w:highlight w:val="none"/>
          <w:lang w:eastAsia="zh-CN"/>
        </w:rPr>
        <w:t>长春市瑞通投资有限公司</w:t>
      </w:r>
      <w:r>
        <w:rPr>
          <w:rFonts w:hint="default" w:ascii="Times New Roman" w:hAnsi="Times New Roman" w:eastAsia="仿宋_GB2312" w:cs="Times New Roman"/>
          <w:bCs/>
          <w:sz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z w:val="24"/>
          <w:highlight w:val="none"/>
        </w:rPr>
      </w:pPr>
      <w:r>
        <w:rPr>
          <w:rFonts w:hint="default" w:ascii="Times New Roman" w:hAnsi="Times New Roman" w:eastAsia="微软雅黑" w:cs="Times New Roman"/>
          <w:b w:val="0"/>
          <w:bCs w:val="0"/>
          <w:sz w:val="24"/>
          <w:highlight w:val="none"/>
        </w:rPr>
        <w:t>附表1.1</w:t>
      </w:r>
      <w:r>
        <w:rPr>
          <w:rFonts w:hint="default" w:ascii="Times New Roman" w:hAnsi="Times New Roman" w:eastAsia="微软雅黑" w:cs="Times New Roman"/>
          <w:b w:val="0"/>
          <w:bCs w:val="0"/>
          <w:sz w:val="24"/>
          <w:highlight w:val="none"/>
          <w:lang w:val="en-US" w:eastAsia="zh-CN"/>
        </w:rPr>
        <w:t xml:space="preserve">  </w:t>
      </w:r>
      <w:r>
        <w:rPr>
          <w:rFonts w:hint="default" w:ascii="Times New Roman" w:hAnsi="Times New Roman" w:eastAsia="微软雅黑" w:cs="Times New Roman"/>
          <w:b w:val="0"/>
          <w:bCs w:val="0"/>
          <w:sz w:val="24"/>
          <w:highlight w:val="none"/>
        </w:rPr>
        <w:t>工程水土流失防治责任范围表</w:t>
      </w:r>
    </w:p>
    <w:tbl>
      <w:tblPr>
        <w:tblStyle w:val="88"/>
        <w:tblW w:w="4998"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922"/>
        <w:gridCol w:w="2353"/>
        <w:gridCol w:w="1901"/>
        <w:gridCol w:w="2347"/>
      </w:tblGrid>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项目分区</w:t>
            </w:r>
          </w:p>
        </w:tc>
        <w:tc>
          <w:tcPr>
            <w:tcW w:w="138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永久占地（</w:t>
            </w:r>
            <w:r>
              <w:rPr>
                <w:rFonts w:hint="default" w:ascii="Times New Roman" w:hAnsi="Times New Roman" w:eastAsia="仿宋_GB2312" w:cs="Times New Roman"/>
                <w:bCs/>
                <w:sz w:val="21"/>
                <w:szCs w:val="21"/>
                <w:highlight w:val="none"/>
                <w:lang w:eastAsia="zh-CN"/>
              </w:rPr>
              <w:t>hm²</w:t>
            </w:r>
            <w:r>
              <w:rPr>
                <w:rFonts w:hint="default" w:ascii="Times New Roman" w:hAnsi="Times New Roman" w:eastAsia="仿宋_GB2312" w:cs="Times New Roman"/>
                <w:bCs/>
                <w:sz w:val="21"/>
                <w:szCs w:val="21"/>
                <w:highlight w:val="none"/>
              </w:rPr>
              <w:t>）</w:t>
            </w:r>
          </w:p>
        </w:tc>
        <w:tc>
          <w:tcPr>
            <w:tcW w:w="111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临时占地（</w:t>
            </w:r>
            <w:r>
              <w:rPr>
                <w:rFonts w:hint="default" w:ascii="Times New Roman" w:hAnsi="Times New Roman" w:eastAsia="仿宋_GB2312" w:cs="Times New Roman"/>
                <w:bCs/>
                <w:sz w:val="21"/>
                <w:szCs w:val="21"/>
                <w:highlight w:val="none"/>
                <w:lang w:eastAsia="zh-CN"/>
              </w:rPr>
              <w:t>hm²</w:t>
            </w:r>
            <w:r>
              <w:rPr>
                <w:rFonts w:hint="default" w:ascii="Times New Roman" w:hAnsi="Times New Roman" w:eastAsia="仿宋_GB2312" w:cs="Times New Roman"/>
                <w:bCs/>
                <w:sz w:val="21"/>
                <w:szCs w:val="21"/>
                <w:highlight w:val="none"/>
              </w:rPr>
              <w:t>）</w:t>
            </w:r>
          </w:p>
        </w:tc>
        <w:tc>
          <w:tcPr>
            <w:tcW w:w="137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防治责任范围（</w:t>
            </w:r>
            <w:r>
              <w:rPr>
                <w:rFonts w:hint="default" w:ascii="Times New Roman" w:hAnsi="Times New Roman" w:eastAsia="仿宋_GB2312" w:cs="Times New Roman"/>
                <w:bCs/>
                <w:sz w:val="21"/>
                <w:szCs w:val="21"/>
                <w:highlight w:val="none"/>
                <w:lang w:eastAsia="zh-CN"/>
              </w:rPr>
              <w:t>hm²</w:t>
            </w:r>
            <w:r>
              <w:rPr>
                <w:rFonts w:hint="default" w:ascii="Times New Roman" w:hAnsi="Times New Roman" w:eastAsia="仿宋_GB2312" w:cs="Times New Roman"/>
                <w:bCs/>
                <w:sz w:val="21"/>
                <w:szCs w:val="21"/>
                <w:highlight w:val="none"/>
              </w:rPr>
              <w:t>）</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 w:val="21"/>
                <w:szCs w:val="21"/>
                <w:highlight w:val="none"/>
                <w:lang w:val="en-US" w:eastAsia="zh-CN"/>
              </w:rPr>
            </w:pPr>
            <w:r>
              <w:rPr>
                <w:rFonts w:hint="eastAsia" w:eastAsia="仿宋_GB2312" w:cs="Times New Roman"/>
                <w:bCs/>
                <w:sz w:val="21"/>
                <w:szCs w:val="21"/>
                <w:highlight w:val="none"/>
                <w:lang w:val="en-US" w:eastAsia="zh-CN"/>
              </w:rPr>
              <w:t>工程建设区</w:t>
            </w:r>
          </w:p>
        </w:tc>
        <w:tc>
          <w:tcPr>
            <w:tcW w:w="138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 w:val="21"/>
                <w:szCs w:val="21"/>
                <w:highlight w:val="none"/>
                <w:lang w:val="en-US" w:eastAsia="zh-CN"/>
              </w:rPr>
            </w:pPr>
            <w:r>
              <w:rPr>
                <w:rFonts w:hint="eastAsia" w:eastAsia="仿宋_GB2312" w:cs="Times New Roman"/>
                <w:bCs/>
                <w:sz w:val="21"/>
                <w:szCs w:val="21"/>
                <w:highlight w:val="none"/>
                <w:lang w:eastAsia="zh-CN"/>
              </w:rPr>
              <w:t>19.98</w:t>
            </w:r>
          </w:p>
        </w:tc>
        <w:tc>
          <w:tcPr>
            <w:tcW w:w="111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w:t>
            </w:r>
          </w:p>
        </w:tc>
        <w:tc>
          <w:tcPr>
            <w:tcW w:w="137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 w:val="21"/>
                <w:szCs w:val="21"/>
                <w:highlight w:val="none"/>
                <w:lang w:val="en-US" w:eastAsia="zh-CN"/>
              </w:rPr>
            </w:pPr>
            <w:r>
              <w:rPr>
                <w:rFonts w:hint="eastAsia" w:eastAsia="仿宋_GB2312" w:cs="Times New Roman"/>
                <w:bCs/>
                <w:sz w:val="21"/>
                <w:szCs w:val="21"/>
                <w:highlight w:val="none"/>
                <w:lang w:val="en-US" w:eastAsia="zh-CN"/>
              </w:rPr>
              <w:t>19.98</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val="en-US" w:eastAsia="zh-CN" w:bidi="ar-SA"/>
              </w:rPr>
            </w:pPr>
            <w:bookmarkStart w:id="434" w:name="_Toc26597"/>
            <w:r>
              <w:rPr>
                <w:rFonts w:hint="default" w:ascii="Times New Roman" w:hAnsi="Times New Roman" w:eastAsia="仿宋_GB2312" w:cs="Times New Roman"/>
                <w:bCs/>
                <w:sz w:val="21"/>
                <w:szCs w:val="21"/>
                <w:highlight w:val="none"/>
                <w:lang w:val="en-US" w:eastAsia="zh-CN"/>
              </w:rPr>
              <w:t>合计</w:t>
            </w:r>
          </w:p>
        </w:tc>
        <w:tc>
          <w:tcPr>
            <w:tcW w:w="138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val="en-US" w:eastAsia="zh-CN" w:bidi="ar-SA"/>
              </w:rPr>
            </w:pPr>
            <w:r>
              <w:rPr>
                <w:rFonts w:hint="eastAsia" w:eastAsia="仿宋_GB2312" w:cs="Times New Roman"/>
                <w:bCs/>
                <w:kern w:val="2"/>
                <w:sz w:val="21"/>
                <w:szCs w:val="21"/>
                <w:highlight w:val="none"/>
                <w:lang w:val="en-US" w:eastAsia="zh-CN" w:bidi="ar-SA"/>
              </w:rPr>
              <w:t>19.98</w:t>
            </w:r>
          </w:p>
        </w:tc>
        <w:tc>
          <w:tcPr>
            <w:tcW w:w="111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val="en-US" w:eastAsia="zh-CN" w:bidi="ar-SA"/>
              </w:rPr>
            </w:pPr>
            <w:r>
              <w:rPr>
                <w:rFonts w:hint="default" w:ascii="Times New Roman" w:hAnsi="Times New Roman" w:eastAsia="仿宋_GB2312" w:cs="Times New Roman"/>
                <w:bCs/>
                <w:sz w:val="21"/>
                <w:szCs w:val="21"/>
                <w:highlight w:val="none"/>
                <w:lang w:val="en-US" w:eastAsia="zh-CN"/>
              </w:rPr>
              <w:t>/</w:t>
            </w:r>
          </w:p>
        </w:tc>
        <w:tc>
          <w:tcPr>
            <w:tcW w:w="137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kern w:val="2"/>
                <w:sz w:val="21"/>
                <w:szCs w:val="21"/>
                <w:highlight w:val="none"/>
                <w:lang w:val="en-US" w:eastAsia="zh-CN" w:bidi="ar-SA"/>
              </w:rPr>
            </w:pPr>
            <w:r>
              <w:rPr>
                <w:rFonts w:hint="eastAsia" w:eastAsia="仿宋_GB2312" w:cs="Times New Roman"/>
                <w:bCs/>
                <w:kern w:val="2"/>
                <w:sz w:val="21"/>
                <w:szCs w:val="21"/>
                <w:highlight w:val="none"/>
                <w:lang w:val="en-US" w:eastAsia="zh-CN" w:bidi="ar-SA"/>
              </w:rPr>
              <w:t>19.98</w:t>
            </w:r>
          </w:p>
        </w:tc>
      </w:tr>
    </w:tbl>
    <w:p>
      <w:pPr>
        <w:pageBreakBefore w:val="0"/>
        <w:kinsoku/>
        <w:wordWrap/>
        <w:bidi w:val="0"/>
        <w:spacing w:line="360" w:lineRule="auto"/>
        <w:ind w:firstLine="480" w:firstLineChars="200"/>
        <w:rPr>
          <w:rFonts w:hint="default" w:ascii="Times New Roman" w:hAnsi="Times New Roman" w:eastAsia="仿宋_GB2312" w:cs="Times New Roman"/>
          <w:bCs/>
          <w:sz w:val="24"/>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z w:val="24"/>
          <w:highlight w:val="none"/>
        </w:rPr>
      </w:pPr>
      <w:r>
        <w:rPr>
          <w:rFonts w:hint="default" w:ascii="Times New Roman" w:hAnsi="Times New Roman" w:eastAsia="微软雅黑" w:cs="Times New Roman"/>
          <w:b w:val="0"/>
          <w:bCs w:val="0"/>
          <w:sz w:val="24"/>
          <w:highlight w:val="none"/>
        </w:rPr>
        <w:t>附表1.2</w:t>
      </w:r>
      <w:r>
        <w:rPr>
          <w:rFonts w:hint="default" w:ascii="Times New Roman" w:hAnsi="Times New Roman" w:eastAsia="微软雅黑" w:cs="Times New Roman"/>
          <w:b w:val="0"/>
          <w:bCs w:val="0"/>
          <w:sz w:val="24"/>
          <w:highlight w:val="none"/>
          <w:lang w:val="en-US" w:eastAsia="zh-CN"/>
        </w:rPr>
        <w:t xml:space="preserve">  </w:t>
      </w:r>
      <w:r>
        <w:rPr>
          <w:rFonts w:hint="default" w:ascii="Times New Roman" w:hAnsi="Times New Roman" w:eastAsia="微软雅黑" w:cs="Times New Roman"/>
          <w:b w:val="0"/>
          <w:bCs w:val="0"/>
          <w:sz w:val="24"/>
          <w:highlight w:val="none"/>
        </w:rPr>
        <w:t>项目防治责任范围表（国家2000坐标系）</w:t>
      </w:r>
      <w:bookmarkEnd w:id="434"/>
    </w:p>
    <w:tbl>
      <w:tblPr>
        <w:tblStyle w:val="88"/>
        <w:tblW w:w="4998"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37"/>
        <w:gridCol w:w="1219"/>
        <w:gridCol w:w="2955"/>
        <w:gridCol w:w="2612"/>
      </w:tblGrid>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分区</w:t>
            </w: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拐点编号</w:t>
            </w:r>
          </w:p>
        </w:tc>
        <w:tc>
          <w:tcPr>
            <w:tcW w:w="1733"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东经</w:t>
            </w:r>
          </w:p>
        </w:tc>
        <w:tc>
          <w:tcPr>
            <w:tcW w:w="153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北纬</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工程建设区</w:t>
            </w: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J1</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bCs/>
                <w:sz w:val="21"/>
                <w:szCs w:val="21"/>
                <w:highlight w:val="none"/>
                <w:lang w:val="en-US"/>
              </w:rPr>
            </w:pPr>
            <w:r>
              <w:rPr>
                <w:rFonts w:hint="default" w:ascii="Times New Roman" w:hAnsi="Times New Roman" w:eastAsia="宋体" w:cs="Times New Roman"/>
                <w:i w:val="0"/>
                <w:iCs w:val="0"/>
                <w:color w:val="000000"/>
                <w:kern w:val="0"/>
                <w:sz w:val="21"/>
                <w:szCs w:val="21"/>
                <w:u w:val="none"/>
                <w:lang w:val="en-US" w:eastAsia="zh-CN" w:bidi="ar"/>
              </w:rPr>
              <w:t>125° 30' 16.527"</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bCs/>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43° 54' 55.995"</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J2</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bCs/>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125° 30' 17.074"</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bCs/>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43° 54' 53.604"</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J3</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bCs/>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125° 30' 20.335"</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bCs/>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43° 54' 53.995"</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J4</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bCs/>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125° 30' 21.992"</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bCs/>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43° 54' 46.745"</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eastAsia="zh-CN"/>
              </w:rPr>
            </w:pPr>
            <w:r>
              <w:rPr>
                <w:rFonts w:hint="default" w:ascii="Times New Roman" w:hAnsi="Times New Roman" w:eastAsia="仿宋_GB2312" w:cs="Times New Roman"/>
                <w:bCs/>
                <w:sz w:val="21"/>
                <w:szCs w:val="21"/>
                <w:highlight w:val="none"/>
              </w:rPr>
              <w:t>J</w:t>
            </w:r>
            <w:r>
              <w:rPr>
                <w:rFonts w:hint="default" w:ascii="Times New Roman" w:hAnsi="Times New Roman" w:eastAsia="仿宋_GB2312" w:cs="Times New Roman"/>
                <w:bCs/>
                <w:sz w:val="21"/>
                <w:szCs w:val="21"/>
                <w:highlight w:val="none"/>
                <w:lang w:val="en-US" w:eastAsia="zh-CN"/>
              </w:rPr>
              <w:t>5</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bCs/>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125° 30' 22.043"</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bCs/>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43° 54' 46.475"</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J6</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22.073"</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46.204"</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J7</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22.128"</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45.445"</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J8</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22.158"</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45.174"</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J9</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22.209"</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44.904"</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J10</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22.613"</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43.135"</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J11</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22.627"</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43.005"</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J12</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22.611"</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42.875"</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J13</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22.565"</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42.748"</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J14</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22.490"</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42.629"</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J15</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22.389"</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42.521"</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J16</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22.264"</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42.426"</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J17</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22.118"</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42.348"</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J18</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21.957"</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42.288"</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J19</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21.784"</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42.250"</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J20</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6.681"</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39.831"</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J21</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4.636"</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39.491"</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J22</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2.599"</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39.129"</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J23</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0.569"</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38.744"</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J24</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29' 58.548"</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38.337"</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J25</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29' 56.536"</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37.908"</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J26</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29' 54.533"</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37.456"</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J27</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29' 52.540"</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36.983"</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J28</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29' 50.557"</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36.487"</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J29</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29' 50.026"</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36.701"</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J30</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29' 50.051"</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44.546"</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J31</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29' 58.189"</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46.789"</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J32</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29' 58.440"</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46.677"</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J33</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29' 58.983"</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46.519"</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J34</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29' 59.575"</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46.428"</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J35</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29' 59.929"</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46.434"</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J36</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0.646"</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46.553"</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J37</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4.182"</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46.700"</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J38</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6.261"</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46.785"</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J39</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7.837"</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45.239"</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J40</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10.471"</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46.018"</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J41</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11.850"</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46.426"</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J42</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13.673"</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48.148"</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J43</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13.050"</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51.290"</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J44</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11.530"</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51.421"</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J45</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9.496"</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52.085"</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J46</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9.868"</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52.731"</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J47</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10.405"</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53.347"</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J48</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13.896"</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56.243"</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J49</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14.578"</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56.996"</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J50</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16.527"</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55.995"</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1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rPr>
            </w:pPr>
          </w:p>
        </w:tc>
        <w:tc>
          <w:tcPr>
            <w:tcW w:w="71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J1</w:t>
            </w:r>
          </w:p>
        </w:tc>
        <w:tc>
          <w:tcPr>
            <w:tcW w:w="1733"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 30' 16.527"</w:t>
            </w:r>
          </w:p>
        </w:tc>
        <w:tc>
          <w:tcPr>
            <w:tcW w:w="1532" w:type="pct"/>
            <w:tcBorders>
              <w:tl2br w:val="nil"/>
              <w:tr2bl w:val="nil"/>
            </w:tcBorders>
            <w:noWrap w:val="0"/>
            <w:vAlign w:val="center"/>
          </w:tcPr>
          <w:p>
            <w:pPr>
              <w:keepNext w:val="0"/>
              <w:keepLines w:val="0"/>
              <w:widowControl/>
              <w:suppressLineNumbers w:val="0"/>
              <w:jc w:val="center"/>
              <w:textAlignment w:val="bottom"/>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 54' 55.995"</w:t>
            </w:r>
          </w:p>
        </w:tc>
      </w:tr>
    </w:tbl>
    <w:p>
      <w:pPr>
        <w:pageBreakBefore w:val="0"/>
        <w:kinsoku/>
        <w:wordWrap/>
        <w:bidi w:val="0"/>
        <w:jc w:val="left"/>
        <w:rPr>
          <w:rFonts w:hint="default" w:ascii="Times New Roman" w:hAnsi="Times New Roman" w:cs="Times New Roman"/>
          <w:b/>
          <w:bCs/>
          <w:sz w:val="24"/>
          <w:highlight w:val="none"/>
        </w:rPr>
      </w:pPr>
    </w:p>
    <w:p>
      <w:pPr>
        <w:pageBreakBefore w:val="0"/>
        <w:tabs>
          <w:tab w:val="left" w:pos="6303"/>
        </w:tabs>
        <w:kinsoku/>
        <w:wordWrap/>
        <w:bidi w:val="0"/>
        <w:rPr>
          <w:rFonts w:hint="default" w:ascii="Times New Roman" w:hAnsi="Times New Roman" w:cs="Times New Roman"/>
          <w:highlight w:val="none"/>
        </w:rPr>
        <w:sectPr>
          <w:headerReference r:id="rId32" w:type="default"/>
          <w:footerReference r:id="rId33" w:type="default"/>
          <w:pgSz w:w="11910" w:h="16838"/>
          <w:pgMar w:top="1440" w:right="1800" w:bottom="1440" w:left="1800" w:header="720" w:footer="720" w:gutter="0"/>
          <w:pgBorders>
            <w:top w:val="none" w:sz="0" w:space="0"/>
            <w:left w:val="none" w:sz="0" w:space="0"/>
            <w:bottom w:val="none" w:sz="0" w:space="0"/>
            <w:right w:val="none" w:sz="0" w:space="0"/>
          </w:pgBorders>
          <w:pgNumType w:fmt="decimal"/>
          <w:cols w:space="720" w:num="1"/>
        </w:sect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b/>
          <w:bCs/>
          <w:sz w:val="28"/>
          <w:szCs w:val="28"/>
          <w:highlight w:val="none"/>
        </w:rPr>
      </w:pPr>
      <w:r>
        <w:rPr>
          <w:rFonts w:hint="default" w:ascii="Times New Roman" w:hAnsi="Times New Roman" w:eastAsia="仿宋_GB2312" w:cs="Times New Roman"/>
          <w:b/>
          <w:bCs/>
          <w:sz w:val="28"/>
          <w:szCs w:val="28"/>
          <w:highlight w:val="none"/>
        </w:rPr>
        <w:t>附表2：</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项目区属于东北黑土区，根据《全国水土保持规划</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2015—2030年</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》和《吉林省水土保持规划</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2016—2030年</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》，属东北漫川漫岗国家级水土流失重点治理区，根据《生产建设项目水土流失防治标准》</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GB/T50434-2018</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的规定：</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位于县级及以上城市区域的，应执行一级标准</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，该工程水土流失防治执行东北黑土区水土流失防治一级标准。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根据《生产建设项目水土流失防治标准》</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GB/T50434-2018</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，因项目区位于轻度侵蚀为主的区域，土壤流失控制比应不小于1.0；因项目位于城市区，渣土防护率提高1%；根据《生产建设项目水土保持技术标准》</w:t>
      </w:r>
      <w:r>
        <w:rPr>
          <w:rFonts w:hint="default"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rPr>
        <w:t>GB/T50433-2018</w:t>
      </w:r>
      <w:r>
        <w:rPr>
          <w:rFonts w:hint="default"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rPr>
        <w:t>，无法避让国家级水土流失重点治理区，林草覆盖率提高1%。根据项目实际，林草覆盖率调整为</w:t>
      </w:r>
      <w:r>
        <w:rPr>
          <w:rFonts w:hint="default" w:ascii="Times New Roman" w:hAnsi="Times New Roman" w:eastAsia="仿宋_GB2312" w:cs="Times New Roman"/>
          <w:sz w:val="24"/>
          <w:szCs w:val="24"/>
          <w:lang w:val="en-US" w:eastAsia="zh-CN"/>
        </w:rPr>
        <w:t>19%</w:t>
      </w:r>
      <w:r>
        <w:rPr>
          <w:rFonts w:hint="default" w:ascii="Times New Roman" w:hAnsi="Times New Roman" w:eastAsia="仿宋_GB2312" w:cs="Times New Roman"/>
          <w:sz w:val="24"/>
          <w:szCs w:val="24"/>
        </w:rPr>
        <w:t>。由于项目区表土被</w:t>
      </w:r>
      <w:r>
        <w:rPr>
          <w:rFonts w:hint="default" w:ascii="Times New Roman" w:hAnsi="Times New Roman" w:eastAsia="仿宋_GB2312" w:cs="Times New Roman"/>
          <w:sz w:val="24"/>
          <w:szCs w:val="24"/>
          <w:lang w:eastAsia="zh-CN"/>
        </w:rPr>
        <w:t>长春二道经济开发区</w:t>
      </w:r>
      <w:r>
        <w:rPr>
          <w:rFonts w:hint="default" w:ascii="Times New Roman" w:hAnsi="Times New Roman" w:eastAsia="仿宋_GB2312" w:cs="Times New Roman"/>
          <w:sz w:val="24"/>
          <w:szCs w:val="24"/>
        </w:rPr>
        <w:t>管理委员会统一调配，表土保护归</w:t>
      </w:r>
      <w:r>
        <w:rPr>
          <w:rFonts w:hint="default" w:ascii="Times New Roman" w:hAnsi="Times New Roman" w:eastAsia="仿宋_GB2312" w:cs="Times New Roman"/>
          <w:sz w:val="24"/>
          <w:szCs w:val="24"/>
          <w:lang w:eastAsia="zh-CN"/>
        </w:rPr>
        <w:t>长春二道经济开发区</w:t>
      </w:r>
      <w:r>
        <w:rPr>
          <w:rFonts w:hint="default" w:ascii="Times New Roman" w:hAnsi="Times New Roman" w:eastAsia="仿宋_GB2312" w:cs="Times New Roman"/>
          <w:sz w:val="24"/>
          <w:szCs w:val="24"/>
        </w:rPr>
        <w:t>管理委员会负责，</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不计表土保护率。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综上，确定</w:t>
      </w:r>
      <w:r>
        <w:rPr>
          <w:rFonts w:hint="default" w:ascii="Times New Roman" w:hAnsi="Times New Roman" w:eastAsia="仿宋_GB2312" w:cs="Times New Roman"/>
          <w:sz w:val="24"/>
          <w:szCs w:val="24"/>
          <w:lang w:eastAsia="zh-CN"/>
        </w:rPr>
        <w:t>本期项目</w:t>
      </w:r>
      <w:r>
        <w:rPr>
          <w:rFonts w:hint="default" w:ascii="Times New Roman" w:hAnsi="Times New Roman" w:eastAsia="仿宋_GB2312" w:cs="Times New Roman"/>
          <w:sz w:val="24"/>
          <w:szCs w:val="24"/>
        </w:rPr>
        <w:t>设计水平年水土流失防治指标为水土流失治理度达到97%；土壤流失控制比为1.0；</w:t>
      </w:r>
      <w:r>
        <w:rPr>
          <w:rFonts w:hint="eastAsia" w:ascii="Times New Roman" w:hAnsi="Times New Roman" w:eastAsia="仿宋_GB2312" w:cs="Times New Roman"/>
          <w:sz w:val="24"/>
          <w:szCs w:val="24"/>
          <w:lang w:val="en-US" w:eastAsia="zh-CN"/>
        </w:rPr>
        <w:t>渣土防护率98%；</w:t>
      </w:r>
      <w:r>
        <w:rPr>
          <w:rFonts w:hint="default" w:ascii="Times New Roman" w:hAnsi="Times New Roman" w:eastAsia="仿宋_GB2312" w:cs="Times New Roman"/>
          <w:sz w:val="24"/>
          <w:szCs w:val="24"/>
        </w:rPr>
        <w:t>林草植被恢复率为97%；林草覆盖率</w:t>
      </w:r>
      <w:r>
        <w:rPr>
          <w:rFonts w:hint="default" w:ascii="Times New Roman" w:hAnsi="Times New Roman" w:eastAsia="仿宋_GB2312" w:cs="Times New Roman"/>
          <w:sz w:val="24"/>
          <w:szCs w:val="24"/>
          <w:lang w:val="en-US" w:eastAsia="zh-CN"/>
        </w:rPr>
        <w:t>19%</w:t>
      </w:r>
      <w:r>
        <w:rPr>
          <w:rFonts w:hint="default" w:ascii="Times New Roman" w:hAnsi="Times New Roman" w:eastAsia="仿宋_GB2312" w:cs="Times New Roman"/>
          <w:sz w:val="24"/>
          <w:szCs w:val="24"/>
        </w:rPr>
        <w:t>。防治指标调整情况详见下表。</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z w:val="24"/>
          <w:highlight w:val="none"/>
        </w:rPr>
      </w:pPr>
      <w:bookmarkStart w:id="435" w:name="_Toc15219"/>
      <w:r>
        <w:rPr>
          <w:rFonts w:hint="default" w:ascii="Times New Roman" w:hAnsi="Times New Roman" w:eastAsia="微软雅黑" w:cs="Times New Roman"/>
          <w:b w:val="0"/>
          <w:bCs w:val="0"/>
          <w:sz w:val="24"/>
          <w:highlight w:val="none"/>
        </w:rPr>
        <w:t>附表2</w:t>
      </w:r>
      <w:r>
        <w:rPr>
          <w:rFonts w:hint="default" w:ascii="Times New Roman" w:hAnsi="Times New Roman" w:eastAsia="微软雅黑" w:cs="Times New Roman"/>
          <w:b w:val="0"/>
          <w:bCs w:val="0"/>
          <w:sz w:val="24"/>
          <w:highlight w:val="none"/>
          <w:lang w:val="en-US" w:eastAsia="zh-CN"/>
        </w:rPr>
        <w:t xml:space="preserve">  </w:t>
      </w:r>
      <w:r>
        <w:rPr>
          <w:rFonts w:hint="default" w:ascii="Times New Roman" w:hAnsi="Times New Roman" w:eastAsia="微软雅黑" w:cs="Times New Roman"/>
          <w:b w:val="0"/>
          <w:bCs w:val="0"/>
          <w:sz w:val="24"/>
          <w:highlight w:val="none"/>
        </w:rPr>
        <w:t>防治标准指标计算表</w:t>
      </w:r>
      <w:bookmarkEnd w:id="435"/>
    </w:p>
    <w:tbl>
      <w:tblPr>
        <w:tblStyle w:val="556"/>
        <w:tblW w:w="4998" w:type="pct"/>
        <w:jc w:val="center"/>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autofit"/>
        <w:tblCellMar>
          <w:top w:w="0" w:type="dxa"/>
          <w:left w:w="0" w:type="dxa"/>
          <w:bottom w:w="0" w:type="dxa"/>
          <w:right w:w="0" w:type="dxa"/>
        </w:tblCellMar>
      </w:tblPr>
      <w:tblGrid>
        <w:gridCol w:w="2119"/>
        <w:gridCol w:w="836"/>
        <w:gridCol w:w="923"/>
        <w:gridCol w:w="1099"/>
        <w:gridCol w:w="1142"/>
        <w:gridCol w:w="1128"/>
        <w:gridCol w:w="1060"/>
      </w:tblGrid>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27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防</w:t>
            </w:r>
            <w:r>
              <w:rPr>
                <w:rFonts w:hint="default" w:ascii="Times New Roman" w:hAnsi="Times New Roman" w:eastAsia="仿宋_GB2312" w:cs="Times New Roman"/>
                <w:spacing w:val="2"/>
                <w:sz w:val="21"/>
                <w:szCs w:val="21"/>
              </w:rPr>
              <w:t>治指标</w:t>
            </w:r>
          </w:p>
        </w:tc>
        <w:tc>
          <w:tcPr>
            <w:tcW w:w="50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6"/>
                <w:sz w:val="21"/>
                <w:szCs w:val="21"/>
              </w:rPr>
              <w:t>标准</w:t>
            </w:r>
            <w:r>
              <w:rPr>
                <w:rFonts w:hint="default" w:ascii="Times New Roman" w:hAnsi="Times New Roman" w:eastAsia="仿宋_GB2312" w:cs="Times New Roman"/>
                <w:spacing w:val="6"/>
                <w:sz w:val="21"/>
                <w:szCs w:val="21"/>
                <w:lang w:val="en-US" w:eastAsia="zh-CN"/>
              </w:rPr>
              <w:t>值</w:t>
            </w:r>
          </w:p>
        </w:tc>
        <w:tc>
          <w:tcPr>
            <w:tcW w:w="55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按城市</w:t>
            </w:r>
            <w:r>
              <w:rPr>
                <w:rFonts w:hint="default" w:ascii="Times New Roman" w:hAnsi="Times New Roman" w:eastAsia="仿宋_GB2312" w:cs="Times New Roman"/>
                <w:spacing w:val="-1"/>
                <w:sz w:val="21"/>
                <w:szCs w:val="21"/>
              </w:rPr>
              <w:t>区调整</w:t>
            </w:r>
          </w:p>
        </w:tc>
        <w:tc>
          <w:tcPr>
            <w:tcW w:w="66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按重点</w:t>
            </w:r>
            <w:r>
              <w:rPr>
                <w:rFonts w:hint="default" w:ascii="Times New Roman" w:hAnsi="Times New Roman" w:eastAsia="仿宋_GB2312" w:cs="Times New Roman"/>
                <w:spacing w:val="1"/>
                <w:sz w:val="21"/>
                <w:szCs w:val="21"/>
              </w:rPr>
              <w:t>防</w:t>
            </w:r>
            <w:r>
              <w:rPr>
                <w:rFonts w:hint="default" w:ascii="Times New Roman" w:hAnsi="Times New Roman" w:eastAsia="仿宋_GB2312" w:cs="Times New Roman"/>
                <w:sz w:val="21"/>
                <w:szCs w:val="21"/>
              </w:rPr>
              <w:t>治区</w:t>
            </w:r>
            <w:r>
              <w:rPr>
                <w:rFonts w:hint="default" w:ascii="Times New Roman" w:hAnsi="Times New Roman" w:eastAsia="仿宋_GB2312" w:cs="Times New Roman"/>
                <w:spacing w:val="2"/>
                <w:sz w:val="21"/>
                <w:szCs w:val="21"/>
              </w:rPr>
              <w:t>调整</w:t>
            </w:r>
          </w:p>
        </w:tc>
        <w:tc>
          <w:tcPr>
            <w:tcW w:w="68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按项目</w:t>
            </w:r>
            <w:r>
              <w:rPr>
                <w:rFonts w:hint="default" w:ascii="Times New Roman" w:hAnsi="Times New Roman" w:eastAsia="仿宋_GB2312" w:cs="Times New Roman"/>
                <w:spacing w:val="2"/>
                <w:sz w:val="21"/>
                <w:szCs w:val="21"/>
              </w:rPr>
              <w:t>实际调整</w:t>
            </w:r>
          </w:p>
        </w:tc>
        <w:tc>
          <w:tcPr>
            <w:tcW w:w="6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按侵蚀</w:t>
            </w:r>
            <w:r>
              <w:rPr>
                <w:rFonts w:hint="default" w:ascii="Times New Roman" w:hAnsi="Times New Roman" w:eastAsia="仿宋_GB2312" w:cs="Times New Roman"/>
                <w:spacing w:val="3"/>
                <w:sz w:val="21"/>
                <w:szCs w:val="21"/>
              </w:rPr>
              <w:t>强度</w:t>
            </w:r>
            <w:r>
              <w:rPr>
                <w:rFonts w:hint="default" w:ascii="Times New Roman" w:hAnsi="Times New Roman" w:eastAsia="仿宋_GB2312" w:cs="Times New Roman"/>
                <w:spacing w:val="2"/>
                <w:sz w:val="21"/>
                <w:szCs w:val="21"/>
              </w:rPr>
              <w:t>调</w:t>
            </w:r>
            <w:r>
              <w:rPr>
                <w:rFonts w:hint="default" w:ascii="Times New Roman" w:hAnsi="Times New Roman" w:eastAsia="仿宋_GB2312" w:cs="Times New Roman"/>
                <w:sz w:val="21"/>
                <w:szCs w:val="21"/>
              </w:rPr>
              <w:t>整</w:t>
            </w:r>
          </w:p>
        </w:tc>
        <w:tc>
          <w:tcPr>
            <w:tcW w:w="63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7"/>
                <w:sz w:val="21"/>
                <w:szCs w:val="21"/>
                <w:lang w:val="en-US" w:eastAsia="zh-CN"/>
              </w:rPr>
              <w:t>目标值</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27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position w:val="1"/>
                <w:sz w:val="21"/>
                <w:szCs w:val="21"/>
              </w:rPr>
              <w:t>水土流失治理度</w:t>
            </w:r>
            <w:r>
              <w:rPr>
                <w:rFonts w:hint="default" w:ascii="Times New Roman" w:hAnsi="Times New Roman" w:eastAsia="仿宋_GB2312" w:cs="Times New Roman"/>
                <w:spacing w:val="1"/>
                <w:position w:val="1"/>
                <w:sz w:val="21"/>
                <w:szCs w:val="21"/>
                <w:lang w:eastAsia="zh-CN"/>
              </w:rPr>
              <w:t>（</w:t>
            </w:r>
            <w:r>
              <w:rPr>
                <w:rFonts w:hint="default" w:ascii="Times New Roman" w:hAnsi="Times New Roman" w:eastAsia="仿宋_GB2312" w:cs="Times New Roman"/>
                <w:position w:val="1"/>
                <w:sz w:val="21"/>
                <w:szCs w:val="21"/>
              </w:rPr>
              <w:t>%</w:t>
            </w:r>
            <w:r>
              <w:rPr>
                <w:rFonts w:hint="default" w:ascii="Times New Roman" w:hAnsi="Times New Roman" w:eastAsia="仿宋_GB2312" w:cs="Times New Roman"/>
                <w:spacing w:val="1"/>
                <w:position w:val="1"/>
                <w:sz w:val="21"/>
                <w:szCs w:val="21"/>
                <w:lang w:eastAsia="zh-CN"/>
              </w:rPr>
              <w:t>）</w:t>
            </w:r>
          </w:p>
        </w:tc>
        <w:tc>
          <w:tcPr>
            <w:tcW w:w="50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9</w:t>
            </w:r>
            <w:r>
              <w:rPr>
                <w:rFonts w:hint="default" w:ascii="Times New Roman" w:hAnsi="Times New Roman" w:eastAsia="仿宋_GB2312" w:cs="Times New Roman"/>
                <w:sz w:val="21"/>
                <w:szCs w:val="21"/>
              </w:rPr>
              <w:t>7</w:t>
            </w:r>
          </w:p>
        </w:tc>
        <w:tc>
          <w:tcPr>
            <w:tcW w:w="55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6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8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3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9</w:t>
            </w:r>
            <w:r>
              <w:rPr>
                <w:rFonts w:hint="default" w:ascii="Times New Roman" w:hAnsi="Times New Roman" w:eastAsia="仿宋_GB2312" w:cs="Times New Roman"/>
                <w:sz w:val="21"/>
                <w:szCs w:val="21"/>
              </w:rPr>
              <w:t>7</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27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0"/>
                <w:sz w:val="21"/>
                <w:szCs w:val="21"/>
              </w:rPr>
              <w:t>土</w:t>
            </w:r>
            <w:r>
              <w:rPr>
                <w:rFonts w:hint="default" w:ascii="Times New Roman" w:hAnsi="Times New Roman" w:eastAsia="仿宋_GB2312" w:cs="Times New Roman"/>
                <w:spacing w:val="7"/>
                <w:sz w:val="21"/>
                <w:szCs w:val="21"/>
              </w:rPr>
              <w:t>壤流失控制比</w:t>
            </w:r>
          </w:p>
        </w:tc>
        <w:tc>
          <w:tcPr>
            <w:tcW w:w="50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0.9</w:t>
            </w:r>
          </w:p>
        </w:tc>
        <w:tc>
          <w:tcPr>
            <w:tcW w:w="55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6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8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position w:val="2"/>
                <w:sz w:val="21"/>
                <w:szCs w:val="21"/>
              </w:rPr>
              <w:t>+</w:t>
            </w:r>
            <w:r>
              <w:rPr>
                <w:rFonts w:hint="default" w:ascii="Times New Roman" w:hAnsi="Times New Roman" w:eastAsia="仿宋_GB2312" w:cs="Times New Roman"/>
                <w:spacing w:val="-3"/>
                <w:position w:val="2"/>
                <w:sz w:val="21"/>
                <w:szCs w:val="21"/>
              </w:rPr>
              <w:t>0.1</w:t>
            </w:r>
          </w:p>
        </w:tc>
        <w:tc>
          <w:tcPr>
            <w:tcW w:w="63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1.0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27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eastAsia" w:ascii="Times New Roman" w:hAnsi="Times New Roman" w:eastAsia="仿宋_GB2312" w:cs="Times New Roman"/>
                <w:spacing w:val="1"/>
                <w:position w:val="1"/>
                <w:sz w:val="21"/>
                <w:szCs w:val="21"/>
                <w:lang w:val="en-US" w:eastAsia="zh-CN"/>
              </w:rPr>
            </w:pPr>
            <w:r>
              <w:rPr>
                <w:rFonts w:hint="eastAsia" w:ascii="Times New Roman" w:hAnsi="Times New Roman" w:eastAsia="仿宋_GB2312" w:cs="Times New Roman"/>
                <w:spacing w:val="1"/>
                <w:position w:val="1"/>
                <w:sz w:val="21"/>
                <w:szCs w:val="21"/>
                <w:lang w:val="en-US" w:eastAsia="zh-CN"/>
              </w:rPr>
              <w:t>渣土防护率</w:t>
            </w:r>
          </w:p>
        </w:tc>
        <w:tc>
          <w:tcPr>
            <w:tcW w:w="50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1"/>
                <w:sz w:val="21"/>
                <w:szCs w:val="21"/>
                <w:lang w:val="en-US" w:eastAsia="zh-CN"/>
              </w:rPr>
            </w:pPr>
            <w:r>
              <w:rPr>
                <w:rFonts w:hint="eastAsia" w:ascii="Times New Roman" w:hAnsi="Times New Roman" w:eastAsia="仿宋_GB2312" w:cs="Times New Roman"/>
                <w:spacing w:val="1"/>
                <w:sz w:val="21"/>
                <w:szCs w:val="21"/>
                <w:lang w:val="en-US" w:eastAsia="zh-CN"/>
              </w:rPr>
              <w:t>97</w:t>
            </w:r>
          </w:p>
        </w:tc>
        <w:tc>
          <w:tcPr>
            <w:tcW w:w="55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+1</w:t>
            </w:r>
          </w:p>
        </w:tc>
        <w:tc>
          <w:tcPr>
            <w:tcW w:w="66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8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3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1"/>
                <w:sz w:val="21"/>
                <w:szCs w:val="21"/>
                <w:lang w:val="en-US" w:eastAsia="zh-CN"/>
              </w:rPr>
            </w:pPr>
            <w:r>
              <w:rPr>
                <w:rFonts w:hint="eastAsia" w:ascii="Times New Roman" w:hAnsi="Times New Roman" w:eastAsia="仿宋_GB2312" w:cs="Times New Roman"/>
                <w:spacing w:val="1"/>
                <w:sz w:val="21"/>
                <w:szCs w:val="21"/>
                <w:lang w:val="en-US" w:eastAsia="zh-CN"/>
              </w:rPr>
              <w:t>98</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27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position w:val="1"/>
                <w:sz w:val="21"/>
                <w:szCs w:val="21"/>
              </w:rPr>
              <w:t>林草植被恢复率</w:t>
            </w:r>
            <w:r>
              <w:rPr>
                <w:rFonts w:hint="default" w:ascii="Times New Roman" w:hAnsi="Times New Roman" w:eastAsia="仿宋_GB2312" w:cs="Times New Roman"/>
                <w:spacing w:val="1"/>
                <w:position w:val="1"/>
                <w:sz w:val="21"/>
                <w:szCs w:val="21"/>
                <w:lang w:eastAsia="zh-CN"/>
              </w:rPr>
              <w:t>（</w:t>
            </w:r>
            <w:r>
              <w:rPr>
                <w:rFonts w:hint="default" w:ascii="Times New Roman" w:hAnsi="Times New Roman" w:eastAsia="仿宋_GB2312" w:cs="Times New Roman"/>
                <w:position w:val="1"/>
                <w:sz w:val="21"/>
                <w:szCs w:val="21"/>
              </w:rPr>
              <w:t>%</w:t>
            </w:r>
            <w:r>
              <w:rPr>
                <w:rFonts w:hint="default" w:ascii="Times New Roman" w:hAnsi="Times New Roman" w:eastAsia="仿宋_GB2312" w:cs="Times New Roman"/>
                <w:spacing w:val="1"/>
                <w:position w:val="1"/>
                <w:sz w:val="21"/>
                <w:szCs w:val="21"/>
                <w:lang w:eastAsia="zh-CN"/>
              </w:rPr>
              <w:t>）</w:t>
            </w:r>
          </w:p>
        </w:tc>
        <w:tc>
          <w:tcPr>
            <w:tcW w:w="50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9</w:t>
            </w:r>
            <w:r>
              <w:rPr>
                <w:rFonts w:hint="default" w:ascii="Times New Roman" w:hAnsi="Times New Roman" w:eastAsia="仿宋_GB2312" w:cs="Times New Roman"/>
                <w:sz w:val="21"/>
                <w:szCs w:val="21"/>
              </w:rPr>
              <w:t>7</w:t>
            </w:r>
          </w:p>
        </w:tc>
        <w:tc>
          <w:tcPr>
            <w:tcW w:w="55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6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8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3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9</w:t>
            </w:r>
            <w:r>
              <w:rPr>
                <w:rFonts w:hint="default" w:ascii="Times New Roman" w:hAnsi="Times New Roman" w:eastAsia="仿宋_GB2312" w:cs="Times New Roman"/>
                <w:sz w:val="21"/>
                <w:szCs w:val="21"/>
              </w:rPr>
              <w:t>7</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27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position w:val="1"/>
                <w:sz w:val="21"/>
                <w:szCs w:val="21"/>
              </w:rPr>
              <w:t>林草覆盖率</w:t>
            </w:r>
            <w:r>
              <w:rPr>
                <w:rFonts w:hint="default" w:ascii="Times New Roman" w:hAnsi="Times New Roman" w:eastAsia="仿宋_GB2312" w:cs="Times New Roman"/>
                <w:spacing w:val="1"/>
                <w:position w:val="1"/>
                <w:sz w:val="21"/>
                <w:szCs w:val="21"/>
                <w:lang w:eastAsia="zh-CN"/>
              </w:rPr>
              <w:t>（</w:t>
            </w:r>
            <w:r>
              <w:rPr>
                <w:rFonts w:hint="default" w:ascii="Times New Roman" w:hAnsi="Times New Roman" w:eastAsia="仿宋_GB2312" w:cs="Times New Roman"/>
                <w:position w:val="1"/>
                <w:sz w:val="21"/>
                <w:szCs w:val="21"/>
              </w:rPr>
              <w:t>%</w:t>
            </w:r>
            <w:r>
              <w:rPr>
                <w:rFonts w:hint="default" w:ascii="Times New Roman" w:hAnsi="Times New Roman" w:eastAsia="仿宋_GB2312" w:cs="Times New Roman"/>
                <w:spacing w:val="1"/>
                <w:position w:val="1"/>
                <w:sz w:val="21"/>
                <w:szCs w:val="21"/>
                <w:lang w:eastAsia="zh-CN"/>
              </w:rPr>
              <w:t>）</w:t>
            </w:r>
          </w:p>
        </w:tc>
        <w:tc>
          <w:tcPr>
            <w:tcW w:w="50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2</w:t>
            </w:r>
            <w:r>
              <w:rPr>
                <w:rFonts w:hint="default" w:ascii="Times New Roman" w:hAnsi="Times New Roman" w:eastAsia="仿宋_GB2312" w:cs="Times New Roman"/>
                <w:spacing w:val="2"/>
                <w:sz w:val="21"/>
                <w:szCs w:val="21"/>
              </w:rPr>
              <w:t>5</w:t>
            </w:r>
          </w:p>
        </w:tc>
        <w:tc>
          <w:tcPr>
            <w:tcW w:w="55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9"/>
                <w:position w:val="2"/>
                <w:sz w:val="21"/>
                <w:szCs w:val="21"/>
              </w:rPr>
              <w:t>+</w:t>
            </w:r>
            <w:r>
              <w:rPr>
                <w:rFonts w:hint="default" w:ascii="Times New Roman" w:hAnsi="Times New Roman" w:eastAsia="仿宋_GB2312" w:cs="Times New Roman"/>
                <w:spacing w:val="-8"/>
                <w:position w:val="2"/>
                <w:sz w:val="21"/>
                <w:szCs w:val="21"/>
              </w:rPr>
              <w:t>1</w:t>
            </w:r>
          </w:p>
        </w:tc>
        <w:tc>
          <w:tcPr>
            <w:tcW w:w="66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9"/>
                <w:position w:val="2"/>
                <w:sz w:val="21"/>
                <w:szCs w:val="21"/>
              </w:rPr>
              <w:t>+</w:t>
            </w:r>
            <w:r>
              <w:rPr>
                <w:rFonts w:hint="default" w:ascii="Times New Roman" w:hAnsi="Times New Roman" w:eastAsia="仿宋_GB2312" w:cs="Times New Roman"/>
                <w:spacing w:val="-8"/>
                <w:position w:val="2"/>
                <w:sz w:val="21"/>
                <w:szCs w:val="21"/>
              </w:rPr>
              <w:t>1</w:t>
            </w:r>
          </w:p>
        </w:tc>
        <w:tc>
          <w:tcPr>
            <w:tcW w:w="68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2"/>
                <w:sz w:val="21"/>
                <w:szCs w:val="21"/>
              </w:rPr>
              <w:t>-</w:t>
            </w:r>
            <w:r>
              <w:rPr>
                <w:rFonts w:hint="default" w:ascii="Times New Roman" w:hAnsi="Times New Roman" w:eastAsia="仿宋_GB2312" w:cs="Times New Roman"/>
                <w:spacing w:val="2"/>
                <w:sz w:val="21"/>
                <w:szCs w:val="21"/>
                <w:lang w:val="en-US" w:eastAsia="zh-CN"/>
              </w:rPr>
              <w:t>8</w:t>
            </w:r>
          </w:p>
        </w:tc>
        <w:tc>
          <w:tcPr>
            <w:tcW w:w="6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3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8"/>
                <w:sz w:val="21"/>
                <w:szCs w:val="21"/>
                <w:lang w:val="en-US" w:eastAsia="zh-CN"/>
              </w:rPr>
              <w:t>19</w:t>
            </w:r>
          </w:p>
        </w:tc>
      </w:tr>
    </w:tbl>
    <w:p>
      <w:pPr>
        <w:pStyle w:val="86"/>
        <w:pageBreakBefore w:val="0"/>
        <w:kinsoku/>
        <w:wordWrap/>
        <w:bidi w:val="0"/>
        <w:ind w:left="0" w:leftChars="0" w:firstLine="0" w:firstLineChars="0"/>
        <w:rPr>
          <w:rFonts w:hint="default" w:ascii="Times New Roman" w:hAnsi="Times New Roman" w:eastAsia="微软雅黑" w:cs="Times New Roman"/>
          <w:b w:val="0"/>
          <w:bCs w:val="0"/>
          <w:sz w:val="24"/>
          <w:highlight w:val="none"/>
        </w:rPr>
      </w:pPr>
    </w:p>
    <w:p>
      <w:pPr>
        <w:pageBreakBefore w:val="0"/>
        <w:kinsoku/>
        <w:wordWrap/>
        <w:bidi w:val="0"/>
        <w:rPr>
          <w:rFonts w:hint="default" w:ascii="Times New Roman" w:hAnsi="Times New Roman" w:cs="Times New Roman"/>
        </w:rPr>
      </w:pPr>
    </w:p>
    <w:p>
      <w:pPr>
        <w:pStyle w:val="152"/>
        <w:pageBreakBefore w:val="0"/>
        <w:kinsoku/>
        <w:wordWrap/>
        <w:bidi w:val="0"/>
        <w:rPr>
          <w:rFonts w:hint="default" w:ascii="Times New Roman" w:hAnsi="Times New Roman" w:cs="Times New Roman"/>
          <w:highlight w:val="none"/>
        </w:rPr>
      </w:pPr>
    </w:p>
    <w:p>
      <w:pPr>
        <w:pStyle w:val="152"/>
        <w:pageBreakBefore w:val="0"/>
        <w:kinsoku/>
        <w:wordWrap/>
        <w:bidi w:val="0"/>
        <w:rPr>
          <w:rFonts w:hint="default" w:ascii="Times New Roman" w:hAnsi="Times New Roman" w:cs="Times New Roman"/>
          <w:highlight w:val="none"/>
        </w:rPr>
        <w:sectPr>
          <w:pgSz w:w="11910" w:h="16838"/>
          <w:pgMar w:top="1440" w:right="1800" w:bottom="1440" w:left="1800" w:header="720" w:footer="720" w:gutter="0"/>
          <w:pgBorders>
            <w:top w:val="none" w:sz="0" w:space="0"/>
            <w:left w:val="none" w:sz="0" w:space="0"/>
            <w:bottom w:val="none" w:sz="0" w:space="0"/>
            <w:right w:val="none" w:sz="0" w:space="0"/>
          </w:pgBorders>
          <w:pgNumType w:fmt="decimal"/>
          <w:cols w:space="720" w:num="1"/>
        </w:sect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b/>
          <w:bCs/>
          <w:sz w:val="28"/>
          <w:szCs w:val="28"/>
          <w:highlight w:val="none"/>
        </w:rPr>
      </w:pPr>
      <w:r>
        <w:rPr>
          <w:rFonts w:hint="default" w:ascii="Times New Roman" w:hAnsi="Times New Roman" w:eastAsia="仿宋_GB2312" w:cs="Times New Roman"/>
          <w:b/>
          <w:bCs/>
          <w:sz w:val="28"/>
          <w:szCs w:val="28"/>
          <w:highlight w:val="none"/>
        </w:rPr>
        <w:t>附表3：单价分析表</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z w:val="24"/>
          <w:highlight w:val="none"/>
        </w:rPr>
      </w:pPr>
      <w:bookmarkStart w:id="436" w:name="_Toc32710"/>
      <w:r>
        <w:rPr>
          <w:rFonts w:hint="default" w:ascii="Times New Roman" w:hAnsi="Times New Roman" w:eastAsia="微软雅黑" w:cs="Times New Roman"/>
          <w:b w:val="0"/>
          <w:bCs w:val="0"/>
          <w:sz w:val="24"/>
          <w:highlight w:val="none"/>
        </w:rPr>
        <w:t>附表3-</w:t>
      </w:r>
      <w:r>
        <w:rPr>
          <w:rFonts w:hint="default" w:ascii="Times New Roman" w:hAnsi="Times New Roman" w:eastAsia="微软雅黑" w:cs="Times New Roman"/>
          <w:b w:val="0"/>
          <w:bCs w:val="0"/>
          <w:sz w:val="24"/>
          <w:highlight w:val="none"/>
          <w:lang w:val="en-US" w:eastAsia="zh-CN"/>
        </w:rPr>
        <w:t xml:space="preserve">1  </w:t>
      </w:r>
      <w:r>
        <w:rPr>
          <w:rFonts w:hint="default" w:ascii="Times New Roman" w:hAnsi="Times New Roman" w:eastAsia="微软雅黑" w:cs="Times New Roman"/>
          <w:b w:val="0"/>
          <w:bCs w:val="0"/>
          <w:sz w:val="24"/>
          <w:highlight w:val="none"/>
        </w:rPr>
        <w:t>全面整地单价分析表</w:t>
      </w:r>
      <w:bookmarkEnd w:id="436"/>
    </w:p>
    <w:tbl>
      <w:tblPr>
        <w:tblStyle w:val="88"/>
        <w:tblW w:w="5000" w:type="pct"/>
        <w:jc w:val="center"/>
        <w:tblLayout w:type="autofit"/>
        <w:tblCellMar>
          <w:top w:w="0" w:type="dxa"/>
          <w:left w:w="108" w:type="dxa"/>
          <w:bottom w:w="0" w:type="dxa"/>
          <w:right w:w="108" w:type="dxa"/>
        </w:tblCellMar>
      </w:tblPr>
      <w:tblGrid>
        <w:gridCol w:w="1003"/>
        <w:gridCol w:w="2118"/>
        <w:gridCol w:w="1383"/>
        <w:gridCol w:w="1294"/>
        <w:gridCol w:w="1229"/>
        <w:gridCol w:w="1499"/>
      </w:tblGrid>
      <w:tr>
        <w:tblPrEx>
          <w:tblCellMar>
            <w:top w:w="0" w:type="dxa"/>
            <w:left w:w="108" w:type="dxa"/>
            <w:bottom w:w="0" w:type="dxa"/>
            <w:right w:w="108" w:type="dxa"/>
          </w:tblCellMar>
        </w:tblPrEx>
        <w:trPr>
          <w:trHeight w:val="397" w:hRule="atLeast"/>
          <w:jc w:val="center"/>
        </w:trPr>
        <w:tc>
          <w:tcPr>
            <w:tcW w:w="5000" w:type="pct"/>
            <w:gridSpan w:val="6"/>
            <w:tcBorders>
              <w:top w:val="single" w:color="000000" w:sz="8" w:space="0"/>
              <w:left w:val="single" w:color="000000" w:sz="8" w:space="0"/>
              <w:bottom w:val="single" w:color="000000" w:sz="8" w:space="0"/>
              <w:right w:val="single" w:color="000000" w:sz="8" w:space="0"/>
            </w:tcBorders>
            <w:noWrap w:val="0"/>
            <w:vAlign w:val="center"/>
          </w:tcPr>
          <w:p>
            <w:pPr>
              <w:pageBreakBefore w:val="0"/>
              <w:kinsoku/>
              <w:wordWrap/>
              <w:bidi w:val="0"/>
              <w:jc w:val="distribute"/>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定额编号：08045</w:t>
            </w:r>
            <w:r>
              <w:rPr>
                <w:rFonts w:hint="default" w:ascii="Times New Roman" w:hAnsi="Times New Roman" w:eastAsia="仿宋_GB2312" w:cs="Times New Roman"/>
                <w:sz w:val="21"/>
                <w:szCs w:val="21"/>
                <w:highlight w:val="none"/>
                <w:lang w:val="en-US" w:eastAsia="zh-CN"/>
              </w:rPr>
              <w:t xml:space="preserve">                                                   </w:t>
            </w:r>
            <w:r>
              <w:rPr>
                <w:rFonts w:hint="default" w:ascii="Times New Roman" w:hAnsi="Times New Roman" w:eastAsia="仿宋_GB2312" w:cs="Times New Roman"/>
                <w:sz w:val="21"/>
                <w:szCs w:val="21"/>
                <w:highlight w:val="none"/>
              </w:rPr>
              <w:t>定额单位：hm²</w:t>
            </w:r>
          </w:p>
        </w:tc>
      </w:tr>
      <w:tr>
        <w:tblPrEx>
          <w:tblCellMar>
            <w:top w:w="0" w:type="dxa"/>
            <w:left w:w="108" w:type="dxa"/>
            <w:bottom w:w="0" w:type="dxa"/>
            <w:right w:w="108" w:type="dxa"/>
          </w:tblCellMar>
        </w:tblPrEx>
        <w:trPr>
          <w:trHeight w:val="397" w:hRule="atLeast"/>
          <w:jc w:val="center"/>
        </w:trPr>
        <w:tc>
          <w:tcPr>
            <w:tcW w:w="5000" w:type="pct"/>
            <w:gridSpan w:val="6"/>
            <w:tcBorders>
              <w:top w:val="single" w:color="000000" w:sz="8" w:space="0"/>
              <w:left w:val="single" w:color="000000" w:sz="8" w:space="0"/>
              <w:bottom w:val="single" w:color="000000" w:sz="8" w:space="0"/>
              <w:right w:val="single" w:color="000000" w:sz="8" w:space="0"/>
            </w:tcBorders>
            <w:noWrap w:val="0"/>
            <w:vAlign w:val="center"/>
          </w:tcPr>
          <w:p>
            <w:pPr>
              <w:pageBreakBefore w:val="0"/>
              <w:kinsoku/>
              <w:wordWrap/>
              <w:bidi w:val="0"/>
              <w:jc w:val="left"/>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工作内容：人工施肥、拖拉机牵引铧犁耕地。</w:t>
            </w:r>
          </w:p>
        </w:tc>
      </w:tr>
      <w:tr>
        <w:tblPrEx>
          <w:tblCellMar>
            <w:top w:w="0" w:type="dxa"/>
            <w:left w:w="108" w:type="dxa"/>
            <w:bottom w:w="0" w:type="dxa"/>
            <w:right w:w="108" w:type="dxa"/>
          </w:tblCellMar>
        </w:tblPrEx>
        <w:trPr>
          <w:trHeight w:val="397" w:hRule="atLeast"/>
          <w:jc w:val="center"/>
        </w:trPr>
        <w:tc>
          <w:tcPr>
            <w:tcW w:w="588" w:type="pct"/>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编号</w:t>
            </w:r>
          </w:p>
        </w:tc>
        <w:tc>
          <w:tcPr>
            <w:tcW w:w="1242"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名称及规格</w:t>
            </w:r>
          </w:p>
        </w:tc>
        <w:tc>
          <w:tcPr>
            <w:tcW w:w="811"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单位</w:t>
            </w:r>
          </w:p>
        </w:tc>
        <w:tc>
          <w:tcPr>
            <w:tcW w:w="759"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数量</w:t>
            </w:r>
          </w:p>
        </w:tc>
        <w:tc>
          <w:tcPr>
            <w:tcW w:w="721"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单价(元)</w:t>
            </w:r>
          </w:p>
        </w:tc>
        <w:tc>
          <w:tcPr>
            <w:tcW w:w="876"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小计(元)</w:t>
            </w:r>
          </w:p>
        </w:tc>
      </w:tr>
      <w:tr>
        <w:tblPrEx>
          <w:tblCellMar>
            <w:top w:w="0" w:type="dxa"/>
            <w:left w:w="108" w:type="dxa"/>
            <w:bottom w:w="0" w:type="dxa"/>
            <w:right w:w="108" w:type="dxa"/>
          </w:tblCellMar>
        </w:tblPrEx>
        <w:trPr>
          <w:trHeight w:val="397" w:hRule="atLeast"/>
          <w:jc w:val="center"/>
        </w:trPr>
        <w:tc>
          <w:tcPr>
            <w:tcW w:w="588" w:type="pct"/>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一</w:t>
            </w:r>
          </w:p>
        </w:tc>
        <w:tc>
          <w:tcPr>
            <w:tcW w:w="1242"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直接工程费</w:t>
            </w:r>
          </w:p>
        </w:tc>
        <w:tc>
          <w:tcPr>
            <w:tcW w:w="811"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759"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721"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876"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990.73 </w:t>
            </w:r>
          </w:p>
        </w:tc>
      </w:tr>
      <w:tr>
        <w:tblPrEx>
          <w:tblCellMar>
            <w:top w:w="0" w:type="dxa"/>
            <w:left w:w="108" w:type="dxa"/>
            <w:bottom w:w="0" w:type="dxa"/>
            <w:right w:w="108" w:type="dxa"/>
          </w:tblCellMar>
        </w:tblPrEx>
        <w:trPr>
          <w:trHeight w:val="397" w:hRule="atLeast"/>
          <w:jc w:val="center"/>
        </w:trPr>
        <w:tc>
          <w:tcPr>
            <w:tcW w:w="588" w:type="pct"/>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（一）</w:t>
            </w:r>
          </w:p>
        </w:tc>
        <w:tc>
          <w:tcPr>
            <w:tcW w:w="1242"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直接费</w:t>
            </w:r>
          </w:p>
        </w:tc>
        <w:tc>
          <w:tcPr>
            <w:tcW w:w="811"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759"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721"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876"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908.93 </w:t>
            </w:r>
          </w:p>
        </w:tc>
      </w:tr>
      <w:tr>
        <w:tblPrEx>
          <w:tblCellMar>
            <w:top w:w="0" w:type="dxa"/>
            <w:left w:w="108" w:type="dxa"/>
            <w:bottom w:w="0" w:type="dxa"/>
            <w:right w:w="108" w:type="dxa"/>
          </w:tblCellMar>
        </w:tblPrEx>
        <w:trPr>
          <w:trHeight w:val="397" w:hRule="atLeast"/>
          <w:jc w:val="center"/>
        </w:trPr>
        <w:tc>
          <w:tcPr>
            <w:tcW w:w="588" w:type="pct"/>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1</w:t>
            </w:r>
          </w:p>
        </w:tc>
        <w:tc>
          <w:tcPr>
            <w:tcW w:w="1242"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人工费</w:t>
            </w:r>
          </w:p>
        </w:tc>
        <w:tc>
          <w:tcPr>
            <w:tcW w:w="811"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工时</w:t>
            </w:r>
          </w:p>
        </w:tc>
        <w:tc>
          <w:tcPr>
            <w:tcW w:w="759"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19</w:t>
            </w:r>
          </w:p>
        </w:tc>
        <w:tc>
          <w:tcPr>
            <w:tcW w:w="721" w:type="pct"/>
            <w:tcBorders>
              <w:top w:val="nil"/>
              <w:left w:val="nil"/>
              <w:bottom w:val="single" w:color="000000" w:sz="8" w:space="0"/>
              <w:right w:val="single" w:color="000000" w:sz="8" w:space="0"/>
            </w:tcBorders>
            <w:noWrap w:val="0"/>
            <w:vAlign w:val="center"/>
          </w:tcPr>
          <w:p>
            <w:pPr>
              <w:pageBreakBefore w:val="0"/>
              <w:widowControl/>
              <w:kinsoku/>
              <w:wordWrap/>
              <w:bidi w:val="0"/>
              <w:jc w:val="center"/>
              <w:textAlignment w:val="center"/>
              <w:rPr>
                <w:rFonts w:hint="default" w:ascii="Times New Roman" w:hAnsi="Times New Roman" w:eastAsia="仿宋_GB2312" w:cs="Times New Roman"/>
                <w:color w:val="000000"/>
                <w:kern w:val="0"/>
                <w:sz w:val="21"/>
                <w:szCs w:val="21"/>
                <w:highlight w:val="none"/>
                <w:lang w:val="en-US" w:eastAsia="zh-CN" w:bidi="ar"/>
              </w:rPr>
            </w:pPr>
            <w:r>
              <w:rPr>
                <w:rFonts w:hint="default" w:ascii="Times New Roman" w:hAnsi="Times New Roman" w:eastAsia="仿宋_GB2312" w:cs="Times New Roman"/>
                <w:color w:val="000000"/>
                <w:kern w:val="0"/>
                <w:sz w:val="21"/>
                <w:szCs w:val="21"/>
                <w:highlight w:val="none"/>
                <w:lang w:val="en-US" w:eastAsia="zh-CN" w:bidi="ar"/>
              </w:rPr>
              <w:t>20.00</w:t>
            </w:r>
          </w:p>
        </w:tc>
        <w:tc>
          <w:tcPr>
            <w:tcW w:w="876"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380.00 </w:t>
            </w:r>
          </w:p>
        </w:tc>
      </w:tr>
      <w:tr>
        <w:tblPrEx>
          <w:tblCellMar>
            <w:top w:w="0" w:type="dxa"/>
            <w:left w:w="108" w:type="dxa"/>
            <w:bottom w:w="0" w:type="dxa"/>
            <w:right w:w="108" w:type="dxa"/>
          </w:tblCellMar>
        </w:tblPrEx>
        <w:trPr>
          <w:trHeight w:val="397" w:hRule="atLeast"/>
          <w:jc w:val="center"/>
        </w:trPr>
        <w:tc>
          <w:tcPr>
            <w:tcW w:w="588" w:type="pct"/>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2</w:t>
            </w:r>
          </w:p>
        </w:tc>
        <w:tc>
          <w:tcPr>
            <w:tcW w:w="1242"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材料费</w:t>
            </w:r>
          </w:p>
        </w:tc>
        <w:tc>
          <w:tcPr>
            <w:tcW w:w="811"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759"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721" w:type="pct"/>
            <w:tcBorders>
              <w:top w:val="nil"/>
              <w:left w:val="nil"/>
              <w:bottom w:val="single" w:color="000000" w:sz="8" w:space="0"/>
              <w:right w:val="single" w:color="000000" w:sz="8" w:space="0"/>
            </w:tcBorders>
            <w:noWrap w:val="0"/>
            <w:vAlign w:val="center"/>
          </w:tcPr>
          <w:p>
            <w:pPr>
              <w:pageBreakBefore w:val="0"/>
              <w:widowControl/>
              <w:kinsoku/>
              <w:wordWrap/>
              <w:bidi w:val="0"/>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876"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249.17 </w:t>
            </w:r>
          </w:p>
        </w:tc>
      </w:tr>
      <w:tr>
        <w:tblPrEx>
          <w:tblCellMar>
            <w:top w:w="0" w:type="dxa"/>
            <w:left w:w="108" w:type="dxa"/>
            <w:bottom w:w="0" w:type="dxa"/>
            <w:right w:w="108" w:type="dxa"/>
          </w:tblCellMar>
        </w:tblPrEx>
        <w:trPr>
          <w:trHeight w:val="397" w:hRule="atLeast"/>
          <w:jc w:val="center"/>
        </w:trPr>
        <w:tc>
          <w:tcPr>
            <w:tcW w:w="588" w:type="pct"/>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1242"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农家肥</w:t>
            </w:r>
          </w:p>
        </w:tc>
        <w:tc>
          <w:tcPr>
            <w:tcW w:w="811"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m³</w:t>
            </w:r>
          </w:p>
        </w:tc>
        <w:tc>
          <w:tcPr>
            <w:tcW w:w="759"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225</w:t>
            </w:r>
          </w:p>
        </w:tc>
        <w:tc>
          <w:tcPr>
            <w:tcW w:w="721" w:type="pct"/>
            <w:tcBorders>
              <w:top w:val="nil"/>
              <w:left w:val="nil"/>
              <w:bottom w:val="single" w:color="000000" w:sz="8" w:space="0"/>
              <w:right w:val="single" w:color="000000" w:sz="8" w:space="0"/>
            </w:tcBorders>
            <w:noWrap w:val="0"/>
            <w:vAlign w:val="center"/>
          </w:tcPr>
          <w:p>
            <w:pPr>
              <w:pageBreakBefore w:val="0"/>
              <w:widowControl/>
              <w:kinsoku/>
              <w:wordWrap/>
              <w:bidi w:val="0"/>
              <w:jc w:val="center"/>
              <w:textAlignment w:val="center"/>
              <w:rPr>
                <w:rFonts w:hint="default" w:ascii="Times New Roman" w:hAnsi="Times New Roman" w:eastAsia="仿宋_GB2312" w:cs="Times New Roman"/>
                <w:color w:val="000000"/>
                <w:kern w:val="0"/>
                <w:sz w:val="21"/>
                <w:szCs w:val="21"/>
                <w:highlight w:val="none"/>
                <w:lang w:val="en-US" w:eastAsia="zh-CN" w:bidi="ar"/>
              </w:rPr>
            </w:pPr>
            <w:r>
              <w:rPr>
                <w:rFonts w:hint="default" w:ascii="Times New Roman" w:hAnsi="Times New Roman" w:eastAsia="仿宋_GB2312" w:cs="Times New Roman"/>
                <w:color w:val="000000"/>
                <w:kern w:val="0"/>
                <w:sz w:val="21"/>
                <w:szCs w:val="21"/>
                <w:highlight w:val="none"/>
                <w:lang w:val="en-US" w:eastAsia="zh-CN" w:bidi="ar"/>
              </w:rPr>
              <w:t>0.98</w:t>
            </w:r>
          </w:p>
        </w:tc>
        <w:tc>
          <w:tcPr>
            <w:tcW w:w="876"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220.50 </w:t>
            </w:r>
          </w:p>
        </w:tc>
      </w:tr>
      <w:tr>
        <w:tblPrEx>
          <w:tblCellMar>
            <w:top w:w="0" w:type="dxa"/>
            <w:left w:w="108" w:type="dxa"/>
            <w:bottom w:w="0" w:type="dxa"/>
            <w:right w:w="108" w:type="dxa"/>
          </w:tblCellMar>
        </w:tblPrEx>
        <w:trPr>
          <w:trHeight w:val="397" w:hRule="atLeast"/>
          <w:jc w:val="center"/>
        </w:trPr>
        <w:tc>
          <w:tcPr>
            <w:tcW w:w="588" w:type="pct"/>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1242"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其他材料费</w:t>
            </w:r>
          </w:p>
        </w:tc>
        <w:tc>
          <w:tcPr>
            <w:tcW w:w="811"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59"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13</w:t>
            </w:r>
          </w:p>
        </w:tc>
        <w:tc>
          <w:tcPr>
            <w:tcW w:w="721" w:type="pct"/>
            <w:tcBorders>
              <w:top w:val="nil"/>
              <w:left w:val="nil"/>
              <w:bottom w:val="single" w:color="000000" w:sz="8" w:space="0"/>
              <w:right w:val="single" w:color="000000" w:sz="8" w:space="0"/>
            </w:tcBorders>
            <w:noWrap w:val="0"/>
            <w:vAlign w:val="center"/>
          </w:tcPr>
          <w:p>
            <w:pPr>
              <w:pageBreakBefore w:val="0"/>
              <w:widowControl/>
              <w:kinsoku/>
              <w:wordWrap/>
              <w:bidi w:val="0"/>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876"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28.67 </w:t>
            </w:r>
          </w:p>
        </w:tc>
      </w:tr>
      <w:tr>
        <w:tblPrEx>
          <w:tblCellMar>
            <w:top w:w="0" w:type="dxa"/>
            <w:left w:w="108" w:type="dxa"/>
            <w:bottom w:w="0" w:type="dxa"/>
            <w:right w:w="108" w:type="dxa"/>
          </w:tblCellMar>
        </w:tblPrEx>
        <w:trPr>
          <w:trHeight w:val="397" w:hRule="atLeast"/>
          <w:jc w:val="center"/>
        </w:trPr>
        <w:tc>
          <w:tcPr>
            <w:tcW w:w="588" w:type="pct"/>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3</w:t>
            </w:r>
          </w:p>
        </w:tc>
        <w:tc>
          <w:tcPr>
            <w:tcW w:w="1242"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机械费</w:t>
            </w:r>
          </w:p>
        </w:tc>
        <w:tc>
          <w:tcPr>
            <w:tcW w:w="811"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759"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721" w:type="pct"/>
            <w:tcBorders>
              <w:top w:val="nil"/>
              <w:left w:val="nil"/>
              <w:bottom w:val="single" w:color="000000" w:sz="8" w:space="0"/>
              <w:right w:val="single" w:color="000000" w:sz="8" w:space="0"/>
            </w:tcBorders>
            <w:noWrap w:val="0"/>
            <w:vAlign w:val="center"/>
          </w:tcPr>
          <w:p>
            <w:pPr>
              <w:pageBreakBefore w:val="0"/>
              <w:widowControl/>
              <w:kinsoku/>
              <w:wordWrap/>
              <w:bidi w:val="0"/>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876"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279.76 </w:t>
            </w:r>
          </w:p>
        </w:tc>
      </w:tr>
      <w:tr>
        <w:tblPrEx>
          <w:tblCellMar>
            <w:top w:w="0" w:type="dxa"/>
            <w:left w:w="108" w:type="dxa"/>
            <w:bottom w:w="0" w:type="dxa"/>
            <w:right w:w="108" w:type="dxa"/>
          </w:tblCellMar>
        </w:tblPrEx>
        <w:trPr>
          <w:trHeight w:val="397" w:hRule="atLeast"/>
          <w:jc w:val="center"/>
        </w:trPr>
        <w:tc>
          <w:tcPr>
            <w:tcW w:w="588" w:type="pct"/>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1242"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37kW拖拉机</w:t>
            </w:r>
          </w:p>
        </w:tc>
        <w:tc>
          <w:tcPr>
            <w:tcW w:w="811"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台时</w:t>
            </w:r>
          </w:p>
        </w:tc>
        <w:tc>
          <w:tcPr>
            <w:tcW w:w="759"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8</w:t>
            </w:r>
          </w:p>
        </w:tc>
        <w:tc>
          <w:tcPr>
            <w:tcW w:w="721" w:type="pct"/>
            <w:tcBorders>
              <w:top w:val="nil"/>
              <w:left w:val="nil"/>
              <w:bottom w:val="single" w:color="000000" w:sz="8" w:space="0"/>
              <w:right w:val="single" w:color="000000" w:sz="8" w:space="0"/>
            </w:tcBorders>
            <w:noWrap w:val="0"/>
            <w:vAlign w:val="center"/>
          </w:tcPr>
          <w:p>
            <w:pPr>
              <w:pageBreakBefore w:val="0"/>
              <w:widowControl/>
              <w:kinsoku/>
              <w:wordWrap/>
              <w:bidi w:val="0"/>
              <w:jc w:val="center"/>
              <w:textAlignment w:val="center"/>
              <w:rPr>
                <w:rFonts w:hint="default" w:ascii="Times New Roman" w:hAnsi="Times New Roman" w:eastAsia="仿宋_GB2312" w:cs="Times New Roman"/>
                <w:color w:val="000000"/>
                <w:kern w:val="0"/>
                <w:sz w:val="21"/>
                <w:szCs w:val="21"/>
                <w:highlight w:val="none"/>
                <w:lang w:val="en-US" w:eastAsia="zh-CN" w:bidi="ar"/>
              </w:rPr>
            </w:pPr>
            <w:r>
              <w:rPr>
                <w:rFonts w:hint="default" w:ascii="Times New Roman" w:hAnsi="Times New Roman" w:eastAsia="仿宋_GB2312" w:cs="Times New Roman"/>
                <w:color w:val="000000"/>
                <w:kern w:val="0"/>
                <w:sz w:val="21"/>
                <w:szCs w:val="21"/>
                <w:highlight w:val="none"/>
                <w:lang w:val="en-US" w:eastAsia="zh-CN" w:bidi="ar"/>
              </w:rPr>
              <w:t>34.97</w:t>
            </w:r>
          </w:p>
        </w:tc>
        <w:tc>
          <w:tcPr>
            <w:tcW w:w="876"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279.76 </w:t>
            </w:r>
          </w:p>
        </w:tc>
      </w:tr>
      <w:tr>
        <w:tblPrEx>
          <w:tblCellMar>
            <w:top w:w="0" w:type="dxa"/>
            <w:left w:w="108" w:type="dxa"/>
            <w:bottom w:w="0" w:type="dxa"/>
            <w:right w:w="108" w:type="dxa"/>
          </w:tblCellMar>
        </w:tblPrEx>
        <w:trPr>
          <w:trHeight w:val="397" w:hRule="atLeast"/>
          <w:jc w:val="center"/>
        </w:trPr>
        <w:tc>
          <w:tcPr>
            <w:tcW w:w="588" w:type="pct"/>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（二）</w:t>
            </w:r>
          </w:p>
        </w:tc>
        <w:tc>
          <w:tcPr>
            <w:tcW w:w="1242"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其他直接费</w:t>
            </w:r>
          </w:p>
        </w:tc>
        <w:tc>
          <w:tcPr>
            <w:tcW w:w="811"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59"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4</w:t>
            </w:r>
          </w:p>
        </w:tc>
        <w:tc>
          <w:tcPr>
            <w:tcW w:w="721" w:type="pct"/>
            <w:tcBorders>
              <w:top w:val="nil"/>
              <w:left w:val="nil"/>
              <w:bottom w:val="single" w:color="000000" w:sz="8" w:space="0"/>
              <w:right w:val="single" w:color="000000" w:sz="8" w:space="0"/>
            </w:tcBorders>
            <w:noWrap w:val="0"/>
            <w:vAlign w:val="center"/>
          </w:tcPr>
          <w:p>
            <w:pPr>
              <w:pageBreakBefore w:val="0"/>
              <w:widowControl/>
              <w:kinsoku/>
              <w:wordWrap/>
              <w:bidi w:val="0"/>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876"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36.36 </w:t>
            </w:r>
          </w:p>
        </w:tc>
      </w:tr>
      <w:tr>
        <w:tblPrEx>
          <w:tblCellMar>
            <w:top w:w="0" w:type="dxa"/>
            <w:left w:w="108" w:type="dxa"/>
            <w:bottom w:w="0" w:type="dxa"/>
            <w:right w:w="108" w:type="dxa"/>
          </w:tblCellMar>
        </w:tblPrEx>
        <w:trPr>
          <w:trHeight w:val="397" w:hRule="atLeast"/>
          <w:jc w:val="center"/>
        </w:trPr>
        <w:tc>
          <w:tcPr>
            <w:tcW w:w="588" w:type="pct"/>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(三)</w:t>
            </w:r>
          </w:p>
        </w:tc>
        <w:tc>
          <w:tcPr>
            <w:tcW w:w="1242"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现场经费</w:t>
            </w:r>
          </w:p>
        </w:tc>
        <w:tc>
          <w:tcPr>
            <w:tcW w:w="811"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59"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5</w:t>
            </w:r>
          </w:p>
        </w:tc>
        <w:tc>
          <w:tcPr>
            <w:tcW w:w="721" w:type="pct"/>
            <w:tcBorders>
              <w:top w:val="nil"/>
              <w:left w:val="nil"/>
              <w:bottom w:val="single" w:color="000000" w:sz="8" w:space="0"/>
              <w:right w:val="single" w:color="000000" w:sz="8" w:space="0"/>
            </w:tcBorders>
            <w:noWrap w:val="0"/>
            <w:vAlign w:val="center"/>
          </w:tcPr>
          <w:p>
            <w:pPr>
              <w:pageBreakBefore w:val="0"/>
              <w:widowControl/>
              <w:kinsoku/>
              <w:wordWrap/>
              <w:bidi w:val="0"/>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876"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45.45 </w:t>
            </w:r>
          </w:p>
        </w:tc>
      </w:tr>
      <w:tr>
        <w:tblPrEx>
          <w:tblCellMar>
            <w:top w:w="0" w:type="dxa"/>
            <w:left w:w="108" w:type="dxa"/>
            <w:bottom w:w="0" w:type="dxa"/>
            <w:right w:w="108" w:type="dxa"/>
          </w:tblCellMar>
        </w:tblPrEx>
        <w:trPr>
          <w:trHeight w:val="397" w:hRule="atLeast"/>
          <w:jc w:val="center"/>
        </w:trPr>
        <w:tc>
          <w:tcPr>
            <w:tcW w:w="588" w:type="pct"/>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二</w:t>
            </w:r>
          </w:p>
        </w:tc>
        <w:tc>
          <w:tcPr>
            <w:tcW w:w="1242"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间接费</w:t>
            </w:r>
          </w:p>
        </w:tc>
        <w:tc>
          <w:tcPr>
            <w:tcW w:w="811"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59"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rPr>
              <w:t>4</w:t>
            </w:r>
            <w:r>
              <w:rPr>
                <w:rFonts w:hint="default" w:ascii="Times New Roman" w:hAnsi="Times New Roman" w:eastAsia="仿宋_GB2312" w:cs="Times New Roman"/>
                <w:sz w:val="21"/>
                <w:szCs w:val="21"/>
                <w:highlight w:val="none"/>
                <w:lang w:eastAsia="zh-CN"/>
              </w:rPr>
              <w:t>.</w:t>
            </w:r>
            <w:r>
              <w:rPr>
                <w:rFonts w:hint="default" w:ascii="Times New Roman" w:hAnsi="Times New Roman" w:eastAsia="仿宋_GB2312" w:cs="Times New Roman"/>
                <w:sz w:val="21"/>
                <w:szCs w:val="21"/>
                <w:highlight w:val="none"/>
                <w:lang w:val="en-US" w:eastAsia="zh-CN"/>
              </w:rPr>
              <w:t>4</w:t>
            </w:r>
          </w:p>
        </w:tc>
        <w:tc>
          <w:tcPr>
            <w:tcW w:w="721" w:type="pct"/>
            <w:tcBorders>
              <w:top w:val="nil"/>
              <w:left w:val="nil"/>
              <w:bottom w:val="single" w:color="000000" w:sz="8" w:space="0"/>
              <w:right w:val="single" w:color="000000" w:sz="8" w:space="0"/>
            </w:tcBorders>
            <w:noWrap w:val="0"/>
            <w:vAlign w:val="center"/>
          </w:tcPr>
          <w:p>
            <w:pPr>
              <w:pageBreakBefore w:val="0"/>
              <w:widowControl/>
              <w:kinsoku/>
              <w:wordWrap/>
              <w:bidi w:val="0"/>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876"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43.59 </w:t>
            </w:r>
          </w:p>
        </w:tc>
      </w:tr>
      <w:tr>
        <w:tblPrEx>
          <w:tblCellMar>
            <w:top w:w="0" w:type="dxa"/>
            <w:left w:w="108" w:type="dxa"/>
            <w:bottom w:w="0" w:type="dxa"/>
            <w:right w:w="108" w:type="dxa"/>
          </w:tblCellMar>
        </w:tblPrEx>
        <w:trPr>
          <w:trHeight w:val="397" w:hRule="atLeast"/>
          <w:jc w:val="center"/>
        </w:trPr>
        <w:tc>
          <w:tcPr>
            <w:tcW w:w="588" w:type="pct"/>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三</w:t>
            </w:r>
          </w:p>
        </w:tc>
        <w:tc>
          <w:tcPr>
            <w:tcW w:w="1242"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企业利润</w:t>
            </w:r>
          </w:p>
        </w:tc>
        <w:tc>
          <w:tcPr>
            <w:tcW w:w="811"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59"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7</w:t>
            </w:r>
          </w:p>
        </w:tc>
        <w:tc>
          <w:tcPr>
            <w:tcW w:w="721" w:type="pct"/>
            <w:tcBorders>
              <w:top w:val="nil"/>
              <w:left w:val="nil"/>
              <w:bottom w:val="single" w:color="000000" w:sz="8" w:space="0"/>
              <w:right w:val="single" w:color="000000" w:sz="8" w:space="0"/>
            </w:tcBorders>
            <w:noWrap w:val="0"/>
            <w:vAlign w:val="center"/>
          </w:tcPr>
          <w:p>
            <w:pPr>
              <w:pageBreakBefore w:val="0"/>
              <w:widowControl/>
              <w:kinsoku/>
              <w:wordWrap/>
              <w:bidi w:val="0"/>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876"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72.40 </w:t>
            </w:r>
          </w:p>
        </w:tc>
      </w:tr>
      <w:tr>
        <w:tblPrEx>
          <w:tblCellMar>
            <w:top w:w="0" w:type="dxa"/>
            <w:left w:w="108" w:type="dxa"/>
            <w:bottom w:w="0" w:type="dxa"/>
            <w:right w:w="108" w:type="dxa"/>
          </w:tblCellMar>
        </w:tblPrEx>
        <w:trPr>
          <w:trHeight w:val="397" w:hRule="atLeast"/>
          <w:jc w:val="center"/>
        </w:trPr>
        <w:tc>
          <w:tcPr>
            <w:tcW w:w="588" w:type="pct"/>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四</w:t>
            </w:r>
          </w:p>
        </w:tc>
        <w:tc>
          <w:tcPr>
            <w:tcW w:w="1242"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材料价差</w:t>
            </w:r>
          </w:p>
        </w:tc>
        <w:tc>
          <w:tcPr>
            <w:tcW w:w="811"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759"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721" w:type="pct"/>
            <w:tcBorders>
              <w:top w:val="nil"/>
              <w:left w:val="nil"/>
              <w:bottom w:val="single" w:color="000000" w:sz="8" w:space="0"/>
              <w:right w:val="single" w:color="000000" w:sz="8" w:space="0"/>
            </w:tcBorders>
            <w:noWrap w:val="0"/>
            <w:vAlign w:val="center"/>
          </w:tcPr>
          <w:p>
            <w:pPr>
              <w:pageBreakBefore w:val="0"/>
              <w:widowControl/>
              <w:kinsoku/>
              <w:wordWrap/>
              <w:bidi w:val="0"/>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876"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168.80 </w:t>
            </w:r>
          </w:p>
        </w:tc>
      </w:tr>
      <w:tr>
        <w:tblPrEx>
          <w:tblCellMar>
            <w:top w:w="0" w:type="dxa"/>
            <w:left w:w="108" w:type="dxa"/>
            <w:bottom w:w="0" w:type="dxa"/>
            <w:right w:w="108" w:type="dxa"/>
          </w:tblCellMar>
        </w:tblPrEx>
        <w:trPr>
          <w:trHeight w:val="397" w:hRule="atLeast"/>
          <w:jc w:val="center"/>
        </w:trPr>
        <w:tc>
          <w:tcPr>
            <w:tcW w:w="588" w:type="pct"/>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1242"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柴油</w:t>
            </w:r>
          </w:p>
        </w:tc>
        <w:tc>
          <w:tcPr>
            <w:tcW w:w="811"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kg</w:t>
            </w:r>
          </w:p>
        </w:tc>
        <w:tc>
          <w:tcPr>
            <w:tcW w:w="759"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40</w:t>
            </w:r>
          </w:p>
        </w:tc>
        <w:tc>
          <w:tcPr>
            <w:tcW w:w="721" w:type="pct"/>
            <w:tcBorders>
              <w:top w:val="nil"/>
              <w:left w:val="nil"/>
              <w:bottom w:val="single" w:color="000000" w:sz="8" w:space="0"/>
              <w:right w:val="single" w:color="000000" w:sz="8" w:space="0"/>
            </w:tcBorders>
            <w:noWrap w:val="0"/>
            <w:vAlign w:val="center"/>
          </w:tcPr>
          <w:p>
            <w:pPr>
              <w:pageBreakBefore w:val="0"/>
              <w:widowControl/>
              <w:kinsoku/>
              <w:wordWrap/>
              <w:bidi w:val="0"/>
              <w:jc w:val="center"/>
              <w:textAlignment w:val="center"/>
              <w:rPr>
                <w:rFonts w:hint="default" w:ascii="Times New Roman" w:hAnsi="Times New Roman" w:eastAsia="仿宋_GB2312" w:cs="Times New Roman"/>
                <w:color w:val="000000"/>
                <w:kern w:val="0"/>
                <w:sz w:val="21"/>
                <w:szCs w:val="21"/>
                <w:highlight w:val="none"/>
                <w:lang w:val="en-US" w:eastAsia="zh-CN" w:bidi="ar"/>
              </w:rPr>
            </w:pPr>
            <w:r>
              <w:rPr>
                <w:rFonts w:hint="default" w:ascii="Times New Roman" w:hAnsi="Times New Roman" w:eastAsia="仿宋_GB2312" w:cs="Times New Roman"/>
                <w:color w:val="000000"/>
                <w:kern w:val="0"/>
                <w:sz w:val="21"/>
                <w:szCs w:val="21"/>
                <w:highlight w:val="none"/>
                <w:lang w:val="en-US" w:eastAsia="zh-CN" w:bidi="ar"/>
              </w:rPr>
              <w:t>2.30</w:t>
            </w:r>
          </w:p>
        </w:tc>
        <w:tc>
          <w:tcPr>
            <w:tcW w:w="876"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168.80 </w:t>
            </w:r>
          </w:p>
        </w:tc>
      </w:tr>
      <w:tr>
        <w:tblPrEx>
          <w:tblCellMar>
            <w:top w:w="0" w:type="dxa"/>
            <w:left w:w="108" w:type="dxa"/>
            <w:bottom w:w="0" w:type="dxa"/>
            <w:right w:w="108" w:type="dxa"/>
          </w:tblCellMar>
        </w:tblPrEx>
        <w:trPr>
          <w:trHeight w:val="397" w:hRule="atLeast"/>
          <w:jc w:val="center"/>
        </w:trPr>
        <w:tc>
          <w:tcPr>
            <w:tcW w:w="588" w:type="pct"/>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五</w:t>
            </w:r>
          </w:p>
        </w:tc>
        <w:tc>
          <w:tcPr>
            <w:tcW w:w="1242"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税金</w:t>
            </w:r>
          </w:p>
        </w:tc>
        <w:tc>
          <w:tcPr>
            <w:tcW w:w="811"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59"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9</w:t>
            </w:r>
          </w:p>
        </w:tc>
        <w:tc>
          <w:tcPr>
            <w:tcW w:w="721" w:type="pct"/>
            <w:tcBorders>
              <w:top w:val="nil"/>
              <w:left w:val="nil"/>
              <w:bottom w:val="single" w:color="000000" w:sz="8" w:space="0"/>
              <w:right w:val="single" w:color="000000" w:sz="8" w:space="0"/>
            </w:tcBorders>
            <w:noWrap w:val="0"/>
            <w:vAlign w:val="center"/>
          </w:tcPr>
          <w:p>
            <w:pPr>
              <w:pageBreakBefore w:val="0"/>
              <w:widowControl/>
              <w:kinsoku/>
              <w:wordWrap/>
              <w:bidi w:val="0"/>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876"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114.80 </w:t>
            </w:r>
          </w:p>
        </w:tc>
      </w:tr>
      <w:tr>
        <w:tblPrEx>
          <w:tblCellMar>
            <w:top w:w="0" w:type="dxa"/>
            <w:left w:w="108" w:type="dxa"/>
            <w:bottom w:w="0" w:type="dxa"/>
            <w:right w:w="108" w:type="dxa"/>
          </w:tblCellMar>
        </w:tblPrEx>
        <w:trPr>
          <w:trHeight w:val="397" w:hRule="atLeast"/>
          <w:jc w:val="center"/>
        </w:trPr>
        <w:tc>
          <w:tcPr>
            <w:tcW w:w="588" w:type="pct"/>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小计</w:t>
            </w:r>
          </w:p>
        </w:tc>
        <w:tc>
          <w:tcPr>
            <w:tcW w:w="1242"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811"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759"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721" w:type="pct"/>
            <w:tcBorders>
              <w:top w:val="nil"/>
              <w:left w:val="nil"/>
              <w:bottom w:val="single" w:color="000000" w:sz="8" w:space="0"/>
              <w:right w:val="single" w:color="000000" w:sz="8" w:space="0"/>
            </w:tcBorders>
            <w:noWrap w:val="0"/>
            <w:vAlign w:val="center"/>
          </w:tcPr>
          <w:p>
            <w:pPr>
              <w:pageBreakBefore w:val="0"/>
              <w:widowControl/>
              <w:kinsoku/>
              <w:wordWrap/>
              <w:bidi w:val="0"/>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876"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1390.32 </w:t>
            </w:r>
          </w:p>
        </w:tc>
      </w:tr>
      <w:tr>
        <w:tblPrEx>
          <w:tblCellMar>
            <w:top w:w="0" w:type="dxa"/>
            <w:left w:w="108" w:type="dxa"/>
            <w:bottom w:w="0" w:type="dxa"/>
            <w:right w:w="108" w:type="dxa"/>
          </w:tblCellMar>
        </w:tblPrEx>
        <w:trPr>
          <w:trHeight w:val="397" w:hRule="atLeast"/>
          <w:jc w:val="center"/>
        </w:trPr>
        <w:tc>
          <w:tcPr>
            <w:tcW w:w="588" w:type="pct"/>
            <w:tcBorders>
              <w:top w:val="nil"/>
              <w:left w:val="single" w:color="000000" w:sz="8" w:space="0"/>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六</w:t>
            </w:r>
          </w:p>
        </w:tc>
        <w:tc>
          <w:tcPr>
            <w:tcW w:w="1242"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投资估算扩大</w:t>
            </w:r>
          </w:p>
        </w:tc>
        <w:tc>
          <w:tcPr>
            <w:tcW w:w="811"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59"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10</w:t>
            </w:r>
          </w:p>
        </w:tc>
        <w:tc>
          <w:tcPr>
            <w:tcW w:w="721" w:type="pct"/>
            <w:tcBorders>
              <w:top w:val="nil"/>
              <w:left w:val="nil"/>
              <w:bottom w:val="single" w:color="000000" w:sz="8" w:space="0"/>
              <w:right w:val="single" w:color="000000" w:sz="8" w:space="0"/>
            </w:tcBorders>
            <w:noWrap w:val="0"/>
            <w:vAlign w:val="center"/>
          </w:tcPr>
          <w:p>
            <w:pPr>
              <w:pageBreakBefore w:val="0"/>
              <w:widowControl/>
              <w:kinsoku/>
              <w:wordWrap/>
              <w:bidi w:val="0"/>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876"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139.03 </w:t>
            </w:r>
          </w:p>
        </w:tc>
      </w:tr>
      <w:tr>
        <w:tblPrEx>
          <w:tblCellMar>
            <w:top w:w="0" w:type="dxa"/>
            <w:left w:w="108" w:type="dxa"/>
            <w:bottom w:w="0" w:type="dxa"/>
            <w:right w:w="108" w:type="dxa"/>
          </w:tblCellMar>
        </w:tblPrEx>
        <w:trPr>
          <w:trHeight w:val="397" w:hRule="atLeast"/>
          <w:jc w:val="center"/>
        </w:trPr>
        <w:tc>
          <w:tcPr>
            <w:tcW w:w="1830" w:type="pct"/>
            <w:gridSpan w:val="2"/>
            <w:tcBorders>
              <w:top w:val="single" w:color="000000" w:sz="8" w:space="0"/>
              <w:left w:val="single" w:color="000000" w:sz="8" w:space="0"/>
              <w:bottom w:val="single" w:color="000000" w:sz="8" w:space="0"/>
              <w:right w:val="single" w:color="000000" w:sz="8" w:space="0"/>
            </w:tcBorders>
            <w:shd w:val="clear" w:color="000000" w:fill="FFFFFF"/>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合计</w:t>
            </w:r>
          </w:p>
        </w:tc>
        <w:tc>
          <w:tcPr>
            <w:tcW w:w="811" w:type="pct"/>
            <w:tcBorders>
              <w:top w:val="nil"/>
              <w:left w:val="nil"/>
              <w:bottom w:val="single" w:color="000000" w:sz="8" w:space="0"/>
              <w:right w:val="single" w:color="000000" w:sz="8" w:space="0"/>
            </w:tcBorders>
            <w:shd w:val="clear" w:color="000000" w:fill="FFFFFF"/>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759" w:type="pct"/>
            <w:tcBorders>
              <w:top w:val="nil"/>
              <w:left w:val="nil"/>
              <w:bottom w:val="single" w:color="000000" w:sz="8" w:space="0"/>
              <w:right w:val="single" w:color="000000" w:sz="8" w:space="0"/>
            </w:tcBorders>
            <w:shd w:val="clear" w:color="000000" w:fill="FFFFFF"/>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721" w:type="pct"/>
            <w:tcBorders>
              <w:top w:val="nil"/>
              <w:left w:val="nil"/>
              <w:bottom w:val="single" w:color="000000" w:sz="8" w:space="0"/>
              <w:right w:val="single" w:color="000000" w:sz="8" w:space="0"/>
            </w:tcBorders>
            <w:shd w:val="clear" w:color="000000" w:fill="FFFFFF"/>
            <w:noWrap w:val="0"/>
            <w:vAlign w:val="center"/>
          </w:tcPr>
          <w:p>
            <w:pPr>
              <w:pageBreakBefore w:val="0"/>
              <w:kinsoku/>
              <w:wordWrap/>
              <w:bidi w:val="0"/>
              <w:jc w:val="center"/>
              <w:rPr>
                <w:rFonts w:hint="default" w:ascii="Times New Roman" w:hAnsi="Times New Roman" w:eastAsia="仿宋_GB2312" w:cs="Times New Roman"/>
                <w:sz w:val="21"/>
                <w:szCs w:val="21"/>
                <w:highlight w:val="none"/>
              </w:rPr>
            </w:pPr>
          </w:p>
        </w:tc>
        <w:tc>
          <w:tcPr>
            <w:tcW w:w="876" w:type="pct"/>
            <w:tcBorders>
              <w:top w:val="nil"/>
              <w:left w:val="nil"/>
              <w:bottom w:val="single" w:color="000000" w:sz="8" w:space="0"/>
              <w:right w:val="single" w:color="000000" w:sz="8" w:space="0"/>
            </w:tcBorders>
            <w:noWrap w:val="0"/>
            <w:vAlign w:val="center"/>
          </w:tcPr>
          <w:p>
            <w:pPr>
              <w:pageBreakBefore w:val="0"/>
              <w:kinsoku/>
              <w:wordWrap/>
              <w:bidi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val="en-US" w:eastAsia="zh-CN"/>
              </w:rPr>
              <w:t xml:space="preserve">1529.35 </w:t>
            </w:r>
          </w:p>
        </w:tc>
      </w:tr>
    </w:tbl>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z w:val="24"/>
          <w:highlight w:val="none"/>
        </w:rPr>
      </w:pPr>
      <w:r>
        <w:rPr>
          <w:rFonts w:hint="default" w:ascii="Times New Roman" w:hAnsi="Times New Roman" w:eastAsia="微软雅黑" w:cs="Times New Roman"/>
          <w:b w:val="0"/>
          <w:bCs w:val="0"/>
          <w:sz w:val="24"/>
          <w:highlight w:val="none"/>
        </w:rPr>
        <w:t>附表3.2  编织袋土砌筑单价分析表</w:t>
      </w:r>
    </w:p>
    <w:tbl>
      <w:tblPr>
        <w:tblStyle w:val="556"/>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247"/>
        <w:gridCol w:w="1529"/>
        <w:gridCol w:w="1382"/>
        <w:gridCol w:w="1382"/>
        <w:gridCol w:w="1382"/>
        <w:gridCol w:w="140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5000" w:type="pct"/>
            <w:gridSpan w:val="6"/>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定额编号：03053</w:t>
            </w:r>
            <w:r>
              <w:rPr>
                <w:rFonts w:hint="default" w:ascii="Times New Roman" w:hAnsi="Times New Roman" w:eastAsia="仿宋_GB2312" w:cs="Times New Roman"/>
                <w:spacing w:val="1"/>
                <w:sz w:val="21"/>
                <w:szCs w:val="21"/>
              </w:rPr>
              <w:t xml:space="preserve">       </w:t>
            </w:r>
            <w:r>
              <w:rPr>
                <w:rFonts w:hint="default" w:ascii="Times New Roman" w:hAnsi="Times New Roman" w:eastAsia="仿宋_GB2312" w:cs="Times New Roman"/>
                <w:sz w:val="21"/>
                <w:szCs w:val="21"/>
              </w:rPr>
              <w:t xml:space="preserve">                                            </w:t>
            </w:r>
            <w:r>
              <w:rPr>
                <w:rFonts w:hint="default" w:ascii="Times New Roman" w:hAnsi="Times New Roman" w:eastAsia="仿宋_GB2312" w:cs="Times New Roman"/>
                <w:spacing w:val="5"/>
                <w:sz w:val="21"/>
                <w:szCs w:val="21"/>
              </w:rPr>
              <w:t>定额单位：100m</w:t>
            </w:r>
            <w:r>
              <w:rPr>
                <w:rFonts w:hint="default" w:ascii="Times New Roman" w:hAnsi="Times New Roman" w:eastAsia="仿宋_GB2312" w:cs="Times New Roman"/>
                <w:spacing w:val="5"/>
                <w:position w:val="6"/>
                <w:sz w:val="21"/>
                <w:szCs w:val="21"/>
              </w:rPr>
              <w:t>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5000" w:type="pct"/>
            <w:gridSpan w:val="6"/>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8"/>
                <w:sz w:val="21"/>
                <w:szCs w:val="21"/>
              </w:rPr>
              <w:t>工作内容：装土、封包、堆筑。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749"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4"/>
                <w:sz w:val="21"/>
                <w:szCs w:val="21"/>
              </w:rPr>
              <w:t>编号</w:t>
            </w:r>
          </w:p>
        </w:tc>
        <w:tc>
          <w:tcPr>
            <w:tcW w:w="917"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8"/>
                <w:sz w:val="21"/>
                <w:szCs w:val="21"/>
              </w:rPr>
              <w:t>名称及规格</w:t>
            </w:r>
          </w:p>
        </w:tc>
        <w:tc>
          <w:tcPr>
            <w:tcW w:w="83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单位</w:t>
            </w:r>
          </w:p>
        </w:tc>
        <w:tc>
          <w:tcPr>
            <w:tcW w:w="83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数量</w:t>
            </w:r>
          </w:p>
        </w:tc>
        <w:tc>
          <w:tcPr>
            <w:tcW w:w="83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单价（元）</w:t>
            </w:r>
          </w:p>
        </w:tc>
        <w:tc>
          <w:tcPr>
            <w:tcW w:w="84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小计（元）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749"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position w:val="-3"/>
                <w:sz w:val="21"/>
                <w:szCs w:val="21"/>
              </w:rPr>
              <w:t>一</w:t>
            </w:r>
          </w:p>
        </w:tc>
        <w:tc>
          <w:tcPr>
            <w:tcW w:w="917"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直接工程费</w:t>
            </w:r>
          </w:p>
        </w:tc>
        <w:tc>
          <w:tcPr>
            <w:tcW w:w="83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41"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4"/>
                <w:sz w:val="21"/>
                <w:szCs w:val="21"/>
              </w:rPr>
              <w:t>40922.42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749"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w:t>
            </w:r>
            <w:r>
              <w:rPr>
                <w:rFonts w:hint="default" w:ascii="Times New Roman" w:hAnsi="Times New Roman" w:eastAsia="仿宋_GB2312" w:cs="Times New Roman"/>
                <w:spacing w:val="-49"/>
                <w:sz w:val="21"/>
                <w:szCs w:val="21"/>
              </w:rPr>
              <w:t xml:space="preserve"> </w:t>
            </w:r>
            <w:r>
              <w:rPr>
                <w:rFonts w:hint="default" w:ascii="Times New Roman" w:hAnsi="Times New Roman" w:eastAsia="仿宋_GB2312" w:cs="Times New Roman"/>
                <w:spacing w:val="-3"/>
                <w:sz w:val="21"/>
                <w:szCs w:val="21"/>
              </w:rPr>
              <w:t>一）</w:t>
            </w:r>
          </w:p>
        </w:tc>
        <w:tc>
          <w:tcPr>
            <w:tcW w:w="917"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4"/>
                <w:sz w:val="21"/>
                <w:szCs w:val="21"/>
              </w:rPr>
              <w:t>直接费</w:t>
            </w:r>
          </w:p>
        </w:tc>
        <w:tc>
          <w:tcPr>
            <w:tcW w:w="83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41"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4"/>
                <w:sz w:val="21"/>
                <w:szCs w:val="21"/>
              </w:rPr>
              <w:t>26573.00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749"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c>
          <w:tcPr>
            <w:tcW w:w="917"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人工费</w:t>
            </w:r>
          </w:p>
        </w:tc>
        <w:tc>
          <w:tcPr>
            <w:tcW w:w="83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工时</w:t>
            </w:r>
          </w:p>
        </w:tc>
        <w:tc>
          <w:tcPr>
            <w:tcW w:w="830"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1162</w:t>
            </w:r>
          </w:p>
        </w:tc>
        <w:tc>
          <w:tcPr>
            <w:tcW w:w="830"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20</w:t>
            </w:r>
          </w:p>
        </w:tc>
        <w:tc>
          <w:tcPr>
            <w:tcW w:w="841"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4"/>
                <w:sz w:val="21"/>
                <w:szCs w:val="21"/>
              </w:rPr>
              <w:t>23240.00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749"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w:t>
            </w:r>
          </w:p>
        </w:tc>
        <w:tc>
          <w:tcPr>
            <w:tcW w:w="917"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材料费</w:t>
            </w:r>
          </w:p>
        </w:tc>
        <w:tc>
          <w:tcPr>
            <w:tcW w:w="83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41"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3333.00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749"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917"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编织袋</w:t>
            </w:r>
          </w:p>
        </w:tc>
        <w:tc>
          <w:tcPr>
            <w:tcW w:w="83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个</w:t>
            </w:r>
          </w:p>
        </w:tc>
        <w:tc>
          <w:tcPr>
            <w:tcW w:w="830"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3300</w:t>
            </w:r>
          </w:p>
        </w:tc>
        <w:tc>
          <w:tcPr>
            <w:tcW w:w="830"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c>
          <w:tcPr>
            <w:tcW w:w="841"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3300.00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749"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917"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8"/>
                <w:sz w:val="21"/>
                <w:szCs w:val="21"/>
              </w:rPr>
              <w:t>其他材料费</w:t>
            </w:r>
          </w:p>
        </w:tc>
        <w:tc>
          <w:tcPr>
            <w:tcW w:w="830"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position w:val="2"/>
                <w:sz w:val="21"/>
                <w:szCs w:val="21"/>
              </w:rPr>
              <w:t>%</w:t>
            </w:r>
          </w:p>
        </w:tc>
        <w:tc>
          <w:tcPr>
            <w:tcW w:w="830"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c>
          <w:tcPr>
            <w:tcW w:w="83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41"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33.00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749"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w:t>
            </w:r>
            <w:r>
              <w:rPr>
                <w:rFonts w:hint="default" w:ascii="Times New Roman" w:hAnsi="Times New Roman" w:eastAsia="仿宋_GB2312" w:cs="Times New Roman"/>
                <w:spacing w:val="-52"/>
                <w:sz w:val="21"/>
                <w:szCs w:val="21"/>
              </w:rPr>
              <w:t xml:space="preserve"> </w:t>
            </w:r>
            <w:r>
              <w:rPr>
                <w:rFonts w:hint="default" w:ascii="Times New Roman" w:hAnsi="Times New Roman" w:eastAsia="仿宋_GB2312" w:cs="Times New Roman"/>
                <w:spacing w:val="-2"/>
                <w:sz w:val="21"/>
                <w:szCs w:val="21"/>
              </w:rPr>
              <w:t>二）</w:t>
            </w:r>
          </w:p>
        </w:tc>
        <w:tc>
          <w:tcPr>
            <w:tcW w:w="917"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8"/>
                <w:sz w:val="21"/>
                <w:szCs w:val="21"/>
              </w:rPr>
              <w:t>其他直接费</w:t>
            </w:r>
          </w:p>
        </w:tc>
        <w:tc>
          <w:tcPr>
            <w:tcW w:w="830"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position w:val="2"/>
                <w:sz w:val="21"/>
                <w:szCs w:val="21"/>
              </w:rPr>
              <w:t>%</w:t>
            </w:r>
          </w:p>
        </w:tc>
        <w:tc>
          <w:tcPr>
            <w:tcW w:w="830"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4</w:t>
            </w:r>
          </w:p>
        </w:tc>
        <w:tc>
          <w:tcPr>
            <w:tcW w:w="83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41"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1062.92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749"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position w:val="3"/>
                <w:sz w:val="21"/>
                <w:szCs w:val="21"/>
              </w:rPr>
              <w:t>(三)</w:t>
            </w:r>
          </w:p>
        </w:tc>
        <w:tc>
          <w:tcPr>
            <w:tcW w:w="917"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现场经费</w:t>
            </w:r>
          </w:p>
        </w:tc>
        <w:tc>
          <w:tcPr>
            <w:tcW w:w="830"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position w:val="2"/>
                <w:sz w:val="21"/>
                <w:szCs w:val="21"/>
              </w:rPr>
              <w:t>%</w:t>
            </w:r>
          </w:p>
        </w:tc>
        <w:tc>
          <w:tcPr>
            <w:tcW w:w="830"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5</w:t>
            </w:r>
          </w:p>
        </w:tc>
        <w:tc>
          <w:tcPr>
            <w:tcW w:w="83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41"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13286.50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749"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二</w:t>
            </w:r>
          </w:p>
        </w:tc>
        <w:tc>
          <w:tcPr>
            <w:tcW w:w="917"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间接费</w:t>
            </w:r>
          </w:p>
        </w:tc>
        <w:tc>
          <w:tcPr>
            <w:tcW w:w="830"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position w:val="2"/>
                <w:sz w:val="21"/>
                <w:szCs w:val="21"/>
              </w:rPr>
              <w:t>%</w:t>
            </w:r>
          </w:p>
        </w:tc>
        <w:tc>
          <w:tcPr>
            <w:tcW w:w="830"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4.4</w:t>
            </w:r>
          </w:p>
        </w:tc>
        <w:tc>
          <w:tcPr>
            <w:tcW w:w="83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41"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1800.59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749"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三</w:t>
            </w:r>
          </w:p>
        </w:tc>
        <w:tc>
          <w:tcPr>
            <w:tcW w:w="917"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企业利润</w:t>
            </w:r>
          </w:p>
        </w:tc>
        <w:tc>
          <w:tcPr>
            <w:tcW w:w="830"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position w:val="2"/>
                <w:sz w:val="21"/>
                <w:szCs w:val="21"/>
              </w:rPr>
              <w:t>%</w:t>
            </w:r>
          </w:p>
        </w:tc>
        <w:tc>
          <w:tcPr>
            <w:tcW w:w="830"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7</w:t>
            </w:r>
          </w:p>
        </w:tc>
        <w:tc>
          <w:tcPr>
            <w:tcW w:w="83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41"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1879.81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749"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四</w:t>
            </w:r>
          </w:p>
        </w:tc>
        <w:tc>
          <w:tcPr>
            <w:tcW w:w="917"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税金</w:t>
            </w:r>
          </w:p>
        </w:tc>
        <w:tc>
          <w:tcPr>
            <w:tcW w:w="83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6"/>
                <w:sz w:val="21"/>
                <w:szCs w:val="21"/>
              </w:rPr>
              <w:t>%</w:t>
            </w:r>
          </w:p>
        </w:tc>
        <w:tc>
          <w:tcPr>
            <w:tcW w:w="830"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9</w:t>
            </w:r>
          </w:p>
        </w:tc>
        <w:tc>
          <w:tcPr>
            <w:tcW w:w="83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41"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4"/>
                <w:sz w:val="21"/>
                <w:szCs w:val="21"/>
              </w:rPr>
              <w:t>4014.25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749"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小计</w:t>
            </w:r>
          </w:p>
        </w:tc>
        <w:tc>
          <w:tcPr>
            <w:tcW w:w="917"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41"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4"/>
                <w:sz w:val="21"/>
                <w:szCs w:val="21"/>
              </w:rPr>
              <w:t>48617.07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749"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五</w:t>
            </w:r>
          </w:p>
        </w:tc>
        <w:tc>
          <w:tcPr>
            <w:tcW w:w="917"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7"/>
                <w:sz w:val="21"/>
                <w:szCs w:val="21"/>
              </w:rPr>
              <w:t>投资估算扩大</w:t>
            </w:r>
          </w:p>
        </w:tc>
        <w:tc>
          <w:tcPr>
            <w:tcW w:w="830"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position w:val="2"/>
                <w:sz w:val="21"/>
                <w:szCs w:val="21"/>
              </w:rPr>
              <w:t>%</w:t>
            </w:r>
          </w:p>
        </w:tc>
        <w:tc>
          <w:tcPr>
            <w:tcW w:w="830"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8"/>
                <w:sz w:val="21"/>
                <w:szCs w:val="21"/>
              </w:rPr>
              <w:t>10</w:t>
            </w:r>
          </w:p>
        </w:tc>
        <w:tc>
          <w:tcPr>
            <w:tcW w:w="83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41"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4"/>
                <w:sz w:val="21"/>
                <w:szCs w:val="21"/>
              </w:rPr>
              <w:t>4861.71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667"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合</w:t>
            </w:r>
            <w:r>
              <w:rPr>
                <w:rFonts w:hint="default" w:ascii="Times New Roman" w:hAnsi="Times New Roman" w:eastAsia="仿宋_GB2312" w:cs="Times New Roman"/>
                <w:spacing w:val="18"/>
                <w:sz w:val="21"/>
                <w:szCs w:val="21"/>
              </w:rPr>
              <w:t xml:space="preserve"> </w:t>
            </w:r>
            <w:r>
              <w:rPr>
                <w:rFonts w:hint="default" w:ascii="Times New Roman" w:hAnsi="Times New Roman" w:eastAsia="仿宋_GB2312" w:cs="Times New Roman"/>
                <w:spacing w:val="-1"/>
                <w:sz w:val="21"/>
                <w:szCs w:val="21"/>
              </w:rPr>
              <w:t>计</w:t>
            </w:r>
          </w:p>
        </w:tc>
        <w:tc>
          <w:tcPr>
            <w:tcW w:w="83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41"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53478.78</w:t>
            </w:r>
          </w:p>
        </w:tc>
      </w:tr>
    </w:tbl>
    <w:p>
      <w:pPr>
        <w:keepNext w:val="0"/>
        <w:keepLines w:val="0"/>
        <w:pageBreakBefore w:val="0"/>
        <w:widowControl w:val="0"/>
        <w:kinsoku/>
        <w:wordWrap/>
        <w:overflowPunct/>
        <w:topLinePunct w:val="0"/>
        <w:autoSpaceDE/>
        <w:autoSpaceDN/>
        <w:bidi w:val="0"/>
        <w:adjustRightInd/>
        <w:snapToGrid/>
        <w:spacing w:line="360" w:lineRule="auto"/>
        <w:jc w:val="center"/>
        <w:textAlignment w:val="auto"/>
      </w:pPr>
      <w:r>
        <w:rPr>
          <w:rFonts w:hint="default" w:ascii="Times New Roman" w:hAnsi="Times New Roman" w:eastAsia="微软雅黑" w:cs="Times New Roman"/>
          <w:b w:val="0"/>
          <w:bCs w:val="0"/>
          <w:sz w:val="24"/>
          <w:highlight w:val="none"/>
        </w:rPr>
        <w:t>附表3.3  编织袋土拆除单价分析表</w:t>
      </w:r>
    </w:p>
    <w:tbl>
      <w:tblPr>
        <w:tblStyle w:val="556"/>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195"/>
        <w:gridCol w:w="1580"/>
        <w:gridCol w:w="1384"/>
        <w:gridCol w:w="1384"/>
        <w:gridCol w:w="1384"/>
        <w:gridCol w:w="139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5000" w:type="pct"/>
            <w:gridSpan w:val="6"/>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定额编号：03054</w:t>
            </w:r>
            <w:r>
              <w:rPr>
                <w:rFonts w:hint="default" w:ascii="Times New Roman" w:hAnsi="Times New Roman" w:eastAsia="仿宋_GB2312" w:cs="Times New Roman"/>
                <w:spacing w:val="1"/>
                <w:sz w:val="21"/>
                <w:szCs w:val="21"/>
              </w:rPr>
              <w:t xml:space="preserve">      </w:t>
            </w:r>
            <w:r>
              <w:rPr>
                <w:rFonts w:hint="default" w:ascii="Times New Roman" w:hAnsi="Times New Roman" w:eastAsia="仿宋_GB2312" w:cs="Times New Roman"/>
                <w:sz w:val="21"/>
                <w:szCs w:val="21"/>
              </w:rPr>
              <w:t xml:space="preserve">                                             </w:t>
            </w:r>
            <w:r>
              <w:rPr>
                <w:rFonts w:hint="default" w:ascii="Times New Roman" w:hAnsi="Times New Roman" w:eastAsia="仿宋_GB2312" w:cs="Times New Roman"/>
                <w:spacing w:val="5"/>
                <w:sz w:val="21"/>
                <w:szCs w:val="21"/>
              </w:rPr>
              <w:t>定额单位：100m</w:t>
            </w:r>
            <w:r>
              <w:rPr>
                <w:rFonts w:hint="default" w:ascii="Times New Roman" w:hAnsi="Times New Roman" w:eastAsia="仿宋_GB2312" w:cs="Times New Roman"/>
                <w:spacing w:val="5"/>
                <w:position w:val="6"/>
                <w:sz w:val="21"/>
                <w:szCs w:val="21"/>
              </w:rPr>
              <w:t>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5000" w:type="pct"/>
            <w:gridSpan w:val="6"/>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7"/>
                <w:sz w:val="21"/>
                <w:szCs w:val="21"/>
              </w:rPr>
              <w:t>工作内容：拆除、清理。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718"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4"/>
                <w:sz w:val="21"/>
                <w:szCs w:val="21"/>
              </w:rPr>
              <w:t>编号</w:t>
            </w:r>
          </w:p>
        </w:tc>
        <w:tc>
          <w:tcPr>
            <w:tcW w:w="949"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8"/>
                <w:sz w:val="21"/>
                <w:szCs w:val="21"/>
              </w:rPr>
              <w:t>名称及规格</w:t>
            </w:r>
          </w:p>
        </w:tc>
        <w:tc>
          <w:tcPr>
            <w:tcW w:w="8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单位</w:t>
            </w:r>
          </w:p>
        </w:tc>
        <w:tc>
          <w:tcPr>
            <w:tcW w:w="8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数量</w:t>
            </w:r>
          </w:p>
        </w:tc>
        <w:tc>
          <w:tcPr>
            <w:tcW w:w="8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单价（元）</w:t>
            </w:r>
          </w:p>
        </w:tc>
        <w:tc>
          <w:tcPr>
            <w:tcW w:w="838"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小计（元）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718"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position w:val="-3"/>
                <w:sz w:val="21"/>
                <w:szCs w:val="21"/>
              </w:rPr>
              <w:t>一</w:t>
            </w:r>
          </w:p>
        </w:tc>
        <w:tc>
          <w:tcPr>
            <w:tcW w:w="949"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直接工程费</w:t>
            </w:r>
          </w:p>
        </w:tc>
        <w:tc>
          <w:tcPr>
            <w:tcW w:w="8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8"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3772.27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718"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w:t>
            </w:r>
            <w:r>
              <w:rPr>
                <w:rFonts w:hint="default" w:ascii="Times New Roman" w:hAnsi="Times New Roman" w:eastAsia="仿宋_GB2312" w:cs="Times New Roman"/>
                <w:spacing w:val="-49"/>
                <w:sz w:val="21"/>
                <w:szCs w:val="21"/>
              </w:rPr>
              <w:t xml:space="preserve"> </w:t>
            </w:r>
            <w:r>
              <w:rPr>
                <w:rFonts w:hint="default" w:ascii="Times New Roman" w:hAnsi="Times New Roman" w:eastAsia="仿宋_GB2312" w:cs="Times New Roman"/>
                <w:spacing w:val="-3"/>
                <w:sz w:val="21"/>
                <w:szCs w:val="21"/>
              </w:rPr>
              <w:t>一）</w:t>
            </w:r>
          </w:p>
        </w:tc>
        <w:tc>
          <w:tcPr>
            <w:tcW w:w="949"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4"/>
                <w:sz w:val="21"/>
                <w:szCs w:val="21"/>
              </w:rPr>
              <w:t>直接费</w:t>
            </w:r>
          </w:p>
        </w:tc>
        <w:tc>
          <w:tcPr>
            <w:tcW w:w="8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8"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3460.80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718"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c>
          <w:tcPr>
            <w:tcW w:w="949"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人工费</w:t>
            </w:r>
          </w:p>
        </w:tc>
        <w:tc>
          <w:tcPr>
            <w:tcW w:w="8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工时</w:t>
            </w:r>
          </w:p>
        </w:tc>
        <w:tc>
          <w:tcPr>
            <w:tcW w:w="831"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168</w:t>
            </w:r>
          </w:p>
        </w:tc>
        <w:tc>
          <w:tcPr>
            <w:tcW w:w="831"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20</w:t>
            </w:r>
          </w:p>
        </w:tc>
        <w:tc>
          <w:tcPr>
            <w:tcW w:w="838"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3360.00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718"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w:t>
            </w:r>
          </w:p>
        </w:tc>
        <w:tc>
          <w:tcPr>
            <w:tcW w:w="949"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材料费</w:t>
            </w:r>
          </w:p>
        </w:tc>
        <w:tc>
          <w:tcPr>
            <w:tcW w:w="8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8"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100.80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718"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949"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8"/>
                <w:sz w:val="21"/>
                <w:szCs w:val="21"/>
              </w:rPr>
              <w:t>零星材料费</w:t>
            </w:r>
          </w:p>
        </w:tc>
        <w:tc>
          <w:tcPr>
            <w:tcW w:w="831"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position w:val="2"/>
                <w:sz w:val="21"/>
                <w:szCs w:val="21"/>
              </w:rPr>
              <w:t>%</w:t>
            </w:r>
          </w:p>
        </w:tc>
        <w:tc>
          <w:tcPr>
            <w:tcW w:w="831"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3</w:t>
            </w:r>
          </w:p>
        </w:tc>
        <w:tc>
          <w:tcPr>
            <w:tcW w:w="8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8"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100.80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718"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w:t>
            </w:r>
            <w:r>
              <w:rPr>
                <w:rFonts w:hint="default" w:ascii="Times New Roman" w:hAnsi="Times New Roman" w:eastAsia="仿宋_GB2312" w:cs="Times New Roman"/>
                <w:spacing w:val="-52"/>
                <w:sz w:val="21"/>
                <w:szCs w:val="21"/>
              </w:rPr>
              <w:t xml:space="preserve"> </w:t>
            </w:r>
            <w:r>
              <w:rPr>
                <w:rFonts w:hint="default" w:ascii="Times New Roman" w:hAnsi="Times New Roman" w:eastAsia="仿宋_GB2312" w:cs="Times New Roman"/>
                <w:spacing w:val="-2"/>
                <w:sz w:val="21"/>
                <w:szCs w:val="21"/>
              </w:rPr>
              <w:t>二）</w:t>
            </w:r>
          </w:p>
        </w:tc>
        <w:tc>
          <w:tcPr>
            <w:tcW w:w="949"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8"/>
                <w:sz w:val="21"/>
                <w:szCs w:val="21"/>
              </w:rPr>
              <w:t>其他直接费</w:t>
            </w:r>
          </w:p>
        </w:tc>
        <w:tc>
          <w:tcPr>
            <w:tcW w:w="831"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position w:val="2"/>
                <w:sz w:val="21"/>
                <w:szCs w:val="21"/>
              </w:rPr>
              <w:t>%</w:t>
            </w:r>
          </w:p>
        </w:tc>
        <w:tc>
          <w:tcPr>
            <w:tcW w:w="831"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4</w:t>
            </w:r>
          </w:p>
        </w:tc>
        <w:tc>
          <w:tcPr>
            <w:tcW w:w="8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8"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138.43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718"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position w:val="3"/>
                <w:sz w:val="21"/>
                <w:szCs w:val="21"/>
              </w:rPr>
              <w:t>(三)</w:t>
            </w:r>
          </w:p>
        </w:tc>
        <w:tc>
          <w:tcPr>
            <w:tcW w:w="949"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现场经费</w:t>
            </w:r>
          </w:p>
        </w:tc>
        <w:tc>
          <w:tcPr>
            <w:tcW w:w="831"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position w:val="2"/>
                <w:sz w:val="21"/>
                <w:szCs w:val="21"/>
              </w:rPr>
              <w:t>%</w:t>
            </w:r>
          </w:p>
        </w:tc>
        <w:tc>
          <w:tcPr>
            <w:tcW w:w="831"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5</w:t>
            </w:r>
          </w:p>
        </w:tc>
        <w:tc>
          <w:tcPr>
            <w:tcW w:w="8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8"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173.04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718"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二</w:t>
            </w:r>
          </w:p>
        </w:tc>
        <w:tc>
          <w:tcPr>
            <w:tcW w:w="949"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间接费</w:t>
            </w:r>
          </w:p>
        </w:tc>
        <w:tc>
          <w:tcPr>
            <w:tcW w:w="831"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position w:val="2"/>
                <w:sz w:val="21"/>
                <w:szCs w:val="21"/>
              </w:rPr>
              <w:t>%</w:t>
            </w:r>
          </w:p>
        </w:tc>
        <w:tc>
          <w:tcPr>
            <w:tcW w:w="831"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4.4</w:t>
            </w:r>
          </w:p>
        </w:tc>
        <w:tc>
          <w:tcPr>
            <w:tcW w:w="8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8"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165.98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718"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position w:val="1"/>
                <w:sz w:val="21"/>
                <w:szCs w:val="21"/>
              </w:rPr>
              <w:t>三</w:t>
            </w:r>
          </w:p>
        </w:tc>
        <w:tc>
          <w:tcPr>
            <w:tcW w:w="949"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企业利润</w:t>
            </w:r>
          </w:p>
        </w:tc>
        <w:tc>
          <w:tcPr>
            <w:tcW w:w="831"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position w:val="2"/>
                <w:sz w:val="21"/>
                <w:szCs w:val="21"/>
              </w:rPr>
              <w:t>%</w:t>
            </w:r>
          </w:p>
        </w:tc>
        <w:tc>
          <w:tcPr>
            <w:tcW w:w="831"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7</w:t>
            </w:r>
          </w:p>
        </w:tc>
        <w:tc>
          <w:tcPr>
            <w:tcW w:w="8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8"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275.68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718"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四</w:t>
            </w:r>
          </w:p>
        </w:tc>
        <w:tc>
          <w:tcPr>
            <w:tcW w:w="949"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税金</w:t>
            </w:r>
          </w:p>
        </w:tc>
        <w:tc>
          <w:tcPr>
            <w:tcW w:w="8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6"/>
                <w:position w:val="1"/>
                <w:sz w:val="21"/>
                <w:szCs w:val="21"/>
              </w:rPr>
              <w:t>%</w:t>
            </w:r>
          </w:p>
        </w:tc>
        <w:tc>
          <w:tcPr>
            <w:tcW w:w="831"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9</w:t>
            </w:r>
          </w:p>
        </w:tc>
        <w:tc>
          <w:tcPr>
            <w:tcW w:w="8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8"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379.25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718"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小计</w:t>
            </w:r>
          </w:p>
        </w:tc>
        <w:tc>
          <w:tcPr>
            <w:tcW w:w="949"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8"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4"/>
                <w:sz w:val="21"/>
                <w:szCs w:val="21"/>
              </w:rPr>
              <w:t>4593.18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718"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五</w:t>
            </w:r>
          </w:p>
        </w:tc>
        <w:tc>
          <w:tcPr>
            <w:tcW w:w="949"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7"/>
                <w:sz w:val="21"/>
                <w:szCs w:val="21"/>
              </w:rPr>
              <w:t>投资估算扩大</w:t>
            </w:r>
          </w:p>
        </w:tc>
        <w:tc>
          <w:tcPr>
            <w:tcW w:w="831"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position w:val="2"/>
                <w:sz w:val="21"/>
                <w:szCs w:val="21"/>
              </w:rPr>
              <w:t>%</w:t>
            </w:r>
          </w:p>
        </w:tc>
        <w:tc>
          <w:tcPr>
            <w:tcW w:w="831"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8"/>
                <w:sz w:val="21"/>
                <w:szCs w:val="21"/>
              </w:rPr>
              <w:t>10</w:t>
            </w:r>
          </w:p>
        </w:tc>
        <w:tc>
          <w:tcPr>
            <w:tcW w:w="8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8"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459.32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667"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合</w:t>
            </w:r>
            <w:r>
              <w:rPr>
                <w:rFonts w:hint="default" w:ascii="Times New Roman" w:hAnsi="Times New Roman" w:eastAsia="仿宋_GB2312" w:cs="Times New Roman"/>
                <w:spacing w:val="18"/>
                <w:sz w:val="21"/>
                <w:szCs w:val="21"/>
              </w:rPr>
              <w:t xml:space="preserve"> </w:t>
            </w:r>
            <w:r>
              <w:rPr>
                <w:rFonts w:hint="default" w:ascii="Times New Roman" w:hAnsi="Times New Roman" w:eastAsia="仿宋_GB2312" w:cs="Times New Roman"/>
                <w:spacing w:val="-1"/>
                <w:sz w:val="21"/>
                <w:szCs w:val="21"/>
              </w:rPr>
              <w:t>计</w:t>
            </w:r>
          </w:p>
        </w:tc>
        <w:tc>
          <w:tcPr>
            <w:tcW w:w="8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1"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38" w:type="pct"/>
            <w:vAlign w:val="center"/>
          </w:tcPr>
          <w:p>
            <w:pPr>
              <w:pStyle w:val="56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5052.50</w:t>
            </w:r>
          </w:p>
        </w:tc>
      </w:tr>
    </w:tbl>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z w:val="24"/>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z w:val="24"/>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z w:val="24"/>
          <w:highlight w:val="none"/>
        </w:rPr>
      </w:pPr>
    </w:p>
    <w:p>
      <w:pPr>
        <w:pageBreakBefore w:val="0"/>
        <w:kinsoku/>
        <w:wordWrap/>
        <w:bidi w:val="0"/>
        <w:jc w:val="center"/>
        <w:rPr>
          <w:rFonts w:hint="default" w:ascii="Times New Roman" w:hAnsi="Times New Roman" w:cs="Times New Roman"/>
          <w:highlight w:val="none"/>
        </w:rPr>
      </w:pPr>
      <w:r>
        <w:rPr>
          <w:rFonts w:hint="default" w:ascii="Times New Roman" w:hAnsi="Times New Roman" w:cs="Times New Roman"/>
          <w:highlight w:val="none"/>
        </w:rPr>
        <w:br w:type="page"/>
      </w:r>
    </w:p>
    <w:p>
      <w:pPr>
        <w:pageBreakBefore w:val="0"/>
        <w:kinsoku/>
        <w:wordWrap/>
        <w:bidi w:val="0"/>
        <w:spacing w:before="38"/>
        <w:ind w:right="1"/>
        <w:jc w:val="both"/>
        <w:rPr>
          <w:rFonts w:hint="eastAsia" w:cs="Times New Roman"/>
          <w:b/>
          <w:sz w:val="36"/>
          <w:szCs w:val="36"/>
          <w:highlight w:val="none"/>
          <w:lang w:val="en-US" w:eastAsia="zh-CN"/>
        </w:rPr>
      </w:pPr>
    </w:p>
    <w:p>
      <w:pPr>
        <w:pageBreakBefore w:val="0"/>
        <w:kinsoku/>
        <w:wordWrap/>
        <w:bidi w:val="0"/>
        <w:spacing w:before="38"/>
        <w:ind w:right="1"/>
        <w:jc w:val="center"/>
        <w:rPr>
          <w:rFonts w:hint="eastAsia" w:cs="Times New Roman"/>
          <w:b/>
          <w:sz w:val="36"/>
          <w:szCs w:val="36"/>
          <w:highlight w:val="none"/>
          <w:lang w:val="en-US" w:eastAsia="zh-CN"/>
        </w:rPr>
      </w:pPr>
      <w:r>
        <w:rPr>
          <w:rFonts w:hint="eastAsia" w:cs="Times New Roman"/>
          <w:b/>
          <w:sz w:val="36"/>
          <w:szCs w:val="36"/>
          <w:highlight w:val="none"/>
          <w:lang w:val="en-US" w:eastAsia="zh-CN"/>
        </w:rPr>
        <w:t>长春国际物流经济开发区新兴建材产业园区</w:t>
      </w:r>
    </w:p>
    <w:p>
      <w:pPr>
        <w:pageBreakBefore w:val="0"/>
        <w:kinsoku/>
        <w:wordWrap/>
        <w:bidi w:val="0"/>
        <w:spacing w:before="38"/>
        <w:ind w:right="1"/>
        <w:jc w:val="center"/>
        <w:rPr>
          <w:rFonts w:hint="default" w:ascii="Times New Roman" w:hAnsi="Times New Roman" w:eastAsia="宋体" w:cs="Times New Roman"/>
          <w:b/>
          <w:sz w:val="36"/>
          <w:szCs w:val="36"/>
          <w:highlight w:val="none"/>
          <w:lang w:eastAsia="zh-CN"/>
        </w:rPr>
      </w:pPr>
      <w:r>
        <w:rPr>
          <w:rFonts w:hint="eastAsia" w:cs="Times New Roman"/>
          <w:b/>
          <w:sz w:val="36"/>
          <w:szCs w:val="36"/>
          <w:highlight w:val="none"/>
          <w:lang w:val="en-US" w:eastAsia="zh-CN"/>
        </w:rPr>
        <w:t>建设</w:t>
      </w:r>
      <w:r>
        <w:rPr>
          <w:rFonts w:hint="eastAsia" w:cs="Times New Roman"/>
          <w:b/>
          <w:sz w:val="36"/>
          <w:szCs w:val="36"/>
          <w:highlight w:val="none"/>
          <w:lang w:eastAsia="zh-CN"/>
        </w:rPr>
        <w:t>项目（</w:t>
      </w:r>
      <w:r>
        <w:rPr>
          <w:rFonts w:hint="eastAsia" w:cs="Times New Roman"/>
          <w:b/>
          <w:sz w:val="36"/>
          <w:szCs w:val="36"/>
          <w:highlight w:val="none"/>
          <w:lang w:val="en-US" w:eastAsia="zh-CN"/>
        </w:rPr>
        <w:t>B地块补充</w:t>
      </w:r>
      <w:r>
        <w:rPr>
          <w:rFonts w:hint="eastAsia" w:cs="Times New Roman"/>
          <w:b/>
          <w:sz w:val="36"/>
          <w:szCs w:val="36"/>
          <w:highlight w:val="none"/>
          <w:lang w:eastAsia="zh-CN"/>
        </w:rPr>
        <w:t>）</w:t>
      </w:r>
    </w:p>
    <w:p>
      <w:pPr>
        <w:pStyle w:val="35"/>
        <w:pageBreakBefore w:val="0"/>
        <w:kinsoku/>
        <w:wordWrap/>
        <w:bidi w:val="0"/>
        <w:spacing w:before="7"/>
        <w:rPr>
          <w:rFonts w:hint="default" w:ascii="Times New Roman" w:hAnsi="Times New Roman" w:cs="Times New Roman"/>
          <w:b/>
          <w:sz w:val="38"/>
          <w:highlight w:val="none"/>
        </w:rPr>
      </w:pPr>
    </w:p>
    <w:p>
      <w:pPr>
        <w:pageBreakBefore w:val="0"/>
        <w:kinsoku/>
        <w:wordWrap/>
        <w:bidi w:val="0"/>
        <w:ind w:left="209" w:right="12"/>
        <w:jc w:val="center"/>
        <w:rPr>
          <w:rFonts w:hint="default" w:ascii="Times New Roman" w:hAnsi="Times New Roman" w:eastAsia="黑体" w:cs="Times New Roman"/>
          <w:b/>
          <w:sz w:val="72"/>
          <w:szCs w:val="72"/>
          <w:highlight w:val="none"/>
        </w:rPr>
      </w:pPr>
      <w:r>
        <w:rPr>
          <w:rFonts w:hint="default" w:ascii="Times New Roman" w:hAnsi="Times New Roman" w:eastAsia="黑体" w:cs="Times New Roman"/>
          <w:b/>
          <w:sz w:val="72"/>
          <w:szCs w:val="72"/>
          <w:highlight w:val="none"/>
        </w:rPr>
        <w:t>水土保持方案报告书</w:t>
      </w:r>
    </w:p>
    <w:p>
      <w:pPr>
        <w:pStyle w:val="152"/>
        <w:pageBreakBefore w:val="0"/>
        <w:kinsoku/>
        <w:wordWrap/>
        <w:bidi w:val="0"/>
        <w:rPr>
          <w:rFonts w:hint="default" w:ascii="Times New Roman" w:hAnsi="Times New Roman" w:cs="Times New Roman"/>
          <w:highlight w:val="none"/>
        </w:rPr>
      </w:pPr>
    </w:p>
    <w:p>
      <w:pPr>
        <w:pStyle w:val="35"/>
        <w:pageBreakBefore w:val="0"/>
        <w:kinsoku/>
        <w:wordWrap/>
        <w:bidi w:val="0"/>
        <w:jc w:val="center"/>
        <w:rPr>
          <w:rFonts w:hint="default" w:ascii="Times New Roman" w:hAnsi="Times New Roman" w:cs="Times New Roman"/>
          <w:b/>
          <w:sz w:val="44"/>
          <w:szCs w:val="44"/>
          <w:highlight w:val="none"/>
        </w:rPr>
      </w:pPr>
      <w:r>
        <w:rPr>
          <w:rFonts w:hint="default" w:ascii="Times New Roman" w:hAnsi="Times New Roman" w:cs="Times New Roman"/>
          <w:b/>
          <w:sz w:val="44"/>
          <w:szCs w:val="44"/>
          <w:highlight w:val="none"/>
        </w:rPr>
        <w:t>附件</w:t>
      </w: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rPr>
          <w:rFonts w:hint="default" w:ascii="Times New Roman" w:hAnsi="Times New Roman" w:cs="Times New Roman"/>
          <w:b/>
          <w:sz w:val="44"/>
          <w:highlight w:val="none"/>
        </w:rPr>
      </w:pPr>
    </w:p>
    <w:p>
      <w:pPr>
        <w:pStyle w:val="35"/>
        <w:pageBreakBefore w:val="0"/>
        <w:kinsoku/>
        <w:wordWrap/>
        <w:bidi w:val="0"/>
        <w:spacing w:before="2"/>
        <w:rPr>
          <w:rFonts w:hint="default" w:ascii="Times New Roman" w:hAnsi="Times New Roman" w:cs="Times New Roman"/>
          <w:b/>
          <w:sz w:val="36"/>
          <w:highlight w:val="none"/>
        </w:rPr>
      </w:pPr>
    </w:p>
    <w:p>
      <w:pPr>
        <w:pageBreakBefore w:val="0"/>
        <w:kinsoku/>
        <w:wordWrap/>
        <w:bidi w:val="0"/>
        <w:ind w:left="1349"/>
        <w:jc w:val="left"/>
        <w:rPr>
          <w:rFonts w:hint="default" w:ascii="Times New Roman" w:hAnsi="Times New Roman" w:eastAsia="宋体" w:cs="Times New Roman"/>
          <w:sz w:val="32"/>
          <w:highlight w:val="none"/>
          <w:lang w:eastAsia="zh-CN"/>
        </w:rPr>
      </w:pPr>
      <w:r>
        <w:rPr>
          <w:rFonts w:hint="default" w:ascii="Times New Roman" w:hAnsi="Times New Roman" w:cs="Times New Roman"/>
          <w:sz w:val="32"/>
          <w:highlight w:val="none"/>
        </w:rPr>
        <w:t>建设单位：</w:t>
      </w:r>
      <w:r>
        <w:rPr>
          <w:rFonts w:hint="default" w:ascii="Times New Roman" w:hAnsi="Times New Roman" w:cs="Times New Roman"/>
          <w:sz w:val="32"/>
          <w:highlight w:val="none"/>
          <w:lang w:eastAsia="zh-CN"/>
        </w:rPr>
        <w:t>长春市瑞通投资有限公司</w:t>
      </w:r>
    </w:p>
    <w:p>
      <w:pPr>
        <w:pageBreakBefore w:val="0"/>
        <w:tabs>
          <w:tab w:val="left" w:pos="5288"/>
        </w:tabs>
        <w:kinsoku/>
        <w:wordWrap/>
        <w:bidi w:val="0"/>
        <w:spacing w:before="214" w:line="604" w:lineRule="auto"/>
        <w:ind w:left="3128" w:right="228" w:hanging="1779"/>
        <w:jc w:val="left"/>
        <w:rPr>
          <w:rFonts w:hint="default" w:ascii="Times New Roman" w:hAnsi="Times New Roman" w:cs="Times New Roman"/>
          <w:sz w:val="32"/>
          <w:highlight w:val="none"/>
          <w:lang w:eastAsia="zh-CN"/>
        </w:rPr>
      </w:pPr>
      <w:r>
        <w:rPr>
          <w:rFonts w:hint="default" w:ascii="Times New Roman" w:hAnsi="Times New Roman" w:cs="Times New Roman"/>
          <w:sz w:val="32"/>
          <w:highlight w:val="none"/>
        </w:rPr>
        <w:t>编制单位：</w:t>
      </w:r>
      <w:r>
        <w:rPr>
          <w:rFonts w:hint="eastAsia" w:cs="Times New Roman"/>
          <w:sz w:val="32"/>
          <w:highlight w:val="none"/>
          <w:lang w:eastAsia="zh-CN"/>
        </w:rPr>
        <w:t>吉林省晟元工程咨询有限公司</w:t>
      </w:r>
    </w:p>
    <w:p>
      <w:pPr>
        <w:pStyle w:val="87"/>
        <w:rPr>
          <w:rFonts w:hint="default" w:ascii="Times New Roman" w:hAnsi="Times New Roman" w:cs="Times New Roman"/>
          <w:sz w:val="32"/>
          <w:highlight w:val="none"/>
          <w:lang w:eastAsia="zh-CN"/>
        </w:rPr>
      </w:pPr>
    </w:p>
    <w:p>
      <w:pPr>
        <w:rPr>
          <w:rFonts w:hint="default" w:ascii="Times New Roman" w:hAnsi="Times New Roman" w:cs="Times New Roman"/>
          <w:sz w:val="32"/>
          <w:highlight w:val="none"/>
          <w:lang w:eastAsia="zh-CN"/>
        </w:rPr>
      </w:pPr>
    </w:p>
    <w:p>
      <w:pPr>
        <w:pStyle w:val="87"/>
        <w:rPr>
          <w:rFonts w:hint="default" w:ascii="Times New Roman" w:hAnsi="Times New Roman" w:cs="Times New Roman"/>
          <w:lang w:eastAsia="zh-CN"/>
        </w:rPr>
        <w:sectPr>
          <w:headerReference r:id="rId34" w:type="default"/>
          <w:footerReference r:id="rId35" w:type="default"/>
          <w:pgSz w:w="11910" w:h="16850"/>
          <w:pgMar w:top="1440" w:right="1800" w:bottom="1440" w:left="1800" w:header="720" w:footer="720" w:gutter="0"/>
          <w:pgBorders>
            <w:top w:val="none" w:sz="0" w:space="0"/>
            <w:left w:val="none" w:sz="0" w:space="0"/>
            <w:bottom w:val="none" w:sz="0" w:space="0"/>
            <w:right w:val="none" w:sz="0" w:space="0"/>
          </w:pgBorders>
          <w:pgNumType w:fmt="decimal"/>
          <w:cols w:space="720" w:num="1"/>
        </w:sect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b/>
          <w:bCs/>
          <w:sz w:val="28"/>
          <w:szCs w:val="28"/>
          <w:highlight w:val="none"/>
          <w:lang w:val="en-US" w:eastAsia="zh-CN"/>
        </w:rPr>
      </w:pPr>
      <w:r>
        <w:rPr>
          <w:rFonts w:hint="default" w:ascii="Times New Roman" w:hAnsi="Times New Roman" w:eastAsia="仿宋_GB2312" w:cs="Times New Roman"/>
          <w:b/>
          <w:bCs/>
          <w:sz w:val="28"/>
          <w:szCs w:val="28"/>
          <w:highlight w:val="none"/>
          <w:lang w:val="en-US" w:eastAsia="zh-CN"/>
        </w:rPr>
        <w:t>附件1：项目委托书</w:t>
      </w:r>
    </w:p>
    <w:p>
      <w:pPr>
        <w:pageBreakBefore w:val="0"/>
        <w:kinsoku/>
        <w:wordWrap/>
        <w:bidi w:val="0"/>
        <w:spacing w:before="130" w:line="219" w:lineRule="auto"/>
        <w:ind w:left="1980"/>
        <w:rPr>
          <w:rFonts w:hint="default" w:ascii="Times New Roman" w:hAnsi="Times New Roman" w:eastAsia="宋体" w:cs="Times New Roman"/>
          <w:sz w:val="40"/>
          <w:szCs w:val="40"/>
        </w:rPr>
      </w:pPr>
      <w:r>
        <w:rPr>
          <w:rFonts w:hint="default" w:ascii="Times New Roman" w:hAnsi="Times New Roman" w:eastAsia="宋体" w:cs="Times New Roman"/>
          <w:spacing w:val="-1"/>
          <w:sz w:val="40"/>
          <w:szCs w:val="40"/>
          <w14:textOutline w14:w="7282" w14:cap="sq" w14:cmpd="sng">
            <w14:solidFill>
              <w14:srgbClr w14:val="000000"/>
            </w14:solidFill>
            <w14:prstDash w14:val="solid"/>
            <w14:bevel/>
          </w14:textOutline>
        </w:rPr>
        <w:t>水土保持方</w:t>
      </w:r>
      <w:r>
        <w:rPr>
          <w:rFonts w:hint="default" w:ascii="Times New Roman" w:hAnsi="Times New Roman" w:eastAsia="宋体" w:cs="Times New Roman"/>
          <w:sz w:val="40"/>
          <w:szCs w:val="40"/>
          <w14:textOutline w14:w="7282" w14:cap="sq" w14:cmpd="sng">
            <w14:solidFill>
              <w14:srgbClr w14:val="000000"/>
            </w14:solidFill>
            <w14:prstDash w14:val="solid"/>
            <w14:bevel/>
          </w14:textOutline>
        </w:rPr>
        <w:t>案编制委托书</w:t>
      </w:r>
    </w:p>
    <w:p>
      <w:pPr>
        <w:pageBreakBefore w:val="0"/>
        <w:kinsoku/>
        <w:wordWrap/>
        <w:bidi w:val="0"/>
        <w:spacing w:line="475" w:lineRule="auto"/>
        <w:rPr>
          <w:rFonts w:hint="default" w:ascii="Times New Roman" w:hAnsi="Times New Roman" w:cs="Times New Roman"/>
          <w:sz w:val="21"/>
        </w:rPr>
      </w:pPr>
    </w:p>
    <w:p>
      <w:pPr>
        <w:keepNext w:val="0"/>
        <w:keepLines w:val="0"/>
        <w:pageBreakBefore w:val="0"/>
        <w:widowControl/>
        <w:kinsoku/>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宋体" w:cs="Times New Roman"/>
          <w:sz w:val="28"/>
          <w:szCs w:val="28"/>
        </w:rPr>
      </w:pPr>
      <w:r>
        <w:rPr>
          <w:rFonts w:hint="eastAsia" w:cs="Times New Roman"/>
          <w:sz w:val="28"/>
          <w:szCs w:val="28"/>
          <w:lang w:val="en-US" w:eastAsia="zh-CN"/>
        </w:rPr>
        <w:t>吉林省晟元工程咨询有限公司</w:t>
      </w:r>
      <w:r>
        <w:rPr>
          <w:rFonts w:hint="default" w:ascii="Times New Roman" w:hAnsi="Times New Roman" w:eastAsia="宋体" w:cs="Times New Roman"/>
          <w:sz w:val="28"/>
          <w:szCs w:val="28"/>
        </w:rPr>
        <w:t>：</w:t>
      </w:r>
    </w:p>
    <w:p>
      <w:pPr>
        <w:keepNext w:val="0"/>
        <w:keepLines w:val="0"/>
        <w:pageBreakBefore w:val="0"/>
        <w:widowControl/>
        <w:kinsoku/>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根据《中华人民共和国水土保持法》及其有关法规关于生产建设项目必须编报水土保持方案的规定，今特委托贵单位编制《</w:t>
      </w:r>
      <w:r>
        <w:rPr>
          <w:rFonts w:hint="default" w:ascii="Times New Roman" w:hAnsi="Times New Roman" w:eastAsia="宋体" w:cs="Times New Roman"/>
          <w:sz w:val="28"/>
          <w:szCs w:val="28"/>
          <w:lang w:val="en-US" w:eastAsia="zh-CN"/>
        </w:rPr>
        <w:t>长春国际物流经济开发区新兴建材产业园区建设</w:t>
      </w:r>
      <w:r>
        <w:rPr>
          <w:rFonts w:hint="eastAsia" w:cs="Times New Roman"/>
          <w:sz w:val="28"/>
          <w:szCs w:val="28"/>
          <w:lang w:eastAsia="zh-CN"/>
        </w:rPr>
        <w:t>项目</w:t>
      </w:r>
      <w:r>
        <w:rPr>
          <w:rFonts w:hint="default" w:ascii="Times New Roman" w:hAnsi="Times New Roman" w:eastAsia="宋体" w:cs="Times New Roman"/>
          <w:sz w:val="28"/>
          <w:szCs w:val="28"/>
        </w:rPr>
        <w:t>水土保持方案报告书》。</w:t>
      </w:r>
    </w:p>
    <w:p>
      <w:pPr>
        <w:keepNext w:val="0"/>
        <w:keepLines w:val="0"/>
        <w:pageBreakBefore w:val="0"/>
        <w:widowControl/>
        <w:kinsoku/>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具体要求如下：</w:t>
      </w:r>
    </w:p>
    <w:p>
      <w:pPr>
        <w:keepNext w:val="0"/>
        <w:keepLines w:val="0"/>
        <w:pageBreakBefore w:val="0"/>
        <w:widowControl/>
        <w:kinsoku/>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1、报告书内容应满足《生产建设项目水土保持技术标准》</w:t>
      </w:r>
      <w:r>
        <w:rPr>
          <w:rFonts w:hint="default" w:ascii="Times New Roman" w:hAnsi="Times New Roman" w:cs="Times New Roman"/>
          <w:sz w:val="28"/>
          <w:szCs w:val="28"/>
          <w:lang w:eastAsia="zh-CN"/>
        </w:rPr>
        <w:t>（</w:t>
      </w:r>
      <w:r>
        <w:rPr>
          <w:rFonts w:hint="default" w:ascii="Times New Roman" w:hAnsi="Times New Roman" w:eastAsia="宋体" w:cs="Times New Roman"/>
          <w:sz w:val="28"/>
          <w:szCs w:val="28"/>
        </w:rPr>
        <w:t>GB50433-2018</w:t>
      </w:r>
      <w:r>
        <w:rPr>
          <w:rFonts w:hint="default" w:ascii="Times New Roman" w:hAnsi="Times New Roman" w:cs="Times New Roman"/>
          <w:sz w:val="28"/>
          <w:szCs w:val="28"/>
          <w:lang w:eastAsia="zh-CN"/>
        </w:rPr>
        <w:t>）</w:t>
      </w:r>
      <w:r>
        <w:rPr>
          <w:rFonts w:hint="default" w:ascii="Times New Roman" w:hAnsi="Times New Roman" w:eastAsia="宋体" w:cs="Times New Roman"/>
          <w:sz w:val="28"/>
          <w:szCs w:val="28"/>
        </w:rPr>
        <w:t>的要求，并达到与之相适应的水土保持设计深度；</w:t>
      </w:r>
    </w:p>
    <w:p>
      <w:pPr>
        <w:keepNext w:val="0"/>
        <w:keepLines w:val="0"/>
        <w:pageBreakBefore w:val="0"/>
        <w:widowControl/>
        <w:kinsoku/>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2、方案应根据《生产建设项目水土保持技术标准》进行科学合理的编制；</w:t>
      </w:r>
    </w:p>
    <w:p>
      <w:pPr>
        <w:keepNext w:val="0"/>
        <w:keepLines w:val="0"/>
        <w:pageBreakBefore w:val="0"/>
        <w:widowControl/>
        <w:kinsoku/>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3、方案应做到设计合理、措施完善，并能有效起到防治水土流失和改善生态环境的要求。</w:t>
      </w:r>
    </w:p>
    <w:p>
      <w:pPr>
        <w:keepNext w:val="0"/>
        <w:keepLines w:val="0"/>
        <w:pageBreakBefore w:val="0"/>
        <w:widowControl/>
        <w:kinsoku/>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望贵单位接到此委托书后，及时组织技术人员开展工作，如期完成此项工作。</w:t>
      </w:r>
    </w:p>
    <w:p>
      <w:pPr>
        <w:keepNext w:val="0"/>
        <w:keepLines w:val="0"/>
        <w:pageBreakBefore w:val="0"/>
        <w:widowControl/>
        <w:kinsoku/>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eastAsia="宋体" w:cs="Times New Roman"/>
          <w:sz w:val="28"/>
          <w:szCs w:val="28"/>
        </w:rPr>
      </w:pPr>
    </w:p>
    <w:p>
      <w:pPr>
        <w:keepNext w:val="0"/>
        <w:keepLines w:val="0"/>
        <w:pageBreakBefore w:val="0"/>
        <w:widowControl/>
        <w:kinsoku/>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eastAsia="宋体" w:cs="Times New Roman"/>
          <w:sz w:val="28"/>
          <w:szCs w:val="28"/>
        </w:rPr>
      </w:pPr>
    </w:p>
    <w:p>
      <w:pPr>
        <w:keepNext w:val="0"/>
        <w:keepLines w:val="0"/>
        <w:pageBreakBefore w:val="0"/>
        <w:widowControl/>
        <w:kinsoku/>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eastAsia="宋体" w:cs="Times New Roman"/>
          <w:sz w:val="28"/>
          <w:szCs w:val="28"/>
        </w:rPr>
      </w:pPr>
    </w:p>
    <w:p>
      <w:pPr>
        <w:keepNext w:val="0"/>
        <w:keepLines w:val="0"/>
        <w:pageBreakBefore w:val="0"/>
        <w:widowControl/>
        <w:kinsoku/>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eastAsia="宋体" w:cs="Times New Roman"/>
          <w:sz w:val="28"/>
          <w:szCs w:val="28"/>
        </w:rPr>
      </w:pPr>
    </w:p>
    <w:p>
      <w:pPr>
        <w:keepNext w:val="0"/>
        <w:keepLines w:val="0"/>
        <w:pageBreakBefore w:val="0"/>
        <w:widowControl/>
        <w:kinsoku/>
        <w:wordWrap/>
        <w:overflowPunct/>
        <w:topLinePunct w:val="0"/>
        <w:autoSpaceDE w:val="0"/>
        <w:autoSpaceDN w:val="0"/>
        <w:bidi w:val="0"/>
        <w:adjustRightInd w:val="0"/>
        <w:snapToGrid w:val="0"/>
        <w:spacing w:line="360" w:lineRule="auto"/>
        <w:ind w:firstLine="560" w:firstLineChars="200"/>
        <w:jc w:val="right"/>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委托方</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rPr>
        <w:t>盖章</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rPr>
        <w:t>长春市瑞通投资有限公司</w:t>
      </w:r>
    </w:p>
    <w:p>
      <w:pPr>
        <w:keepNext w:val="0"/>
        <w:keepLines w:val="0"/>
        <w:pageBreakBefore w:val="0"/>
        <w:widowControl/>
        <w:kinsoku/>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eastAsia="宋体" w:cs="Times New Roman"/>
          <w:sz w:val="28"/>
          <w:szCs w:val="28"/>
        </w:rPr>
      </w:pPr>
    </w:p>
    <w:p>
      <w:pPr>
        <w:keepNext w:val="0"/>
        <w:keepLines w:val="0"/>
        <w:pageBreakBefore w:val="0"/>
        <w:widowControl/>
        <w:kinsoku/>
        <w:wordWrap/>
        <w:overflowPunct/>
        <w:topLinePunct w:val="0"/>
        <w:autoSpaceDE w:val="0"/>
        <w:autoSpaceDN w:val="0"/>
        <w:bidi w:val="0"/>
        <w:adjustRightInd w:val="0"/>
        <w:snapToGrid w:val="0"/>
        <w:spacing w:line="360" w:lineRule="auto"/>
        <w:ind w:firstLine="5040" w:firstLineChars="1800"/>
        <w:jc w:val="both"/>
        <w:textAlignment w:val="baseline"/>
        <w:rPr>
          <w:rFonts w:hint="default" w:ascii="Times New Roman" w:hAnsi="Times New Roman" w:eastAsia="宋体" w:cs="Times New Roman"/>
          <w:sz w:val="28"/>
          <w:szCs w:val="28"/>
        </w:rPr>
      </w:pPr>
      <w:r>
        <w:rPr>
          <w:rFonts w:hint="eastAsia" w:cs="Times New Roman"/>
          <w:sz w:val="28"/>
          <w:szCs w:val="28"/>
          <w:lang w:eastAsia="zh-CN"/>
        </w:rPr>
        <w:t>2023年5月</w:t>
      </w:r>
      <w:r>
        <w:rPr>
          <w:rFonts w:hint="default" w:ascii="Times New Roman" w:hAnsi="Times New Roman" w:eastAsia="宋体" w:cs="Times New Roman"/>
          <w:sz w:val="28"/>
          <w:szCs w:val="28"/>
          <w:lang w:val="en-US" w:eastAsia="zh-CN"/>
        </w:rPr>
        <w:t>5</w:t>
      </w:r>
      <w:r>
        <w:rPr>
          <w:rFonts w:hint="default" w:ascii="Times New Roman" w:hAnsi="Times New Roman" w:eastAsia="宋体" w:cs="Times New Roman"/>
          <w:sz w:val="28"/>
          <w:szCs w:val="28"/>
        </w:rPr>
        <w:t>日</w:t>
      </w:r>
    </w:p>
    <w:p>
      <w:pPr>
        <w:pStyle w:val="153"/>
        <w:pageBreakBefore w:val="0"/>
        <w:kinsoku/>
        <w:wordWrap/>
        <w:bidi w:val="0"/>
        <w:ind w:left="0" w:leftChars="0" w:firstLine="0" w:firstLineChars="0"/>
        <w:rPr>
          <w:rFonts w:hint="default" w:ascii="Times New Roman" w:hAnsi="Times New Roman" w:eastAsia="仿宋_GB2312" w:cs="Times New Roman"/>
          <w:b/>
          <w:bCs/>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b/>
          <w:bCs/>
          <w:sz w:val="28"/>
          <w:szCs w:val="28"/>
          <w:highlight w:val="none"/>
          <w:lang w:val="en-US" w:eastAsia="zh-CN"/>
        </w:rPr>
        <w:sectPr>
          <w:headerReference r:id="rId36" w:type="default"/>
          <w:headerReference r:id="rId37"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b/>
          <w:bCs/>
          <w:sz w:val="28"/>
          <w:szCs w:val="28"/>
          <w:highlight w:val="none"/>
          <w:lang w:val="en-US" w:eastAsia="zh-CN"/>
        </w:rPr>
      </w:pPr>
      <w:r>
        <w:rPr>
          <w:rFonts w:hint="default" w:ascii="Times New Roman" w:hAnsi="Times New Roman" w:eastAsia="仿宋_GB2312" w:cs="Times New Roman"/>
          <w:b/>
          <w:bCs/>
          <w:sz w:val="28"/>
          <w:szCs w:val="28"/>
          <w:highlight w:val="none"/>
          <w:lang w:val="en-US" w:eastAsia="zh-CN"/>
        </w:rPr>
        <w:t>附件2：《关于长春</w:t>
      </w:r>
      <w:r>
        <w:rPr>
          <w:rFonts w:hint="eastAsia" w:ascii="Times New Roman" w:hAnsi="Times New Roman" w:eastAsia="仿宋_GB2312" w:cs="Times New Roman"/>
          <w:b/>
          <w:bCs/>
          <w:sz w:val="28"/>
          <w:szCs w:val="28"/>
          <w:highlight w:val="none"/>
          <w:lang w:val="en-US" w:eastAsia="zh-CN"/>
        </w:rPr>
        <w:t>国际物流</w:t>
      </w:r>
      <w:r>
        <w:rPr>
          <w:rFonts w:hint="default" w:ascii="Times New Roman" w:hAnsi="Times New Roman" w:eastAsia="仿宋_GB2312" w:cs="Times New Roman"/>
          <w:b/>
          <w:bCs/>
          <w:sz w:val="28"/>
          <w:szCs w:val="28"/>
          <w:highlight w:val="none"/>
          <w:lang w:val="en-US" w:eastAsia="zh-CN"/>
        </w:rPr>
        <w:t>经济开发区新兴建材产业园区建设项目可行性研究报告的批复》（长二发改〔2021〕93号）</w:t>
      </w:r>
    </w:p>
    <w:p>
      <w:pPr>
        <w:pStyle w:val="153"/>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仿宋_GB2312" w:cs="Times New Roman"/>
          <w:b/>
          <w:bCs/>
          <w:sz w:val="28"/>
          <w:szCs w:val="28"/>
          <w:highlight w:val="none"/>
          <w:lang w:eastAsia="zh-CN"/>
        </w:rPr>
      </w:pPr>
      <w:r>
        <w:rPr>
          <w:rFonts w:hint="default" w:ascii="Times New Roman" w:hAnsi="Times New Roman" w:eastAsia="仿宋_GB2312" w:cs="Times New Roman"/>
          <w:b/>
          <w:bCs/>
          <w:sz w:val="28"/>
          <w:szCs w:val="28"/>
          <w:highlight w:val="none"/>
          <w:lang w:eastAsia="zh-CN"/>
        </w:rPr>
        <w:drawing>
          <wp:inline distT="0" distB="0" distL="114300" distR="114300">
            <wp:extent cx="6186170" cy="7710170"/>
            <wp:effectExtent l="0" t="0" r="5080" b="5080"/>
            <wp:docPr id="10" name="图片 10" descr="新兴建材产业园可研报告的批复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新兴建材产业园可研报告的批复_00"/>
                    <pic:cNvPicPr>
                      <a:picLocks noChangeAspect="1"/>
                    </pic:cNvPicPr>
                  </pic:nvPicPr>
                  <pic:blipFill>
                    <a:blip r:embed="rId55"/>
                    <a:srcRect t="11963"/>
                    <a:stretch>
                      <a:fillRect/>
                    </a:stretch>
                  </pic:blipFill>
                  <pic:spPr>
                    <a:xfrm>
                      <a:off x="0" y="0"/>
                      <a:ext cx="6186170" cy="7710170"/>
                    </a:xfrm>
                    <a:prstGeom prst="rect">
                      <a:avLst/>
                    </a:prstGeom>
                  </pic:spPr>
                </pic:pic>
              </a:graphicData>
            </a:graphic>
          </wp:inline>
        </w:drawing>
      </w:r>
    </w:p>
    <w:p>
      <w:pPr>
        <w:pStyle w:val="153"/>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仿宋_GB2312" w:cs="Times New Roman"/>
          <w:b/>
          <w:bCs/>
          <w:sz w:val="28"/>
          <w:szCs w:val="28"/>
          <w:highlight w:val="none"/>
          <w:lang w:eastAsia="zh-CN"/>
        </w:rPr>
      </w:pPr>
      <w:r>
        <w:rPr>
          <w:rFonts w:hint="default" w:ascii="Times New Roman" w:hAnsi="Times New Roman" w:eastAsia="仿宋_GB2312" w:cs="Times New Roman"/>
          <w:b/>
          <w:bCs/>
          <w:sz w:val="28"/>
          <w:szCs w:val="28"/>
          <w:highlight w:val="none"/>
          <w:lang w:eastAsia="zh-CN"/>
        </w:rPr>
        <w:drawing>
          <wp:inline distT="0" distB="0" distL="114300" distR="114300">
            <wp:extent cx="6186170" cy="8757920"/>
            <wp:effectExtent l="0" t="0" r="5080" b="5080"/>
            <wp:docPr id="11" name="图片 11" descr="新兴建材产业园可研报告的批复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新兴建材产业园可研报告的批复_01"/>
                    <pic:cNvPicPr>
                      <a:picLocks noChangeAspect="1"/>
                    </pic:cNvPicPr>
                  </pic:nvPicPr>
                  <pic:blipFill>
                    <a:blip r:embed="rId56"/>
                    <a:stretch>
                      <a:fillRect/>
                    </a:stretch>
                  </pic:blipFill>
                  <pic:spPr>
                    <a:xfrm>
                      <a:off x="0" y="0"/>
                      <a:ext cx="6186170" cy="8757920"/>
                    </a:xfrm>
                    <a:prstGeom prst="rect">
                      <a:avLst/>
                    </a:prstGeom>
                  </pic:spPr>
                </pic:pic>
              </a:graphicData>
            </a:graphic>
          </wp:inline>
        </w:drawing>
      </w:r>
      <w:r>
        <w:rPr>
          <w:rFonts w:hint="default" w:ascii="Times New Roman" w:hAnsi="Times New Roman" w:eastAsia="仿宋_GB2312" w:cs="Times New Roman"/>
          <w:b/>
          <w:bCs/>
          <w:sz w:val="28"/>
          <w:szCs w:val="28"/>
          <w:highlight w:val="none"/>
          <w:lang w:eastAsia="zh-CN"/>
        </w:rPr>
        <w:drawing>
          <wp:inline distT="0" distB="0" distL="114300" distR="114300">
            <wp:extent cx="6186170" cy="8757920"/>
            <wp:effectExtent l="0" t="0" r="5080" b="5080"/>
            <wp:docPr id="12" name="图片 12" descr="新兴建材产业园可研报告的批复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新兴建材产业园可研报告的批复_02"/>
                    <pic:cNvPicPr>
                      <a:picLocks noChangeAspect="1"/>
                    </pic:cNvPicPr>
                  </pic:nvPicPr>
                  <pic:blipFill>
                    <a:blip r:embed="rId57"/>
                    <a:stretch>
                      <a:fillRect/>
                    </a:stretch>
                  </pic:blipFill>
                  <pic:spPr>
                    <a:xfrm>
                      <a:off x="0" y="0"/>
                      <a:ext cx="6186170" cy="875792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仿宋_GB2312" w:cs="Times New Roman"/>
          <w:b/>
          <w:bCs/>
          <w:sz w:val="28"/>
          <w:szCs w:val="28"/>
          <w:highlight w:val="none"/>
          <w:lang w:val="en-US" w:eastAsia="zh-CN"/>
        </w:rPr>
      </w:pPr>
      <w:r>
        <w:rPr>
          <w:rFonts w:hint="eastAsia" w:ascii="Times New Roman" w:hAnsi="Times New Roman" w:eastAsia="仿宋_GB2312" w:cs="Times New Roman"/>
          <w:b/>
          <w:bCs/>
          <w:sz w:val="28"/>
          <w:szCs w:val="28"/>
          <w:highlight w:val="none"/>
          <w:lang w:val="en-US" w:eastAsia="zh-CN"/>
        </w:rPr>
        <w:t>附件3：《</w:t>
      </w:r>
      <w:r>
        <w:rPr>
          <w:rFonts w:hint="default" w:ascii="Times New Roman" w:hAnsi="Times New Roman" w:eastAsia="仿宋_GB2312" w:cs="Times New Roman"/>
          <w:b/>
          <w:bCs/>
          <w:sz w:val="28"/>
          <w:szCs w:val="28"/>
          <w:highlight w:val="none"/>
          <w:lang w:val="en-US" w:eastAsia="zh-CN"/>
        </w:rPr>
        <w:t>吉林省水利厅关于对长春国际物流经济开发区新兴建材产业园区建设项目水土保持方案编制报批有关情况的意见</w:t>
      </w:r>
      <w:r>
        <w:rPr>
          <w:rFonts w:hint="eastAsia" w:ascii="Times New Roman" w:hAnsi="Times New Roman" w:eastAsia="仿宋_GB2312" w:cs="Times New Roman"/>
          <w:b/>
          <w:bCs/>
          <w:sz w:val="28"/>
          <w:szCs w:val="28"/>
          <w:highlight w:val="none"/>
          <w:lang w:val="en-US" w:eastAsia="zh-CN"/>
        </w:rPr>
        <w:t>》</w:t>
      </w:r>
    </w:p>
    <w:p>
      <w:pPr>
        <w:pStyle w:val="153"/>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_GB2312" w:cs="Times New Roman"/>
          <w:b/>
          <w:bCs/>
          <w:sz w:val="28"/>
          <w:szCs w:val="28"/>
          <w:highlight w:val="none"/>
          <w:lang w:eastAsia="zh-CN"/>
        </w:rPr>
      </w:pPr>
      <w:r>
        <w:rPr>
          <w:rFonts w:hint="default" w:ascii="Times New Roman" w:hAnsi="Times New Roman" w:eastAsia="仿宋_GB2312" w:cs="Times New Roman"/>
          <w:b/>
          <w:bCs/>
          <w:sz w:val="28"/>
          <w:szCs w:val="28"/>
          <w:highlight w:val="none"/>
          <w:lang w:eastAsia="zh-CN"/>
        </w:rPr>
        <w:drawing>
          <wp:inline distT="0" distB="0" distL="114300" distR="114300">
            <wp:extent cx="5624830" cy="7959725"/>
            <wp:effectExtent l="0" t="0" r="13970" b="3175"/>
            <wp:docPr id="3" name="图片 3" descr="20221223省水利厅回复意见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221223省水利厅回复意见_00"/>
                    <pic:cNvPicPr>
                      <a:picLocks noChangeAspect="1"/>
                    </pic:cNvPicPr>
                  </pic:nvPicPr>
                  <pic:blipFill>
                    <a:blip r:embed="rId58"/>
                    <a:stretch>
                      <a:fillRect/>
                    </a:stretch>
                  </pic:blipFill>
                  <pic:spPr>
                    <a:xfrm>
                      <a:off x="0" y="0"/>
                      <a:ext cx="5624830" cy="7959725"/>
                    </a:xfrm>
                    <a:prstGeom prst="rect">
                      <a:avLst/>
                    </a:prstGeom>
                  </pic:spPr>
                </pic:pic>
              </a:graphicData>
            </a:graphic>
          </wp:inline>
        </w:drawing>
      </w:r>
    </w:p>
    <w:p>
      <w:pPr>
        <w:pStyle w:val="153"/>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仿宋_GB2312" w:cs="Times New Roman"/>
          <w:b/>
          <w:bCs/>
          <w:sz w:val="28"/>
          <w:szCs w:val="28"/>
          <w:highlight w:val="none"/>
          <w:lang w:eastAsia="zh-CN"/>
        </w:rPr>
      </w:pPr>
      <w:r>
        <w:rPr>
          <w:rFonts w:hint="default" w:ascii="Times New Roman" w:hAnsi="Times New Roman" w:eastAsia="仿宋_GB2312" w:cs="Times New Roman"/>
          <w:b/>
          <w:bCs/>
          <w:sz w:val="28"/>
          <w:szCs w:val="28"/>
          <w:highlight w:val="none"/>
          <w:lang w:eastAsia="zh-CN"/>
        </w:rPr>
        <w:drawing>
          <wp:inline distT="0" distB="0" distL="114300" distR="114300">
            <wp:extent cx="6182360" cy="8747760"/>
            <wp:effectExtent l="0" t="0" r="8890" b="15240"/>
            <wp:docPr id="4" name="图片 4" descr="20221223省水利厅回复意见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0221223省水利厅回复意见_01"/>
                    <pic:cNvPicPr>
                      <a:picLocks noChangeAspect="1"/>
                    </pic:cNvPicPr>
                  </pic:nvPicPr>
                  <pic:blipFill>
                    <a:blip r:embed="rId59"/>
                    <a:stretch>
                      <a:fillRect/>
                    </a:stretch>
                  </pic:blipFill>
                  <pic:spPr>
                    <a:xfrm>
                      <a:off x="0" y="0"/>
                      <a:ext cx="6182360" cy="8747760"/>
                    </a:xfrm>
                    <a:prstGeom prst="rect">
                      <a:avLst/>
                    </a:prstGeom>
                  </pic:spPr>
                </pic:pic>
              </a:graphicData>
            </a:graphic>
          </wp:inline>
        </w:drawing>
      </w:r>
    </w:p>
    <w:p>
      <w:pPr>
        <w:pStyle w:val="153"/>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仿宋_GB2312" w:cs="Times New Roman"/>
          <w:b/>
          <w:bCs/>
          <w:sz w:val="28"/>
          <w:szCs w:val="28"/>
          <w:highlight w:val="none"/>
          <w:lang w:eastAsia="zh-CN"/>
        </w:rPr>
      </w:pPr>
      <w:r>
        <w:rPr>
          <w:rFonts w:hint="default" w:ascii="Times New Roman" w:hAnsi="Times New Roman" w:eastAsia="仿宋_GB2312" w:cs="Times New Roman"/>
          <w:b/>
          <w:bCs/>
          <w:sz w:val="28"/>
          <w:szCs w:val="28"/>
          <w:highlight w:val="none"/>
          <w:lang w:eastAsia="zh-CN"/>
        </w:rPr>
        <w:drawing>
          <wp:inline distT="0" distB="0" distL="114300" distR="114300">
            <wp:extent cx="6182360" cy="8747760"/>
            <wp:effectExtent l="0" t="0" r="8890" b="15240"/>
            <wp:docPr id="5" name="图片 5" descr="20221223省水利厅回复意见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0221223省水利厅回复意见_02"/>
                    <pic:cNvPicPr>
                      <a:picLocks noChangeAspect="1"/>
                    </pic:cNvPicPr>
                  </pic:nvPicPr>
                  <pic:blipFill>
                    <a:blip r:embed="rId60"/>
                    <a:stretch>
                      <a:fillRect/>
                    </a:stretch>
                  </pic:blipFill>
                  <pic:spPr>
                    <a:xfrm>
                      <a:off x="0" y="0"/>
                      <a:ext cx="6182360" cy="874776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b/>
          <w:bCs/>
          <w:sz w:val="28"/>
          <w:szCs w:val="28"/>
          <w:highlight w:val="none"/>
          <w:lang w:val="en-US" w:eastAsia="zh-CN"/>
        </w:rPr>
      </w:pPr>
      <w:r>
        <w:rPr>
          <w:rFonts w:hint="eastAsia" w:ascii="Times New Roman" w:hAnsi="Times New Roman" w:eastAsia="仿宋_GB2312" w:cs="Times New Roman"/>
          <w:b/>
          <w:bCs/>
          <w:sz w:val="28"/>
          <w:szCs w:val="28"/>
          <w:highlight w:val="none"/>
          <w:lang w:val="en-US" w:eastAsia="zh-CN"/>
        </w:rPr>
        <w:t>附件4：《长春国际物流经济开发区新兴建材产业园区建设项目水士保持行政许可承诺书》（长水许可</w:t>
      </w:r>
      <w:r>
        <w:rPr>
          <w:rFonts w:hint="default" w:ascii="Times New Roman" w:hAnsi="Times New Roman" w:eastAsia="仿宋_GB2312" w:cs="Times New Roman"/>
          <w:b/>
          <w:bCs/>
          <w:sz w:val="28"/>
          <w:szCs w:val="28"/>
          <w:highlight w:val="none"/>
          <w:lang w:val="en-US" w:eastAsia="zh-CN"/>
        </w:rPr>
        <w:t>〔202</w:t>
      </w:r>
      <w:r>
        <w:rPr>
          <w:rFonts w:hint="eastAsia" w:ascii="Times New Roman" w:hAnsi="Times New Roman" w:eastAsia="仿宋_GB2312" w:cs="Times New Roman"/>
          <w:b/>
          <w:bCs/>
          <w:sz w:val="28"/>
          <w:szCs w:val="28"/>
          <w:highlight w:val="none"/>
          <w:lang w:val="en-US" w:eastAsia="zh-CN"/>
        </w:rPr>
        <w:t>3</w:t>
      </w:r>
      <w:r>
        <w:rPr>
          <w:rFonts w:hint="default" w:ascii="Times New Roman" w:hAnsi="Times New Roman" w:eastAsia="仿宋_GB2312" w:cs="Times New Roman"/>
          <w:b/>
          <w:bCs/>
          <w:sz w:val="28"/>
          <w:szCs w:val="28"/>
          <w:highlight w:val="none"/>
          <w:lang w:val="en-US" w:eastAsia="zh-CN"/>
        </w:rPr>
        <w:t>〕</w:t>
      </w:r>
      <w:r>
        <w:rPr>
          <w:rFonts w:hint="eastAsia" w:ascii="Times New Roman" w:hAnsi="Times New Roman" w:eastAsia="仿宋_GB2312" w:cs="Times New Roman"/>
          <w:b/>
          <w:bCs/>
          <w:sz w:val="28"/>
          <w:szCs w:val="28"/>
          <w:highlight w:val="none"/>
          <w:lang w:val="en-US" w:eastAsia="zh-CN"/>
        </w:rPr>
        <w:t>18号）</w:t>
      </w:r>
    </w:p>
    <w:p>
      <w:pPr>
        <w:pStyle w:val="153"/>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_GB2312" w:cs="Times New Roman"/>
          <w:b/>
          <w:bCs/>
          <w:sz w:val="28"/>
          <w:szCs w:val="28"/>
          <w:highlight w:val="none"/>
          <w:lang w:eastAsia="zh-CN"/>
        </w:rPr>
      </w:pPr>
      <w:r>
        <w:rPr>
          <w:rFonts w:hint="default" w:ascii="Times New Roman" w:hAnsi="Times New Roman" w:eastAsia="仿宋_GB2312" w:cs="Times New Roman"/>
          <w:b/>
          <w:bCs/>
          <w:sz w:val="28"/>
          <w:szCs w:val="28"/>
          <w:highlight w:val="none"/>
          <w:lang w:eastAsia="zh-CN"/>
        </w:rPr>
        <w:drawing>
          <wp:inline distT="0" distB="0" distL="114300" distR="114300">
            <wp:extent cx="5994400" cy="7973695"/>
            <wp:effectExtent l="0" t="0" r="0" b="0"/>
            <wp:docPr id="2" name="图片 2" descr="长春国际物流经济开发区新兴建材产业园区建设项目水士保持行政许可承诺书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长春国际物流经济开发区新兴建材产业园区建设项目水士保持行政许可承诺书_00"/>
                    <pic:cNvPicPr>
                      <a:picLocks noChangeAspect="1"/>
                    </pic:cNvPicPr>
                  </pic:nvPicPr>
                  <pic:blipFill>
                    <a:blip r:embed="rId61"/>
                    <a:srcRect t="3976" b="1992"/>
                    <a:stretch>
                      <a:fillRect/>
                    </a:stretch>
                  </pic:blipFill>
                  <pic:spPr>
                    <a:xfrm>
                      <a:off x="0" y="0"/>
                      <a:ext cx="5994400" cy="7973695"/>
                    </a:xfrm>
                    <a:prstGeom prst="rect">
                      <a:avLst/>
                    </a:prstGeom>
                  </pic:spPr>
                </pic:pic>
              </a:graphicData>
            </a:graphic>
          </wp:inline>
        </w:drawing>
      </w:r>
    </w:p>
    <w:p>
      <w:pPr>
        <w:pStyle w:val="153"/>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仿宋_GB2312" w:cs="Times New Roman"/>
          <w:b/>
          <w:bCs/>
          <w:sz w:val="28"/>
          <w:szCs w:val="28"/>
          <w:highlight w:val="none"/>
          <w:lang w:eastAsia="zh-CN"/>
        </w:rPr>
      </w:pPr>
      <w:r>
        <w:rPr>
          <w:rFonts w:hint="default" w:ascii="Times New Roman" w:hAnsi="Times New Roman" w:eastAsia="仿宋_GB2312" w:cs="Times New Roman"/>
          <w:b/>
          <w:bCs/>
          <w:sz w:val="28"/>
          <w:szCs w:val="28"/>
          <w:highlight w:val="none"/>
          <w:lang w:eastAsia="zh-CN"/>
        </w:rPr>
        <w:drawing>
          <wp:inline distT="0" distB="0" distL="114300" distR="114300">
            <wp:extent cx="6186805" cy="8751570"/>
            <wp:effectExtent l="0" t="0" r="4445" b="11430"/>
            <wp:docPr id="8" name="图片 8" descr="长春国际物流经济开发区新兴建材产业园区建设项目水士保持行政许可承诺书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长春国际物流经济开发区新兴建材产业园区建设项目水士保持行政许可承诺书_01"/>
                    <pic:cNvPicPr>
                      <a:picLocks noChangeAspect="1"/>
                    </pic:cNvPicPr>
                  </pic:nvPicPr>
                  <pic:blipFill>
                    <a:blip r:embed="rId62"/>
                    <a:stretch>
                      <a:fillRect/>
                    </a:stretch>
                  </pic:blipFill>
                  <pic:spPr>
                    <a:xfrm>
                      <a:off x="0" y="0"/>
                      <a:ext cx="6186805" cy="8751570"/>
                    </a:xfrm>
                    <a:prstGeom prst="rect">
                      <a:avLst/>
                    </a:prstGeom>
                  </pic:spPr>
                </pic:pic>
              </a:graphicData>
            </a:graphic>
          </wp:inline>
        </w:drawing>
      </w:r>
      <w:r>
        <w:rPr>
          <w:rFonts w:hint="default" w:ascii="Times New Roman" w:hAnsi="Times New Roman" w:eastAsia="仿宋_GB2312" w:cs="Times New Roman"/>
          <w:b/>
          <w:bCs/>
          <w:sz w:val="28"/>
          <w:szCs w:val="28"/>
          <w:highlight w:val="none"/>
          <w:lang w:eastAsia="zh-CN"/>
        </w:rPr>
        <w:drawing>
          <wp:inline distT="0" distB="0" distL="114300" distR="114300">
            <wp:extent cx="6186805" cy="8751570"/>
            <wp:effectExtent l="0" t="0" r="4445" b="11430"/>
            <wp:docPr id="16" name="图片 16" descr="长春国际物流经济开发区新兴建材产业园区建设项目水士保持行政许可承诺书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长春国际物流经济开发区新兴建材产业园区建设项目水士保持行政许可承诺书_02"/>
                    <pic:cNvPicPr>
                      <a:picLocks noChangeAspect="1"/>
                    </pic:cNvPicPr>
                  </pic:nvPicPr>
                  <pic:blipFill>
                    <a:blip r:embed="rId63"/>
                    <a:stretch>
                      <a:fillRect/>
                    </a:stretch>
                  </pic:blipFill>
                  <pic:spPr>
                    <a:xfrm>
                      <a:off x="0" y="0"/>
                      <a:ext cx="6186805" cy="8751570"/>
                    </a:xfrm>
                    <a:prstGeom prst="rect">
                      <a:avLst/>
                    </a:prstGeom>
                  </pic:spPr>
                </pic:pic>
              </a:graphicData>
            </a:graphic>
          </wp:inline>
        </w:drawing>
      </w:r>
    </w:p>
    <w:p>
      <w:pPr>
        <w:pStyle w:val="153"/>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仿宋_GB2312" w:cs="Times New Roman"/>
          <w:b/>
          <w:bCs/>
          <w:sz w:val="28"/>
          <w:szCs w:val="28"/>
          <w:highlight w:val="none"/>
          <w:lang w:eastAsia="zh-CN"/>
        </w:rPr>
        <w:sectPr>
          <w:pgSz w:w="11906" w:h="16838"/>
          <w:pgMar w:top="1440" w:right="1080" w:bottom="1440" w:left="108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153"/>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cs="Times New Roman"/>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sz w:val="20"/>
          <w:highlight w:val="none"/>
        </w:rPr>
      </w:pPr>
    </w:p>
    <w:p>
      <w:pPr>
        <w:pStyle w:val="35"/>
        <w:keepNext w:val="0"/>
        <w:keepLines w:val="0"/>
        <w:pageBreakBefore w:val="0"/>
        <w:widowControl w:val="0"/>
        <w:kinsoku/>
        <w:wordWrap/>
        <w:overflowPunct/>
        <w:topLinePunct w:val="0"/>
        <w:bidi w:val="0"/>
        <w:adjustRightInd/>
        <w:snapToGrid/>
        <w:spacing w:before="1"/>
        <w:ind w:left="0" w:right="0"/>
        <w:jc w:val="center"/>
        <w:textAlignment w:val="auto"/>
        <w:rPr>
          <w:rFonts w:hint="default" w:ascii="Times New Roman" w:hAnsi="Times New Roman" w:cs="Times New Roman"/>
          <w:sz w:val="25"/>
          <w:highlight w:val="none"/>
        </w:rPr>
      </w:pPr>
    </w:p>
    <w:p>
      <w:pPr>
        <w:keepNext w:val="0"/>
        <w:keepLines w:val="0"/>
        <w:pageBreakBefore w:val="0"/>
        <w:widowControl w:val="0"/>
        <w:kinsoku/>
        <w:wordWrap/>
        <w:overflowPunct/>
        <w:topLinePunct w:val="0"/>
        <w:bidi w:val="0"/>
        <w:adjustRightInd/>
        <w:snapToGrid/>
        <w:spacing w:before="38"/>
        <w:ind w:left="0" w:right="0"/>
        <w:jc w:val="center"/>
        <w:textAlignment w:val="auto"/>
        <w:rPr>
          <w:rFonts w:hint="eastAsia" w:cs="Times New Roman"/>
          <w:b/>
          <w:sz w:val="36"/>
          <w:szCs w:val="36"/>
          <w:highlight w:val="none"/>
          <w:lang w:eastAsia="zh-CN"/>
        </w:rPr>
      </w:pPr>
      <w:r>
        <w:rPr>
          <w:rFonts w:hint="eastAsia" w:cs="Times New Roman"/>
          <w:b/>
          <w:sz w:val="36"/>
          <w:szCs w:val="36"/>
          <w:highlight w:val="none"/>
          <w:lang w:val="en-US" w:eastAsia="zh-CN"/>
        </w:rPr>
        <w:t>长春国际物流经济开发区新兴建材产业园区建设</w:t>
      </w:r>
      <w:r>
        <w:rPr>
          <w:rFonts w:hint="eastAsia" w:cs="Times New Roman"/>
          <w:b/>
          <w:sz w:val="36"/>
          <w:szCs w:val="36"/>
          <w:highlight w:val="none"/>
          <w:lang w:eastAsia="zh-CN"/>
        </w:rPr>
        <w:t>项目</w:t>
      </w:r>
    </w:p>
    <w:p>
      <w:pPr>
        <w:keepNext w:val="0"/>
        <w:keepLines w:val="0"/>
        <w:pageBreakBefore w:val="0"/>
        <w:widowControl w:val="0"/>
        <w:kinsoku/>
        <w:wordWrap/>
        <w:overflowPunct/>
        <w:topLinePunct w:val="0"/>
        <w:bidi w:val="0"/>
        <w:adjustRightInd/>
        <w:snapToGrid/>
        <w:spacing w:before="38"/>
        <w:ind w:left="0" w:right="0"/>
        <w:jc w:val="center"/>
        <w:textAlignment w:val="auto"/>
        <w:rPr>
          <w:rFonts w:hint="default" w:ascii="Times New Roman" w:hAnsi="Times New Roman" w:eastAsia="宋体" w:cs="Times New Roman"/>
          <w:b/>
          <w:sz w:val="36"/>
          <w:szCs w:val="36"/>
          <w:highlight w:val="none"/>
          <w:lang w:eastAsia="zh-CN"/>
        </w:rPr>
      </w:pPr>
      <w:r>
        <w:rPr>
          <w:rFonts w:hint="eastAsia" w:cs="Times New Roman"/>
          <w:b/>
          <w:sz w:val="36"/>
          <w:szCs w:val="36"/>
          <w:highlight w:val="none"/>
          <w:lang w:eastAsia="zh-CN"/>
        </w:rPr>
        <w:t>（</w:t>
      </w:r>
      <w:r>
        <w:rPr>
          <w:rFonts w:hint="eastAsia" w:cs="Times New Roman"/>
          <w:b/>
          <w:sz w:val="36"/>
          <w:szCs w:val="36"/>
          <w:highlight w:val="none"/>
          <w:lang w:val="en-US" w:eastAsia="zh-CN"/>
        </w:rPr>
        <w:t>B地块补充</w:t>
      </w:r>
      <w:r>
        <w:rPr>
          <w:rFonts w:hint="eastAsia" w:cs="Times New Roman"/>
          <w:b/>
          <w:sz w:val="36"/>
          <w:szCs w:val="36"/>
          <w:highlight w:val="none"/>
          <w:lang w:eastAsia="zh-CN"/>
        </w:rPr>
        <w:t>）</w:t>
      </w:r>
    </w:p>
    <w:p>
      <w:pPr>
        <w:pStyle w:val="35"/>
        <w:keepNext w:val="0"/>
        <w:keepLines w:val="0"/>
        <w:pageBreakBefore w:val="0"/>
        <w:widowControl w:val="0"/>
        <w:kinsoku/>
        <w:wordWrap/>
        <w:overflowPunct/>
        <w:topLinePunct w:val="0"/>
        <w:bidi w:val="0"/>
        <w:adjustRightInd/>
        <w:snapToGrid/>
        <w:spacing w:before="7"/>
        <w:ind w:left="0" w:right="0"/>
        <w:jc w:val="center"/>
        <w:textAlignment w:val="auto"/>
        <w:rPr>
          <w:rFonts w:hint="default" w:ascii="Times New Roman" w:hAnsi="Times New Roman" w:cs="Times New Roman"/>
          <w:b/>
          <w:sz w:val="38"/>
          <w:highlight w:val="none"/>
        </w:rPr>
      </w:pPr>
    </w:p>
    <w:p>
      <w:pPr>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eastAsia="黑体" w:cs="Times New Roman"/>
          <w:b/>
          <w:sz w:val="72"/>
          <w:szCs w:val="72"/>
          <w:highlight w:val="none"/>
        </w:rPr>
      </w:pPr>
      <w:r>
        <w:rPr>
          <w:rFonts w:hint="default" w:ascii="Times New Roman" w:hAnsi="Times New Roman" w:eastAsia="黑体" w:cs="Times New Roman"/>
          <w:b/>
          <w:sz w:val="72"/>
          <w:szCs w:val="72"/>
          <w:highlight w:val="none"/>
        </w:rPr>
        <w:t>水土保持方案报告书</w:t>
      </w:r>
    </w:p>
    <w:p>
      <w:pPr>
        <w:pStyle w:val="152"/>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eastAsia="宋体" w:cs="Times New Roman"/>
          <w:b/>
          <w:sz w:val="44"/>
          <w:szCs w:val="44"/>
          <w:highlight w:val="none"/>
          <w:lang w:val="en-US" w:eastAsia="zh-CN"/>
        </w:rPr>
      </w:pPr>
      <w:r>
        <w:rPr>
          <w:rFonts w:hint="default" w:ascii="Times New Roman" w:hAnsi="Times New Roman" w:cs="Times New Roman"/>
          <w:b/>
          <w:sz w:val="44"/>
          <w:szCs w:val="44"/>
          <w:highlight w:val="none"/>
          <w:lang w:val="en-US" w:eastAsia="zh-CN"/>
        </w:rPr>
        <w:t>附图</w:t>
      </w: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5"/>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right="0" w:firstLine="1600" w:firstLineChars="500"/>
        <w:jc w:val="left"/>
        <w:textAlignment w:val="auto"/>
        <w:rPr>
          <w:rFonts w:hint="default" w:ascii="Times New Roman" w:hAnsi="Times New Roman" w:cs="Times New Roman"/>
          <w:sz w:val="32"/>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right="0" w:firstLine="1600" w:firstLineChars="500"/>
        <w:jc w:val="left"/>
        <w:textAlignment w:val="auto"/>
        <w:rPr>
          <w:rFonts w:hint="default" w:ascii="Times New Roman" w:hAnsi="Times New Roman" w:cs="Times New Roman"/>
          <w:sz w:val="32"/>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right="0" w:firstLine="1600" w:firstLineChars="500"/>
        <w:jc w:val="left"/>
        <w:textAlignment w:val="auto"/>
        <w:rPr>
          <w:rFonts w:hint="default" w:ascii="Times New Roman" w:hAnsi="Times New Roman" w:cs="Times New Roman"/>
          <w:sz w:val="32"/>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right="0" w:firstLine="1600" w:firstLineChars="500"/>
        <w:jc w:val="left"/>
        <w:textAlignment w:val="auto"/>
        <w:rPr>
          <w:rFonts w:hint="default" w:ascii="Times New Roman" w:hAnsi="Times New Roman" w:eastAsia="宋体" w:cs="Times New Roman"/>
          <w:sz w:val="32"/>
          <w:highlight w:val="none"/>
          <w:lang w:eastAsia="zh-CN"/>
        </w:rPr>
      </w:pPr>
      <w:r>
        <w:rPr>
          <w:rFonts w:hint="default" w:ascii="Times New Roman" w:hAnsi="Times New Roman" w:cs="Times New Roman"/>
          <w:sz w:val="32"/>
          <w:highlight w:val="none"/>
        </w:rPr>
        <w:t>建设单位：</w:t>
      </w:r>
      <w:r>
        <w:rPr>
          <w:rFonts w:hint="default" w:ascii="Times New Roman" w:hAnsi="Times New Roman" w:cs="Times New Roman"/>
          <w:sz w:val="32"/>
          <w:highlight w:val="none"/>
          <w:lang w:eastAsia="zh-CN"/>
        </w:rPr>
        <w:t>长春市瑞通投资有限公司</w:t>
      </w:r>
    </w:p>
    <w:p>
      <w:pPr>
        <w:keepNext w:val="0"/>
        <w:keepLines w:val="0"/>
        <w:pageBreakBefore w:val="0"/>
        <w:widowControl w:val="0"/>
        <w:tabs>
          <w:tab w:val="left" w:pos="5288"/>
        </w:tabs>
        <w:kinsoku/>
        <w:wordWrap/>
        <w:overflowPunct/>
        <w:topLinePunct w:val="0"/>
        <w:autoSpaceDE/>
        <w:autoSpaceDN/>
        <w:bidi w:val="0"/>
        <w:adjustRightInd/>
        <w:snapToGrid/>
        <w:spacing w:line="360" w:lineRule="auto"/>
        <w:ind w:left="0" w:right="0" w:firstLine="1600" w:firstLineChars="500"/>
        <w:jc w:val="left"/>
        <w:textAlignment w:val="auto"/>
        <w:rPr>
          <w:rFonts w:hint="default" w:cs="Times New Roman"/>
          <w:sz w:val="32"/>
          <w:highlight w:val="none"/>
          <w:lang w:eastAsia="zh-CN"/>
        </w:rPr>
      </w:pPr>
      <w:r>
        <w:rPr>
          <w:rFonts w:hint="default" w:ascii="Times New Roman" w:hAnsi="Times New Roman" w:cs="Times New Roman"/>
          <w:sz w:val="32"/>
          <w:highlight w:val="none"/>
        </w:rPr>
        <w:t>编制单位：</w:t>
      </w:r>
      <w:r>
        <w:rPr>
          <w:rFonts w:hint="eastAsia" w:cs="Times New Roman"/>
          <w:sz w:val="32"/>
          <w:highlight w:val="none"/>
          <w:lang w:eastAsia="zh-CN"/>
        </w:rPr>
        <w:t>吉林省晟元工程咨询有限公司</w:t>
      </w:r>
    </w:p>
    <w:sectPr>
      <w:headerReference r:id="rId38" w:type="default"/>
      <w:footerReference r:id="rId39" w:type="default"/>
      <w:pgSz w:w="11906" w:h="16838"/>
      <w:pgMar w:top="1080" w:right="1440" w:bottom="1080" w:left="144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君" w:date="2023-07-31T16:55:13Z" w:initials="">
    <w:p w14:paraId="0FD2783B">
      <w:pPr>
        <w:pStyle w:val="29"/>
        <w:rPr>
          <w:rFonts w:hint="eastAsia"/>
          <w:lang w:val="en-US" w:eastAsia="zh-CN"/>
        </w:rPr>
      </w:pPr>
      <w:r>
        <w:rPr>
          <w:rFonts w:hint="eastAsia"/>
          <w:lang w:val="en-US" w:eastAsia="zh-CN"/>
        </w:rPr>
        <w:t>这几个大图上最好能区分一下A地块和B地块</w:t>
      </w:r>
    </w:p>
    <w:p w14:paraId="00A8087A">
      <w:pPr>
        <w:pStyle w:val="29"/>
        <w:rPr>
          <w:rFonts w:hint="eastAsia"/>
          <w:lang w:val="en-US" w:eastAsia="zh-CN"/>
        </w:rPr>
      </w:pPr>
    </w:p>
    <w:p w14:paraId="5C925057">
      <w:pPr>
        <w:pStyle w:val="29"/>
        <w:rPr>
          <w:rFonts w:hint="default"/>
          <w:lang w:val="en-US" w:eastAsia="zh-CN"/>
        </w:rPr>
      </w:pPr>
      <w:r>
        <w:rPr>
          <w:rFonts w:hint="eastAsia"/>
          <w:lang w:val="en-US" w:eastAsia="zh-CN"/>
        </w:rPr>
        <w:t>根据打印图纸的大小复核比例尺；1:1000的不对</w:t>
      </w:r>
    </w:p>
  </w:comment>
  <w:comment w:id="1" w:author="Lily" w:date="2023-08-02T09:22:20Z" w:initials="">
    <w:p w14:paraId="7DA31A3B">
      <w:pPr>
        <w:pStyle w:val="29"/>
        <w:rPr>
          <w:rFonts w:hint="default" w:eastAsia="宋体"/>
          <w:lang w:val="en-US" w:eastAsia="zh-CN"/>
        </w:rPr>
      </w:pPr>
      <w:r>
        <w:rPr>
          <w:rFonts w:hint="eastAsia"/>
          <w:lang w:val="en-US" w:eastAsia="zh-CN"/>
        </w:rPr>
        <w:t>总体布置都是B地块，A地块没体现</w:t>
      </w:r>
    </w:p>
  </w:comment>
  <w:comment w:id="2" w:author="君" w:date="2023-07-31T16:33:38Z" w:initials="">
    <w:p w14:paraId="0E4E73F5">
      <w:pPr>
        <w:pStyle w:val="29"/>
        <w:rPr>
          <w:rFonts w:hint="eastAsia"/>
          <w:lang w:val="en-US" w:eastAsia="zh-CN"/>
        </w:rPr>
      </w:pPr>
      <w:r>
        <w:rPr>
          <w:rFonts w:hint="eastAsia"/>
          <w:lang w:val="en-US" w:eastAsia="zh-CN"/>
        </w:rPr>
        <w:t>确定吗，这么一点高差需要这么多的台阶吗？</w:t>
      </w:r>
    </w:p>
    <w:p w14:paraId="2A856A86">
      <w:pPr>
        <w:pStyle w:val="29"/>
        <w:rPr>
          <w:rFonts w:hint="eastAsia"/>
          <w:lang w:val="en-US" w:eastAsia="zh-CN"/>
        </w:rPr>
      </w:pPr>
    </w:p>
    <w:p w14:paraId="7ACB2943">
      <w:pPr>
        <w:pStyle w:val="29"/>
        <w:rPr>
          <w:rFonts w:hint="default"/>
          <w:lang w:val="en-US" w:eastAsia="zh-CN"/>
        </w:rPr>
      </w:pPr>
      <w:r>
        <w:rPr>
          <w:rFonts w:hint="eastAsia"/>
          <w:lang w:val="en-US" w:eastAsia="zh-CN"/>
        </w:rPr>
        <w:t>和建设单位复核到底是不是台阶式布局</w:t>
      </w:r>
    </w:p>
  </w:comment>
  <w:comment w:id="3" w:author="Lily" w:date="2023-08-02T09:23:19Z" w:initials="">
    <w:p w14:paraId="20E83F19">
      <w:pPr>
        <w:pStyle w:val="29"/>
      </w:pPr>
      <w:r>
        <w:rPr>
          <w:rFonts w:hint="eastAsia"/>
          <w:lang w:val="en-US" w:eastAsia="zh-CN"/>
        </w:rPr>
        <w:t>施工单位回复：</w:t>
      </w:r>
      <w:r>
        <w:rPr>
          <w:rFonts w:hint="eastAsia"/>
        </w:rPr>
        <w:t>10米高差，大概两米一个建筑一个台地</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C925057" w15:done="0"/>
  <w15:commentEx w15:paraId="7DA31A3B" w15:done="0" w15:paraIdParent="5C925057"/>
  <w15:commentEx w15:paraId="7ACB2943" w15:done="0"/>
  <w15:commentEx w15:paraId="20E83F19" w15:done="0" w15:paraIdParent="7ACB2943"/>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40001" w:csb1="00000000"/>
  </w:font>
  <w:font w:name="ISOCT">
    <w:panose1 w:val="00000400000000000000"/>
    <w:charset w:val="00"/>
    <w:family w:val="auto"/>
    <w:pitch w:val="default"/>
    <w:sig w:usb0="00000007" w:usb1="00000000" w:usb2="00000000" w:usb3="00000000" w:csb0="000001FF" w:csb1="00000000"/>
  </w:font>
  <w:font w:name="Bradley Hand ITC">
    <w:panose1 w:val="03070402050302030203"/>
    <w:charset w:val="00"/>
    <w:family w:val="script"/>
    <w:pitch w:val="default"/>
    <w:sig w:usb0="00000003" w:usb1="00000000" w:usb2="00000000" w:usb3="00000000" w:csb0="20000001" w:csb1="00000000"/>
  </w:font>
  <w:font w:name="新宋体">
    <w:panose1 w:val="02010609030101010101"/>
    <w:charset w:val="86"/>
    <w:family w:val="modern"/>
    <w:pitch w:val="default"/>
    <w:sig w:usb0="0000028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隶书">
    <w:panose1 w:val="0201050906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汉仪旗黑-55简">
    <w:altName w:val="黑体"/>
    <w:panose1 w:val="00020600040101010101"/>
    <w:charset w:val="8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pBdr>
        <w:top w:val="single" w:color="auto" w:sz="4" w:space="1"/>
      </w:pBdr>
      <w:jc w:val="right"/>
      <w:rPr>
        <w:rFonts w:hint="default" w:ascii="仿宋_GB2312" w:eastAsia="仿宋_GB2312"/>
        <w:lang w:val="en-US"/>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1"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40"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lraWbN8BAADBAwAADgAAAAAA&#10;AAABACAAAAAeAQAAZHJzL2Uyb0RvYy54bWxQSwUGAAAAAAYABgBZAQAAbwUAAAAA&#10;">
              <v:fill on="f" focussize="0,0"/>
              <v:stroke on="f"/>
              <v:imagedata o:title=""/>
              <o:lock v:ext="edit" aspectratio="f"/>
              <v:textbox inset="0mm,0mm,0mm,0mm" style="mso-fit-shape-to-text:t;">
                <w:txbxContent>
                  <w:p>
                    <w:pPr>
                      <w:pStyle w:val="57"/>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仿宋_GB2312" w:eastAsia="仿宋_GB2312"/>
        <w:lang w:val="en-US" w:eastAsia="zh-CN"/>
      </w:rPr>
      <w:t>吉林省晟元工程咨询有限公司</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pBdr>
        <w:top w:val="single" w:color="auto" w:sz="4" w:space="1"/>
      </w:pBdr>
      <w:jc w:val="right"/>
      <w:rPr>
        <w:rFonts w:hint="eastAsia" w:ascii="仿宋_GB2312" w:eastAsia="宋体"/>
        <w:szCs w:val="21"/>
        <w:lang w:eastAsia="zh-CN"/>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4"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2eg7rt8BAADBAwAADgAAAAAA&#10;AAABACAAAAAeAQAAZHJzL2Uyb0RvYy54bWxQSwUGAAAAAAYABgBZAQAAbwUAAAAA&#10;">
              <v:fill on="f" focussize="0,0"/>
              <v:stroke on="f"/>
              <v:imagedata o:title=""/>
              <o:lock v:ext="edit" aspectratio="f"/>
              <v:textbox inset="0mm,0mm,0mm,0mm" style="mso-fit-shape-to-text:t;">
                <w:txbxContent>
                  <w:p>
                    <w:pPr>
                      <w:pStyle w:val="57"/>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eastAsia="仿宋_GB2312"/>
        <w:lang w:eastAsia="zh-CN"/>
      </w:rPr>
      <w:t>吉林省晟元工程咨询有限公司</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spacing w:line="240" w:lineRule="auto"/>
      <w:ind w:right="182"/>
      <w:jc w:val="right"/>
      <w:textAlignment w:val="auto"/>
      <w:rPr>
        <w:rFonts w:hint="eastAsia"/>
        <w:lang w:eastAsia="zh-CN"/>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1"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 PAGE  \* MERGEFORMAT </w:instrText>
                          </w:r>
                          <w:r>
                            <w:fldChar w:fldCharType="separate"/>
                          </w:r>
                          <w:r>
                            <w:t>70</w:t>
                          </w:r>
                          <w:r>
                            <w:fldChar w:fldCharType="end"/>
                          </w:r>
                        </w:p>
                      </w:txbxContent>
                    </wps:txbx>
                    <wps:bodyPr vert="horz" wrap="none" lIns="0" tIns="0" rIns="0" bIns="0" anchor="t" anchorCtr="0" upright="0">
                      <a:spAutoFit/>
                    </wps:bodyPr>
                  </wps:wsp>
                </a:graphicData>
              </a:graphic>
            </wp:anchor>
          </w:drawing>
        </mc:Choice>
        <mc:Fallback>
          <w:pict>
            <v:shape id="文本框 55"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Ij8P9zgAQAAwQMAAA4AAAAA&#10;AAAAAQAgAAAAHgEAAGRycy9lMm9Eb2MueG1sUEsFBgAAAAAGAAYAWQEAAHAFAAAAAA==&#10;">
              <v:fill on="f" focussize="0,0"/>
              <v:stroke on="f"/>
              <v:imagedata o:title=""/>
              <o:lock v:ext="edit" aspectratio="f"/>
              <v:textbox inset="0mm,0mm,0mm,0mm" style="mso-fit-shape-to-text:t;">
                <w:txbxContent>
                  <w:p>
                    <w:pPr>
                      <w:pStyle w:val="57"/>
                    </w:pPr>
                    <w:r>
                      <w:fldChar w:fldCharType="begin"/>
                    </w:r>
                    <w:r>
                      <w:instrText xml:space="preserve"> PAGE  \* MERGEFORMAT </w:instrText>
                    </w:r>
                    <w:r>
                      <w:fldChar w:fldCharType="separate"/>
                    </w:r>
                    <w:r>
                      <w:t>70</w:t>
                    </w:r>
                    <w:r>
                      <w:fldChar w:fldCharType="end"/>
                    </w:r>
                  </w:p>
                </w:txbxContent>
              </v:textbox>
            </v:shape>
          </w:pict>
        </mc:Fallback>
      </mc:AlternateContent>
    </w:r>
    <w:r>
      <w:rPr>
        <w:sz w:val="18"/>
        <w:szCs w:val="18"/>
      </w:rPr>
      <mc:AlternateContent>
        <mc:Choice Requires="wps">
          <w:drawing>
            <wp:anchor distT="0" distB="0" distL="114300" distR="114300" simplePos="0" relativeHeight="251676672" behindDoc="0" locked="0" layoutInCell="0" allowOverlap="1">
              <wp:simplePos x="0" y="0"/>
              <wp:positionH relativeFrom="page">
                <wp:posOffset>1150620</wp:posOffset>
              </wp:positionH>
              <wp:positionV relativeFrom="page">
                <wp:posOffset>9805035</wp:posOffset>
              </wp:positionV>
              <wp:extent cx="5278755" cy="6350"/>
              <wp:effectExtent l="0" t="0" r="0" b="0"/>
              <wp:wrapNone/>
              <wp:docPr id="140" name="任意多边形 54"/>
              <wp:cNvGraphicFramePr/>
              <a:graphic xmlns:a="http://schemas.openxmlformats.org/drawingml/2006/main">
                <a:graphicData uri="http://schemas.microsoft.com/office/word/2010/wordprocessingShape">
                  <wps:wsp>
                    <wps:cNvSpPr/>
                    <wps:spPr>
                      <a:xfrm>
                        <a:off x="0" y="0"/>
                        <a:ext cx="5278755" cy="6350"/>
                      </a:xfrm>
                      <a:custGeom>
                        <a:avLst/>
                        <a:gdLst/>
                        <a:ahLst/>
                        <a:cxnLst/>
                        <a:pathLst>
                          <a:path w="8312" h="10">
                            <a:moveTo>
                              <a:pt x="0" y="0"/>
                            </a:moveTo>
                            <a:lnTo>
                              <a:pt x="8312" y="0"/>
                            </a:lnTo>
                            <a:lnTo>
                              <a:pt x="8312" y="9"/>
                            </a:lnTo>
                            <a:lnTo>
                              <a:pt x="0" y="9"/>
                            </a:lnTo>
                            <a:lnTo>
                              <a:pt x="0" y="0"/>
                            </a:lnTo>
                            <a:close/>
                          </a:path>
                        </a:pathLst>
                      </a:custGeom>
                      <a:solidFill>
                        <a:srgbClr val="000000"/>
                      </a:solidFill>
                      <a:ln>
                        <a:noFill/>
                      </a:ln>
                    </wps:spPr>
                    <wps:bodyPr wrap="square" upright="1"/>
                  </wps:wsp>
                </a:graphicData>
              </a:graphic>
            </wp:anchor>
          </w:drawing>
        </mc:Choice>
        <mc:Fallback>
          <w:pict>
            <v:shape id="任意多边形 54" o:spid="_x0000_s1026" o:spt="100" style="position:absolute;left:0pt;margin-left:90.6pt;margin-top:772.05pt;height:0.5pt;width:415.65pt;mso-position-horizontal-relative:page;mso-position-vertical-relative:page;z-index:251676672;mso-width-relative:page;mso-height-relative:page;" fillcolor="#000000" filled="t" stroked="f" coordsize="8312,10" o:allowincell="f" o:gfxdata="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F4LZkPaAAAA&#10;DgEAAA8AAAAAAAAAAQAgAAAAIgAAAGRycy9kb3ducmV2LnhtbFBLAQIUABQAAAAIAIdO4kBfQZQF&#10;GwIAAIoEAAAOAAAAAAAAAAEAIAAAACkBAABkcnMvZTJvRG9jLnhtbFBLBQYAAAAABgAGAFkBAAC2&#10;BQAAAAA=&#10;" path="m0,0l8312,0,8312,9,0,9,0,0xe">
              <v:fill on="t" focussize="0,0"/>
              <v:stroke on="f"/>
              <v:imagedata o:title=""/>
              <o:lock v:ext="edit" aspectratio="f"/>
            </v:shape>
          </w:pict>
        </mc:Fallback>
      </mc:AlternateContent>
    </w:r>
    <w:r>
      <w:rPr>
        <w:rFonts w:hint="eastAsia" w:ascii="仿宋" w:hAnsi="仿宋" w:eastAsia="仿宋" w:cs="仿宋"/>
        <w:spacing w:val="3"/>
        <w:sz w:val="18"/>
        <w:szCs w:val="18"/>
        <w:lang w:eastAsia="zh-CN"/>
      </w:rPr>
      <w:t>吉林省晟元工程咨询有限公司</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62" w:line="233" w:lineRule="auto"/>
      <w:ind w:left="30"/>
      <w:jc w:val="right"/>
      <w:rPr>
        <w:rFonts w:ascii="Times New Roman" w:hAnsi="Times New Roman" w:eastAsia="Times New Roman" w:cs="Times New Roman"/>
        <w:sz w:val="17"/>
        <w:szCs w:val="17"/>
      </w:rPr>
    </w:pPr>
    <w:r>
      <w:rPr>
        <w:sz w:val="21"/>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1" name="文本框 1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7"/>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ii83ozAgAAZQ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ii83ozAgAAZQQAAA4AAAAAAAAAAQAgAAAAHwEAAGRycy9lMm9Eb2MueG1sUEsF&#10;BgAAAAAGAAYAWQEAAMQFAAAAAA==&#10;">
              <v:fill on="f" focussize="0,0"/>
              <v:stroke on="f" weight="0.5pt"/>
              <v:imagedata o:title=""/>
              <o:lock v:ext="edit" aspectratio="f"/>
              <v:textbox inset="0mm,0mm,0mm,0mm" style="mso-fit-shape-to-text:t;">
                <w:txbxContent>
                  <w:p>
                    <w:pPr>
                      <w:pStyle w:val="57"/>
                    </w:pPr>
                    <w:r>
                      <w:fldChar w:fldCharType="begin"/>
                    </w:r>
                    <w:r>
                      <w:instrText xml:space="preserve"> PAGE  \* MERGEFORMAT </w:instrText>
                    </w:r>
                    <w:r>
                      <w:fldChar w:fldCharType="separate"/>
                    </w:r>
                    <w:r>
                      <w:t>73</w:t>
                    </w:r>
                    <w:r>
                      <w:fldChar w:fldCharType="end"/>
                    </w:r>
                  </w:p>
                </w:txbxContent>
              </v:textbox>
            </v:shape>
          </w:pict>
        </mc:Fallback>
      </mc:AlternateContent>
    </w:r>
    <w:r>
      <mc:AlternateContent>
        <mc:Choice Requires="wps">
          <w:drawing>
            <wp:anchor distT="0" distB="0" distL="114300" distR="114300" simplePos="0" relativeHeight="251680768" behindDoc="0" locked="0" layoutInCell="0" allowOverlap="1">
              <wp:simplePos x="0" y="0"/>
              <wp:positionH relativeFrom="page">
                <wp:posOffset>1141095</wp:posOffset>
              </wp:positionH>
              <wp:positionV relativeFrom="page">
                <wp:posOffset>9890760</wp:posOffset>
              </wp:positionV>
              <wp:extent cx="5278755" cy="6350"/>
              <wp:effectExtent l="0" t="0" r="0" b="0"/>
              <wp:wrapNone/>
              <wp:docPr id="163" name="任意多边形 163"/>
              <wp:cNvGraphicFramePr/>
              <a:graphic xmlns:a="http://schemas.openxmlformats.org/drawingml/2006/main">
                <a:graphicData uri="http://schemas.microsoft.com/office/word/2010/wordprocessingShape">
                  <wps:wsp>
                    <wps:cNvSpPr/>
                    <wps:spPr>
                      <a:xfrm>
                        <a:off x="0" y="0"/>
                        <a:ext cx="5278755" cy="6350"/>
                      </a:xfrm>
                      <a:custGeom>
                        <a:avLst/>
                        <a:gdLst/>
                        <a:ahLst/>
                        <a:cxnLst/>
                        <a:pathLst>
                          <a:path w="8312" h="10">
                            <a:moveTo>
                              <a:pt x="0" y="0"/>
                            </a:moveTo>
                            <a:lnTo>
                              <a:pt x="8312" y="0"/>
                            </a:lnTo>
                            <a:lnTo>
                              <a:pt x="8312"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9.85pt;margin-top:778.8pt;height:0.5pt;width:415.65pt;mso-position-horizontal-relative:page;mso-position-vertical-relative:page;z-index:251680768;mso-width-relative:page;mso-height-relative:page;" fillcolor="#000000" filled="t" stroked="f" coordsize="8312,10" o:allowincell="f" o:gfxdata="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Z8SedgAAAAOAQAADwAAAAAAAAAB&#10;ACAAAAAiAAAAZHJzL2Rvd25yZXYueG1sUEsBAhQAFAAAAAgAh07iQAIOkg4QAgAAfQQAAA4AAAAA&#10;AAAAAQAgAAAAJwEAAGRycy9lMm9Eb2MueG1sUEsFBgAAAAAGAAYAWQEAAKkFAAAAAA==&#10;" path="m0,0l8312,0,8312,9,0,9,0,0xe">
              <v:fill on="t" focussize="0,0"/>
              <v:stroke on="f"/>
              <v:imagedata o:title=""/>
              <o:lock v:ext="edit" aspectratio="f"/>
            </v:shape>
          </w:pict>
        </mc:Fallback>
      </mc:AlternateContent>
    </w:r>
    <w:r>
      <w:rPr>
        <w:rFonts w:hint="eastAsia" w:ascii="仿宋" w:hAnsi="仿宋" w:eastAsia="仿宋" w:cs="仿宋"/>
        <w:spacing w:val="3"/>
        <w:sz w:val="18"/>
        <w:szCs w:val="18"/>
        <w:lang w:eastAsia="zh-CN"/>
      </w:rPr>
      <w:t>吉林省晟元工程咨询有限公司</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rPr>
        <w:rFonts w:hint="eastAsia"/>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rPr>
        <w:rFonts w:hint="eastAsia"/>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rPr>
        <w:rFonts w:hint="eastAsia"/>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pBdr>
        <w:top w:val="single" w:color="auto" w:sz="4" w:space="1"/>
      </w:pBdr>
      <w:jc w:val="right"/>
      <w:rPr>
        <w:rFonts w:hint="eastAsia" w:ascii="仿宋_GB2312" w:eastAsia="宋体"/>
        <w:lang w:eastAsia="zh-CN"/>
      </w:rPr>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5"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 PAGE  \* MERGEFORMAT </w:instrText>
                          </w:r>
                          <w:r>
                            <w:fldChar w:fldCharType="separate"/>
                          </w:r>
                          <w:r>
                            <w:t>IV</w:t>
                          </w:r>
                          <w:r>
                            <w:fldChar w:fldCharType="end"/>
                          </w:r>
                        </w:p>
                      </w:txbxContent>
                    </wps:txbx>
                    <wps:bodyPr wrap="none" lIns="0" tIns="0" rIns="0" bIns="0" upright="0">
                      <a:spAutoFit/>
                    </wps:bodyPr>
                  </wps:wsp>
                </a:graphicData>
              </a:graphic>
            </wp:anchor>
          </w:drawing>
        </mc:Choice>
        <mc:Fallback>
          <w:pict>
            <v:shape id="文本框 14"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zYS58oBAACcAwAADgAAAGRycy9lMm9Eb2MueG1srVPNjtMwEL4j8Q6W&#10;79RpB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lvchNUrShy3OPLL92+XH78uP7+S&#10;5cusUB+gxsS7gKlpeOsHzJ79gM5MfFDR5i9SIhhHfc9XfeWQiMiP1qv1usKQwNh8QXz28DxESO+k&#10;tyQbDY04wKIrP32ANKbOKbma87famDJE4/5yIGb2sNz72GO20rAfJkJ7356RT4+zb6jDVafEvHco&#10;bV6T2YizsZ+NY4j60JU9yvUgvDkmbKL0liuMsFNhHFphNy1Y3oo/7yXr4afa/g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szYS58oBAACcAwAADgAAAAAAAAABACAAAAAeAQAAZHJzL2Uyb0Rv&#10;Yy54bWxQSwUGAAAAAAYABgBZAQAAWgUAAAAA&#10;">
              <v:fill on="f" focussize="0,0"/>
              <v:stroke on="f"/>
              <v:imagedata o:title=""/>
              <o:lock v:ext="edit" aspectratio="f"/>
              <v:textbox inset="0mm,0mm,0mm,0mm" style="mso-fit-shape-to-text:t;">
                <w:txbxContent>
                  <w:p>
                    <w:pPr>
                      <w:pStyle w:val="57"/>
                    </w:pPr>
                    <w:r>
                      <w:fldChar w:fldCharType="begin"/>
                    </w:r>
                    <w:r>
                      <w:instrText xml:space="preserve"> PAGE  \* MERGEFORMAT </w:instrText>
                    </w:r>
                    <w:r>
                      <w:fldChar w:fldCharType="separate"/>
                    </w:r>
                    <w:r>
                      <w:t>IV</w:t>
                    </w:r>
                    <w:r>
                      <w:fldChar w:fldCharType="end"/>
                    </w:r>
                  </w:p>
                </w:txbxContent>
              </v:textbox>
            </v:shape>
          </w:pict>
        </mc:Fallback>
      </mc:AlternateContent>
    </w:r>
    <w:r>
      <w:rPr>
        <w:rFonts w:hint="eastAsia" w:eastAsia="仿宋_GB2312"/>
        <w:lang w:eastAsia="zh-CN"/>
      </w:rPr>
      <w:t>吉林省晟元工程咨询有限公司</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pBdr>
        <w:top w:val="single" w:color="auto" w:sz="4" w:space="1"/>
      </w:pBdr>
      <w:jc w:val="right"/>
      <w:rPr>
        <w:rFonts w:hint="eastAsia" w:ascii="仿宋_GB2312" w:eastAsia="宋体"/>
        <w:lang w:eastAsia="zh-CN"/>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ueNB83gEAAMADAAAOAAAAAAAA&#10;AAEAIAAAAB4BAABkcnMvZTJvRG9jLnhtbFBLBQYAAAAABgAGAFkBAABuBQAAAAA=&#10;">
              <v:fill on="f" focussize="0,0"/>
              <v:stroke on="f"/>
              <v:imagedata o:title=""/>
              <o:lock v:ext="edit" aspectratio="f"/>
              <v:textbox inset="0mm,0mm,0mm,0mm" style="mso-fit-shape-to-text:t;">
                <w:txbxContent>
                  <w:p>
                    <w:pPr>
                      <w:pStyle w:val="57"/>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eastAsia="仿宋_GB2312"/>
        <w:lang w:eastAsia="zh-CN"/>
      </w:rPr>
      <w:t>吉林省晟元工程咨询有限公司</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pBdr>
        <w:top w:val="single" w:color="auto" w:sz="4" w:space="1"/>
      </w:pBdr>
      <w:rPr>
        <w:rFonts w:hint="eastAsia" w:ascii="仿宋_GB2312" w:eastAsia="宋体"/>
        <w:szCs w:val="21"/>
        <w:lang w:eastAsia="zh-CN"/>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3"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F2vUA98BAADAAwAADgAAAAAA&#10;AAABACAAAAAeAQAAZHJzL2Uyb0RvYy54bWxQSwUGAAAAAAYABgBZAQAAbwUAAAAA&#10;">
              <v:fill on="f" focussize="0,0"/>
              <v:stroke on="f"/>
              <v:imagedata o:title=""/>
              <o:lock v:ext="edit" aspectratio="f"/>
              <v:textbox inset="0mm,0mm,0mm,0mm" style="mso-fit-shape-to-text:t;">
                <w:txbxContent>
                  <w:p>
                    <w:pPr>
                      <w:pStyle w:val="57"/>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eastAsia="仿宋_GB2312"/>
        <w:lang w:eastAsia="zh-CN"/>
      </w:rPr>
      <w:t>吉林省晟元工程咨询有限公司</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62" w:line="233" w:lineRule="auto"/>
      <w:ind w:left="30"/>
      <w:jc w:val="right"/>
      <w:rPr>
        <w:rFonts w:ascii="Times New Roman" w:hAnsi="Times New Roman" w:eastAsia="Times New Roman" w:cs="Times New Roman"/>
        <w:sz w:val="17"/>
        <w:szCs w:val="17"/>
      </w:rPr>
    </w:pPr>
    <w:r>
      <w:rPr>
        <w:sz w:val="21"/>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2"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 PAGE  \* MERGEFORMAT </w:instrText>
                          </w:r>
                          <w:r>
                            <w:fldChar w:fldCharType="separate"/>
                          </w:r>
                          <w:r>
                            <w:t>11</w:t>
                          </w:r>
                          <w:r>
                            <w:fldChar w:fldCharType="end"/>
                          </w:r>
                        </w:p>
                      </w:txbxContent>
                    </wps:txbx>
                    <wps:bodyPr vert="horz" wrap="none" lIns="0" tIns="0" rIns="0" bIns="0" anchor="t" anchorCtr="0" upright="0">
                      <a:spAutoFit/>
                    </wps:bodyPr>
                  </wps:wsp>
                </a:graphicData>
              </a:graphic>
            </wp:anchor>
          </w:drawing>
        </mc:Choice>
        <mc:Fallback>
          <w:pict>
            <v:shape id="文本框 41"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K58I8bgAQAAwQMAAA4AAAAA&#10;AAAAAQAgAAAAHgEAAGRycy9lMm9Eb2MueG1sUEsFBgAAAAAGAAYAWQEAAHAFAAAAAA==&#10;">
              <v:fill on="f" focussize="0,0"/>
              <v:stroke on="f"/>
              <v:imagedata o:title=""/>
              <o:lock v:ext="edit" aspectratio="f"/>
              <v:textbox inset="0mm,0mm,0mm,0mm" style="mso-fit-shape-to-text:t;">
                <w:txbxContent>
                  <w:p>
                    <w:pPr>
                      <w:pStyle w:val="57"/>
                    </w:pPr>
                    <w:r>
                      <w:fldChar w:fldCharType="begin"/>
                    </w:r>
                    <w:r>
                      <w:instrText xml:space="preserve"> PAGE  \* MERGEFORMAT </w:instrText>
                    </w:r>
                    <w:r>
                      <w:fldChar w:fldCharType="separate"/>
                    </w:r>
                    <w:r>
                      <w:t>11</w:t>
                    </w:r>
                    <w:r>
                      <w:fldChar w:fldCharType="end"/>
                    </w:r>
                  </w:p>
                </w:txbxContent>
              </v:textbox>
            </v:shape>
          </w:pict>
        </mc:Fallback>
      </mc:AlternateContent>
    </w:r>
    <w:r>
      <mc:AlternateContent>
        <mc:Choice Requires="wps">
          <w:drawing>
            <wp:anchor distT="0" distB="0" distL="114300" distR="114300" simplePos="0" relativeHeight="251667456" behindDoc="0" locked="0" layoutInCell="0" allowOverlap="1">
              <wp:simplePos x="0" y="0"/>
              <wp:positionH relativeFrom="page">
                <wp:posOffset>1141095</wp:posOffset>
              </wp:positionH>
              <wp:positionV relativeFrom="page">
                <wp:posOffset>9890760</wp:posOffset>
              </wp:positionV>
              <wp:extent cx="5278755" cy="6350"/>
              <wp:effectExtent l="0" t="0" r="0" b="0"/>
              <wp:wrapNone/>
              <wp:docPr id="129" name="任意多边形 30"/>
              <wp:cNvGraphicFramePr/>
              <a:graphic xmlns:a="http://schemas.openxmlformats.org/drawingml/2006/main">
                <a:graphicData uri="http://schemas.microsoft.com/office/word/2010/wordprocessingShape">
                  <wps:wsp>
                    <wps:cNvSpPr/>
                    <wps:spPr>
                      <a:xfrm>
                        <a:off x="0" y="0"/>
                        <a:ext cx="5278755" cy="6350"/>
                      </a:xfrm>
                      <a:custGeom>
                        <a:avLst/>
                        <a:gdLst/>
                        <a:ahLst/>
                        <a:cxnLst/>
                        <a:pathLst>
                          <a:path w="8312" h="10">
                            <a:moveTo>
                              <a:pt x="0" y="0"/>
                            </a:moveTo>
                            <a:lnTo>
                              <a:pt x="8312" y="0"/>
                            </a:lnTo>
                            <a:lnTo>
                              <a:pt x="8312" y="9"/>
                            </a:lnTo>
                            <a:lnTo>
                              <a:pt x="0" y="9"/>
                            </a:lnTo>
                            <a:lnTo>
                              <a:pt x="0" y="0"/>
                            </a:lnTo>
                            <a:close/>
                          </a:path>
                        </a:pathLst>
                      </a:custGeom>
                      <a:solidFill>
                        <a:srgbClr val="000000"/>
                      </a:solidFill>
                      <a:ln>
                        <a:noFill/>
                      </a:ln>
                    </wps:spPr>
                    <wps:bodyPr wrap="square" upright="1"/>
                  </wps:wsp>
                </a:graphicData>
              </a:graphic>
            </wp:anchor>
          </w:drawing>
        </mc:Choice>
        <mc:Fallback>
          <w:pict>
            <v:shape id="任意多边形 30" o:spid="_x0000_s1026" o:spt="100" style="position:absolute;left:0pt;margin-left:89.85pt;margin-top:778.8pt;height:0.5pt;width:415.65pt;mso-position-horizontal-relative:page;mso-position-vertical-relative:page;z-index:251667456;mso-width-relative:page;mso-height-relative:page;" fillcolor="#000000" filled="t" stroked="f" coordsize="8312,10" o:allowincell="f" o:gfxdata="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mfEnnYAAAADgEA&#10;AA8AAAAAAAAAAQAgAAAAIgAAAGRycy9kb3ducmV2LnhtbFBLAQIUABQAAAAIAIdO4kDHxxBdGgIA&#10;AIoEAAAOAAAAAAAAAAEAIAAAACcBAABkcnMvZTJvRG9jLnhtbFBLBQYAAAAABgAGAFkBAACzBQAA&#10;AAA=&#10;" path="m0,0l8312,0,8312,9,0,9,0,0xe">
              <v:fill on="t" focussize="0,0"/>
              <v:stroke on="f"/>
              <v:imagedata o:title=""/>
              <o:lock v:ext="edit" aspectratio="f"/>
            </v:shape>
          </w:pict>
        </mc:Fallback>
      </mc:AlternateContent>
    </w:r>
    <w:r>
      <w:rPr>
        <w:rFonts w:hint="eastAsia" w:ascii="仿宋" w:hAnsi="仿宋" w:eastAsia="仿宋" w:cs="仿宋"/>
        <w:spacing w:val="5"/>
        <w:sz w:val="17"/>
        <w:szCs w:val="17"/>
        <w:lang w:eastAsia="zh-CN"/>
      </w:rPr>
      <w:t>吉林省晟元工程咨询有限公司</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62" w:line="233" w:lineRule="auto"/>
      <w:ind w:left="30"/>
      <w:jc w:val="right"/>
      <w:rPr>
        <w:rFonts w:ascii="Times New Roman" w:hAnsi="Times New Roman" w:eastAsia="Times New Roman" w:cs="Times New Roman"/>
        <w:sz w:val="17"/>
        <w:szCs w:val="17"/>
      </w:rPr>
    </w:pPr>
    <w:r>
      <mc:AlternateContent>
        <mc:Choice Requires="wps">
          <w:drawing>
            <wp:anchor distT="0" distB="0" distL="114300" distR="114300" simplePos="0" relativeHeight="251668480" behindDoc="0" locked="0" layoutInCell="0" allowOverlap="1">
              <wp:simplePos x="0" y="0"/>
              <wp:positionH relativeFrom="page">
                <wp:posOffset>1150620</wp:posOffset>
              </wp:positionH>
              <wp:positionV relativeFrom="page">
                <wp:posOffset>9833610</wp:posOffset>
              </wp:positionV>
              <wp:extent cx="5278755" cy="6350"/>
              <wp:effectExtent l="0" t="0" r="0" b="0"/>
              <wp:wrapNone/>
              <wp:docPr id="130" name="任意多边形 36"/>
              <wp:cNvGraphicFramePr/>
              <a:graphic xmlns:a="http://schemas.openxmlformats.org/drawingml/2006/main">
                <a:graphicData uri="http://schemas.microsoft.com/office/word/2010/wordprocessingShape">
                  <wps:wsp>
                    <wps:cNvSpPr/>
                    <wps:spPr>
                      <a:xfrm>
                        <a:off x="0" y="0"/>
                        <a:ext cx="5278755" cy="6350"/>
                      </a:xfrm>
                      <a:custGeom>
                        <a:avLst/>
                        <a:gdLst/>
                        <a:ahLst/>
                        <a:cxnLst/>
                        <a:pathLst>
                          <a:path w="8312" h="10">
                            <a:moveTo>
                              <a:pt x="0" y="0"/>
                            </a:moveTo>
                            <a:lnTo>
                              <a:pt x="8312" y="0"/>
                            </a:lnTo>
                            <a:lnTo>
                              <a:pt x="8312" y="9"/>
                            </a:lnTo>
                            <a:lnTo>
                              <a:pt x="0" y="9"/>
                            </a:lnTo>
                            <a:lnTo>
                              <a:pt x="0" y="0"/>
                            </a:lnTo>
                            <a:close/>
                          </a:path>
                        </a:pathLst>
                      </a:custGeom>
                      <a:solidFill>
                        <a:srgbClr val="000000"/>
                      </a:solidFill>
                      <a:ln>
                        <a:noFill/>
                      </a:ln>
                    </wps:spPr>
                    <wps:bodyPr wrap="square" upright="1"/>
                  </wps:wsp>
                </a:graphicData>
              </a:graphic>
            </wp:anchor>
          </w:drawing>
        </mc:Choice>
        <mc:Fallback>
          <w:pict>
            <v:shape id="任意多边形 36" o:spid="_x0000_s1026" o:spt="100" style="position:absolute;left:0pt;margin-left:90.6pt;margin-top:774.3pt;height:0.5pt;width:415.65pt;mso-position-horizontal-relative:page;mso-position-vertical-relative:page;z-index:251668480;mso-width-relative:page;mso-height-relative:page;" fillcolor="#000000" filled="t" stroked="f" coordsize="8312,10" o:allowincell="f" o:gfxdata="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wEtSQtoAAAAO&#10;AQAADwAAAAAAAAABACAAAAAiAAAAZHJzL2Rvd25yZXYueG1sUEsBAhQAFAAAAAgAh07iQLAT12Ua&#10;AgAAigQAAA4AAAAAAAAAAQAgAAAAKQEAAGRycy9lMm9Eb2MueG1sUEsFBgAAAAAGAAYAWQEAALUF&#10;AAAAAA==&#10;" path="m0,0l8312,0,8312,9,0,9,0,0xe">
              <v:fill on="t" focussize="0,0"/>
              <v:stroke on="f"/>
              <v:imagedata o:title=""/>
              <o:lock v:ext="edit" aspectratio="f"/>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3"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 PAGE  \* MERGEFORMAT </w:instrText>
                          </w:r>
                          <w:r>
                            <w:fldChar w:fldCharType="separate"/>
                          </w:r>
                          <w:r>
                            <w:t>25</w:t>
                          </w:r>
                          <w:r>
                            <w:fldChar w:fldCharType="end"/>
                          </w:r>
                        </w:p>
                      </w:txbxContent>
                    </wps:txbx>
                    <wps:bodyPr vert="horz" wrap="none" lIns="0" tIns="0" rIns="0" bIns="0" anchor="t" anchorCtr="0" upright="0">
                      <a:spAutoFit/>
                    </wps:bodyPr>
                  </wps:wsp>
                </a:graphicData>
              </a:graphic>
            </wp:anchor>
          </w:drawing>
        </mc:Choice>
        <mc:Fallback>
          <w:pict>
            <v:shape id="文本框 42"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BgIIi/gAQAAwQMAAA4AAAAA&#10;AAAAAQAgAAAAHgEAAGRycy9lMm9Eb2MueG1sUEsFBgAAAAAGAAYAWQEAAHAFAAAAAA==&#10;">
              <v:fill on="f" focussize="0,0"/>
              <v:stroke on="f"/>
              <v:imagedata o:title=""/>
              <o:lock v:ext="edit" aspectratio="f"/>
              <v:textbox inset="0mm,0mm,0mm,0mm" style="mso-fit-shape-to-text:t;">
                <w:txbxContent>
                  <w:p>
                    <w:pPr>
                      <w:pStyle w:val="57"/>
                    </w:pPr>
                    <w:r>
                      <w:fldChar w:fldCharType="begin"/>
                    </w:r>
                    <w:r>
                      <w:instrText xml:space="preserve"> PAGE  \* MERGEFORMAT </w:instrText>
                    </w:r>
                    <w:r>
                      <w:fldChar w:fldCharType="separate"/>
                    </w:r>
                    <w:r>
                      <w:t>25</w:t>
                    </w:r>
                    <w:r>
                      <w:fldChar w:fldCharType="end"/>
                    </w:r>
                  </w:p>
                </w:txbxContent>
              </v:textbox>
            </v:shape>
          </w:pict>
        </mc:Fallback>
      </mc:AlternateContent>
    </w:r>
    <w:r>
      <w:rPr>
        <w:rFonts w:hint="eastAsia" w:ascii="仿宋" w:hAnsi="仿宋" w:eastAsia="仿宋" w:cs="仿宋"/>
        <w:spacing w:val="12"/>
        <w:sz w:val="17"/>
        <w:szCs w:val="17"/>
        <w:lang w:eastAsia="zh-CN"/>
      </w:rPr>
      <w:t>吉林省晟元工程咨询有限公司</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64" w:line="233" w:lineRule="auto"/>
      <w:ind w:right="102"/>
      <w:jc w:val="right"/>
      <w:rPr>
        <w:rFonts w:hint="eastAsia" w:ascii="仿宋" w:hAnsi="仿宋" w:eastAsia="宋体" w:cs="仿宋"/>
        <w:sz w:val="17"/>
        <w:szCs w:val="17"/>
        <w:lang w:eastAsia="zh-CN"/>
      </w:rPr>
    </w:pPr>
    <w:r>
      <w:rPr>
        <w:sz w:val="21"/>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 PAGE  \* MERGEFORMAT </w:instrText>
                          </w:r>
                          <w:r>
                            <w:fldChar w:fldCharType="separate"/>
                          </w:r>
                          <w:r>
                            <w:t>29</w:t>
                          </w:r>
                          <w:r>
                            <w:fldChar w:fldCharType="end"/>
                          </w:r>
                        </w:p>
                      </w:txbxContent>
                    </wps:txbx>
                    <wps:bodyPr vert="horz" wrap="none" lIns="0" tIns="0" rIns="0" bIns="0" anchor="t" anchorCtr="0" upright="0">
                      <a:spAutoFit/>
                    </wps:bodyPr>
                  </wps:wsp>
                </a:graphicData>
              </a:graphic>
            </wp:anchor>
          </w:drawing>
        </mc:Choice>
        <mc:Fallback>
          <w:pict>
            <v:shape id="文本框 43"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f7jlI4QEAAMEDAAAOAAAA&#10;AAAAAAEAIAAAAB4BAABkcnMvZTJvRG9jLnhtbFBLBQYAAAAABgAGAFkBAABxBQAAAAA=&#10;">
              <v:fill on="f" focussize="0,0"/>
              <v:stroke on="f"/>
              <v:imagedata o:title=""/>
              <o:lock v:ext="edit" aspectratio="f"/>
              <v:textbox inset="0mm,0mm,0mm,0mm" style="mso-fit-shape-to-text:t;">
                <w:txbxContent>
                  <w:p>
                    <w:pPr>
                      <w:pStyle w:val="57"/>
                    </w:pPr>
                    <w:r>
                      <w:fldChar w:fldCharType="begin"/>
                    </w:r>
                    <w:r>
                      <w:instrText xml:space="preserve"> PAGE  \* MERGEFORMAT </w:instrText>
                    </w:r>
                    <w:r>
                      <w:fldChar w:fldCharType="separate"/>
                    </w:r>
                    <w:r>
                      <w:t>29</w:t>
                    </w:r>
                    <w:r>
                      <w:fldChar w:fldCharType="end"/>
                    </w:r>
                  </w:p>
                </w:txbxContent>
              </v:textbox>
            </v:shape>
          </w:pict>
        </mc:Fallback>
      </mc:AlternateContent>
    </w:r>
    <w:r>
      <mc:AlternateContent>
        <mc:Choice Requires="wps">
          <w:drawing>
            <wp:anchor distT="0" distB="0" distL="114300" distR="114300" simplePos="0" relativeHeight="251665408" behindDoc="0" locked="0" layoutInCell="0" allowOverlap="1">
              <wp:simplePos x="0" y="0"/>
              <wp:positionH relativeFrom="page">
                <wp:posOffset>1201420</wp:posOffset>
              </wp:positionH>
              <wp:positionV relativeFrom="page">
                <wp:posOffset>9824720</wp:posOffset>
              </wp:positionV>
              <wp:extent cx="5278755" cy="6350"/>
              <wp:effectExtent l="0" t="0" r="0" b="0"/>
              <wp:wrapNone/>
              <wp:docPr id="127" name="任意多边形 24"/>
              <wp:cNvGraphicFramePr/>
              <a:graphic xmlns:a="http://schemas.openxmlformats.org/drawingml/2006/main">
                <a:graphicData uri="http://schemas.microsoft.com/office/word/2010/wordprocessingShape">
                  <wps:wsp>
                    <wps:cNvSpPr/>
                    <wps:spPr>
                      <a:xfrm>
                        <a:off x="0" y="0"/>
                        <a:ext cx="5278755" cy="6350"/>
                      </a:xfrm>
                      <a:custGeom>
                        <a:avLst/>
                        <a:gdLst/>
                        <a:ahLst/>
                        <a:cxnLst/>
                        <a:pathLst>
                          <a:path w="8312" h="10">
                            <a:moveTo>
                              <a:pt x="0" y="0"/>
                            </a:moveTo>
                            <a:lnTo>
                              <a:pt x="8312" y="0"/>
                            </a:lnTo>
                            <a:lnTo>
                              <a:pt x="8312" y="9"/>
                            </a:lnTo>
                            <a:lnTo>
                              <a:pt x="0" y="9"/>
                            </a:lnTo>
                            <a:lnTo>
                              <a:pt x="0" y="0"/>
                            </a:lnTo>
                            <a:close/>
                          </a:path>
                        </a:pathLst>
                      </a:custGeom>
                      <a:solidFill>
                        <a:srgbClr val="000000"/>
                      </a:solidFill>
                      <a:ln>
                        <a:noFill/>
                      </a:ln>
                    </wps:spPr>
                    <wps:bodyPr wrap="square" upright="1"/>
                  </wps:wsp>
                </a:graphicData>
              </a:graphic>
            </wp:anchor>
          </w:drawing>
        </mc:Choice>
        <mc:Fallback>
          <w:pict>
            <v:shape id="任意多边形 24" o:spid="_x0000_s1026" o:spt="100" style="position:absolute;left:0pt;margin-left:94.6pt;margin-top:773.6pt;height:0.5pt;width:415.65pt;mso-position-horizontal-relative:page;mso-position-vertical-relative:page;z-index:251665408;mso-width-relative:page;mso-height-relative:page;" fillcolor="#000000" filled="t" stroked="f" coordsize="8312,10" o:allowincell="f" o:gfxdata="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RAIBPtkAAAAO&#10;AQAADwAAAAAAAAABACAAAAAiAAAAZHJzL2Rvd25yZXYueG1sUEsBAhQAFAAAAAgAh07iQGjGL2Ib&#10;AgAAigQAAA4AAAAAAAAAAQAgAAAAKAEAAGRycy9lMm9Eb2MueG1sUEsFBgAAAAAGAAYAWQEAALUF&#10;AAAAAA==&#10;" path="m0,0l8312,0,8312,9,0,9,0,0xe">
              <v:fill on="t" focussize="0,0"/>
              <v:stroke on="f"/>
              <v:imagedata o:title=""/>
              <o:lock v:ext="edit" aspectratio="f"/>
            </v:shape>
          </w:pict>
        </mc:Fallback>
      </mc:AlternateContent>
    </w:r>
    <w:r>
      <w:rPr>
        <w:rFonts w:hint="eastAsia" w:ascii="仿宋" w:hAnsi="仿宋" w:eastAsia="仿宋" w:cs="仿宋"/>
        <w:spacing w:val="3"/>
        <w:sz w:val="17"/>
        <w:szCs w:val="17"/>
        <w:lang w:eastAsia="zh-CN"/>
      </w:rPr>
      <w:t>吉林省晟元工程咨询有限公司</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62" w:line="233" w:lineRule="auto"/>
      <w:ind w:right="127"/>
      <w:jc w:val="right"/>
      <w:rPr>
        <w:rFonts w:hint="eastAsia" w:ascii="仿宋" w:hAnsi="仿宋" w:eastAsia="宋体" w:cs="仿宋"/>
        <w:sz w:val="17"/>
        <w:szCs w:val="17"/>
        <w:lang w:eastAsia="zh-CN"/>
      </w:rPr>
    </w:pPr>
    <w:r>
      <w:rPr>
        <w:sz w:val="21"/>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 PAGE  \* MERGEFORMAT </w:instrText>
                          </w:r>
                          <w:r>
                            <w:fldChar w:fldCharType="separate"/>
                          </w:r>
                          <w:r>
                            <w:t>38</w:t>
                          </w:r>
                          <w:r>
                            <w:fldChar w:fldCharType="end"/>
                          </w:r>
                        </w:p>
                      </w:txbxContent>
                    </wps:txbx>
                    <wps:bodyPr vert="horz" wrap="none" lIns="0" tIns="0" rIns="0" bIns="0" anchor="t" anchorCtr="0" upright="0">
                      <a:spAutoFit/>
                    </wps:bodyPr>
                  </wps:wsp>
                </a:graphicData>
              </a:graphic>
            </wp:anchor>
          </w:drawing>
        </mc:Choice>
        <mc:Fallback>
          <w:pict>
            <v:shape id="文本框 44"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Ky//r4QEAAMEDAAAOAAAA&#10;AAAAAAEAIAAAAB4BAABkcnMvZTJvRG9jLnhtbFBLBQYAAAAABgAGAFkBAABxBQAAAAA=&#10;">
              <v:fill on="f" focussize="0,0"/>
              <v:stroke on="f"/>
              <v:imagedata o:title=""/>
              <o:lock v:ext="edit" aspectratio="f"/>
              <v:textbox inset="0mm,0mm,0mm,0mm" style="mso-fit-shape-to-text:t;">
                <w:txbxContent>
                  <w:p>
                    <w:pPr>
                      <w:pStyle w:val="57"/>
                    </w:pPr>
                    <w:r>
                      <w:fldChar w:fldCharType="begin"/>
                    </w:r>
                    <w:r>
                      <w:instrText xml:space="preserve"> PAGE  \* MERGEFORMAT </w:instrText>
                    </w:r>
                    <w:r>
                      <w:fldChar w:fldCharType="separate"/>
                    </w:r>
                    <w:r>
                      <w:t>38</w:t>
                    </w:r>
                    <w:r>
                      <w:fldChar w:fldCharType="end"/>
                    </w:r>
                  </w:p>
                </w:txbxContent>
              </v:textbox>
            </v:shape>
          </w:pict>
        </mc:Fallback>
      </mc:AlternateContent>
    </w:r>
    <w:r>
      <mc:AlternateContent>
        <mc:Choice Requires="wps">
          <w:drawing>
            <wp:anchor distT="0" distB="0" distL="114300" distR="114300" simplePos="0" relativeHeight="251664384" behindDoc="0" locked="0" layoutInCell="0" allowOverlap="1">
              <wp:simplePos x="0" y="0"/>
              <wp:positionH relativeFrom="page">
                <wp:posOffset>1141095</wp:posOffset>
              </wp:positionH>
              <wp:positionV relativeFrom="page">
                <wp:posOffset>9890760</wp:posOffset>
              </wp:positionV>
              <wp:extent cx="5278755" cy="6350"/>
              <wp:effectExtent l="0" t="0" r="0" b="0"/>
              <wp:wrapNone/>
              <wp:docPr id="126" name="任意多边形 22"/>
              <wp:cNvGraphicFramePr/>
              <a:graphic xmlns:a="http://schemas.openxmlformats.org/drawingml/2006/main">
                <a:graphicData uri="http://schemas.microsoft.com/office/word/2010/wordprocessingShape">
                  <wps:wsp>
                    <wps:cNvSpPr/>
                    <wps:spPr>
                      <a:xfrm>
                        <a:off x="0" y="0"/>
                        <a:ext cx="5278755" cy="6350"/>
                      </a:xfrm>
                      <a:custGeom>
                        <a:avLst/>
                        <a:gdLst/>
                        <a:ahLst/>
                        <a:cxnLst/>
                        <a:pathLst>
                          <a:path w="8312" h="10">
                            <a:moveTo>
                              <a:pt x="0" y="0"/>
                            </a:moveTo>
                            <a:lnTo>
                              <a:pt x="8312" y="0"/>
                            </a:lnTo>
                            <a:lnTo>
                              <a:pt x="8312" y="9"/>
                            </a:lnTo>
                            <a:lnTo>
                              <a:pt x="0" y="9"/>
                            </a:lnTo>
                            <a:lnTo>
                              <a:pt x="0" y="0"/>
                            </a:lnTo>
                            <a:close/>
                          </a:path>
                        </a:pathLst>
                      </a:custGeom>
                      <a:solidFill>
                        <a:srgbClr val="000000"/>
                      </a:solidFill>
                      <a:ln>
                        <a:noFill/>
                      </a:ln>
                    </wps:spPr>
                    <wps:bodyPr wrap="square" upright="1"/>
                  </wps:wsp>
                </a:graphicData>
              </a:graphic>
            </wp:anchor>
          </w:drawing>
        </mc:Choice>
        <mc:Fallback>
          <w:pict>
            <v:shape id="任意多边形 22" o:spid="_x0000_s1026" o:spt="100" style="position:absolute;left:0pt;margin-left:89.85pt;margin-top:778.8pt;height:0.5pt;width:415.65pt;mso-position-horizontal-relative:page;mso-position-vertical-relative:page;z-index:251664384;mso-width-relative:page;mso-height-relative:page;" fillcolor="#000000" filled="t" stroked="f" coordsize="8312,10" o:allowincell="f" o:gfxdata="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JnxJ52AAAAA4B&#10;AAAPAAAAAAAAAAEAIAAAACIAAABkcnMvZG93bnJldi54bWxQSwECFAAUAAAACACHTuJAqNeTdBsC&#10;AACKBAAADgAAAAAAAAABACAAAAAnAQAAZHJzL2Uyb0RvYy54bWxQSwUGAAAAAAYABgBZAQAAtAUA&#10;AAAA&#10;" path="m0,0l8312,0,8312,9,0,9,0,0xe">
              <v:fill on="t" focussize="0,0"/>
              <v:stroke on="f"/>
              <v:imagedata o:title=""/>
              <o:lock v:ext="edit" aspectratio="f"/>
            </v:shape>
          </w:pict>
        </mc:Fallback>
      </mc:AlternateContent>
    </w:r>
    <w:r>
      <w:rPr>
        <w:rFonts w:hint="eastAsia" w:ascii="仿宋" w:hAnsi="仿宋" w:eastAsia="仿宋" w:cs="仿宋"/>
        <w:spacing w:val="3"/>
        <w:sz w:val="17"/>
        <w:szCs w:val="17"/>
        <w:lang w:eastAsia="zh-CN"/>
      </w:rPr>
      <w:t>吉林省晟元工程咨询有限公司</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64" w:line="233" w:lineRule="auto"/>
      <w:ind w:left="30"/>
      <w:jc w:val="right"/>
      <w:rPr>
        <w:rFonts w:hint="eastAsia" w:ascii="Times New Roman" w:hAnsi="Times New Roman" w:eastAsia="宋体" w:cs="Times New Roman"/>
        <w:sz w:val="17"/>
        <w:szCs w:val="17"/>
        <w:lang w:eastAsia="zh-CN"/>
      </w:rPr>
    </w:pPr>
    <w:r>
      <mc:AlternateContent>
        <mc:Choice Requires="wps">
          <w:drawing>
            <wp:anchor distT="0" distB="0" distL="114300" distR="114300" simplePos="0" relativeHeight="251666432" behindDoc="0" locked="0" layoutInCell="0" allowOverlap="1">
              <wp:simplePos x="0" y="0"/>
              <wp:positionH relativeFrom="page">
                <wp:posOffset>1177925</wp:posOffset>
              </wp:positionH>
              <wp:positionV relativeFrom="page">
                <wp:posOffset>9826625</wp:posOffset>
              </wp:positionV>
              <wp:extent cx="5278755" cy="6350"/>
              <wp:effectExtent l="0" t="0" r="0" b="0"/>
              <wp:wrapNone/>
              <wp:docPr id="128" name="任意多边形 28"/>
              <wp:cNvGraphicFramePr/>
              <a:graphic xmlns:a="http://schemas.openxmlformats.org/drawingml/2006/main">
                <a:graphicData uri="http://schemas.microsoft.com/office/word/2010/wordprocessingShape">
                  <wps:wsp>
                    <wps:cNvSpPr/>
                    <wps:spPr>
                      <a:xfrm>
                        <a:off x="0" y="0"/>
                        <a:ext cx="5278755" cy="6350"/>
                      </a:xfrm>
                      <a:custGeom>
                        <a:avLst/>
                        <a:gdLst/>
                        <a:ahLst/>
                        <a:cxnLst/>
                        <a:pathLst>
                          <a:path w="8312" h="10">
                            <a:moveTo>
                              <a:pt x="0" y="0"/>
                            </a:moveTo>
                            <a:lnTo>
                              <a:pt x="8312" y="0"/>
                            </a:lnTo>
                            <a:lnTo>
                              <a:pt x="8312" y="9"/>
                            </a:lnTo>
                            <a:lnTo>
                              <a:pt x="0" y="9"/>
                            </a:lnTo>
                            <a:lnTo>
                              <a:pt x="0" y="0"/>
                            </a:lnTo>
                            <a:close/>
                          </a:path>
                        </a:pathLst>
                      </a:custGeom>
                      <a:solidFill>
                        <a:srgbClr val="000000"/>
                      </a:solidFill>
                      <a:ln>
                        <a:noFill/>
                      </a:ln>
                    </wps:spPr>
                    <wps:bodyPr wrap="square" upright="1"/>
                  </wps:wsp>
                </a:graphicData>
              </a:graphic>
            </wp:anchor>
          </w:drawing>
        </mc:Choice>
        <mc:Fallback>
          <w:pict>
            <v:shape id="任意多边形 28" o:spid="_x0000_s1026" o:spt="100" style="position:absolute;left:0pt;margin-left:92.75pt;margin-top:773.75pt;height:0.5pt;width:415.65pt;mso-position-horizontal-relative:page;mso-position-vertical-relative:page;z-index:251666432;mso-width-relative:page;mso-height-relative:page;" fillcolor="#000000" filled="t" stroked="f" coordsize="8312,10" o:allowincell="f" o:gfxdata="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PfGvdvYAAAADgEA&#10;AA8AAAAAAAAAAQAgAAAAIgAAAGRycy9kb3ducmV2LnhtbFBLAQIUABQAAAAIAIdO4kCSgQ2zGgIA&#10;AIoEAAAOAAAAAAAAAAEAIAAAACcBAABkcnMvZTJvRG9jLnhtbFBLBQYAAAAABgAGAFkBAACzBQAA&#10;AAA=&#10;" path="m0,0l8312,0,8312,9,0,9,0,0xe">
              <v:fill on="t" focussize="0,0"/>
              <v:stroke on="f"/>
              <v:imagedata o:title=""/>
              <o:lock v:ext="edit" aspectratio="f"/>
            </v:shape>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6"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 PAGE  \* MERGEFORMAT </w:instrText>
                          </w:r>
                          <w:r>
                            <w:fldChar w:fldCharType="separate"/>
                          </w:r>
                          <w:r>
                            <w:t>45</w:t>
                          </w:r>
                          <w:r>
                            <w:fldChar w:fldCharType="end"/>
                          </w:r>
                        </w:p>
                      </w:txbxContent>
                    </wps:txbx>
                    <wps:bodyPr vert="horz" wrap="none" lIns="0" tIns="0" rIns="0" bIns="0" anchor="t" anchorCtr="0" upright="0">
                      <a:spAutoFit/>
                    </wps:bodyPr>
                  </wps:wsp>
                </a:graphicData>
              </a:graphic>
            </wp:anchor>
          </w:drawing>
        </mc:Choice>
        <mc:Fallback>
          <w:pict>
            <v:shape id="文本框 45"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yAUpB4QEAAMEDAAAOAAAA&#10;AAAAAAEAIAAAAB4BAABkcnMvZTJvRG9jLnhtbFBLBQYAAAAABgAGAFkBAABxBQAAAAA=&#10;">
              <v:fill on="f" focussize="0,0"/>
              <v:stroke on="f"/>
              <v:imagedata o:title=""/>
              <o:lock v:ext="edit" aspectratio="f"/>
              <v:textbox inset="0mm,0mm,0mm,0mm" style="mso-fit-shape-to-text:t;">
                <w:txbxContent>
                  <w:p>
                    <w:pPr>
                      <w:pStyle w:val="57"/>
                    </w:pPr>
                    <w:r>
                      <w:fldChar w:fldCharType="begin"/>
                    </w:r>
                    <w:r>
                      <w:instrText xml:space="preserve"> PAGE  \* MERGEFORMAT </w:instrText>
                    </w:r>
                    <w:r>
                      <w:fldChar w:fldCharType="separate"/>
                    </w:r>
                    <w:r>
                      <w:t>45</w:t>
                    </w:r>
                    <w:r>
                      <w:fldChar w:fldCharType="end"/>
                    </w:r>
                  </w:p>
                </w:txbxContent>
              </v:textbox>
            </v:shape>
          </w:pict>
        </mc:Fallback>
      </mc:AlternateContent>
    </w:r>
    <w:r>
      <w:rPr>
        <w:rFonts w:hint="eastAsia" w:ascii="仿宋" w:hAnsi="仿宋" w:eastAsia="仿宋" w:cs="仿宋"/>
        <w:spacing w:val="12"/>
        <w:sz w:val="17"/>
        <w:szCs w:val="17"/>
        <w:lang w:eastAsia="zh-CN"/>
      </w:rPr>
      <w:t>吉林省晟元工程咨询有限公司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rPr>
        <w:rFonts w:eastAsia="仿宋_GB2312"/>
        <w:sz w:val="21"/>
        <w:szCs w:val="21"/>
      </w:rPr>
    </w:pPr>
    <w:r>
      <w:rPr>
        <w:rFonts w:hint="eastAsia" w:eastAsia="仿宋_GB2312"/>
        <w:sz w:val="21"/>
        <w:szCs w:val="21"/>
      </w:rPr>
      <w:t>1综合说明</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single" w:color="auto" w:sz="4" w:space="1"/>
      </w:pBdr>
      <w:ind w:firstLine="105" w:firstLineChars="50"/>
      <w:jc w:val="center"/>
      <w:rPr>
        <w:rFonts w:ascii="Times New Roman" w:hAnsi="Times New Roman" w:eastAsia="仿宋_GB2312" w:cs="Times New Roman"/>
      </w:rPr>
    </w:pPr>
    <w:r>
      <w:rPr>
        <w:rFonts w:hint="eastAsia" w:ascii="Times New Roman" w:hAnsi="Times New Roman" w:eastAsia="仿宋_GB2312" w:cs="Times New Roman"/>
      </w:rPr>
      <w:t>7</w:t>
    </w:r>
    <w:r>
      <w:rPr>
        <w:rFonts w:ascii="Times New Roman" w:hAnsi="Times New Roman" w:eastAsia="仿宋_GB2312" w:cs="Times New Roman"/>
      </w:rPr>
      <w:t>水土保持投资</w:t>
    </w:r>
    <w:r>
      <w:rPr>
        <w:rFonts w:hint="eastAsia" w:ascii="Times New Roman" w:hAnsi="Times New Roman" w:eastAsia="仿宋_GB2312" w:cs="Times New Roman"/>
      </w:rPr>
      <w:t>估</w:t>
    </w:r>
    <w:r>
      <w:rPr>
        <w:rFonts w:ascii="Times New Roman" w:hAnsi="Times New Roman" w:eastAsia="仿宋_GB2312" w:cs="Times New Roman"/>
      </w:rPr>
      <w:t>算及效益分析</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single" w:color="auto" w:sz="4" w:space="1"/>
      </w:pBdr>
      <w:ind w:firstLine="105" w:firstLineChars="50"/>
      <w:jc w:val="center"/>
      <w:rPr>
        <w:rFonts w:ascii="Times New Roman" w:hAnsi="Times New Roman" w:eastAsia="仿宋_GB2312" w:cs="Times New Roman"/>
      </w:rPr>
    </w:pPr>
    <w:r>
      <w:rPr>
        <w:rFonts w:hint="eastAsia" w:ascii="Times New Roman" w:hAnsi="Times New Roman" w:eastAsia="仿宋_GB2312" w:cs="Times New Roman"/>
      </w:rPr>
      <w:t>7</w:t>
    </w:r>
    <w:r>
      <w:rPr>
        <w:rFonts w:ascii="Times New Roman" w:hAnsi="Times New Roman" w:eastAsia="仿宋_GB2312" w:cs="Times New Roman"/>
      </w:rPr>
      <w:t>水土保持投资</w:t>
    </w:r>
    <w:r>
      <w:rPr>
        <w:rFonts w:hint="eastAsia" w:ascii="Times New Roman" w:hAnsi="Times New Roman" w:eastAsia="仿宋_GB2312" w:cs="Times New Roman"/>
      </w:rPr>
      <w:t>概</w:t>
    </w:r>
    <w:r>
      <w:rPr>
        <w:rFonts w:ascii="Times New Roman" w:hAnsi="Times New Roman" w:eastAsia="仿宋_GB2312" w:cs="Times New Roman"/>
      </w:rPr>
      <w:t>算及效益分析</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single" w:color="auto" w:sz="4" w:space="1"/>
      </w:pBdr>
      <w:ind w:firstLine="105" w:firstLineChars="50"/>
      <w:jc w:val="center"/>
      <w:rPr>
        <w:rFonts w:ascii="Times New Roman" w:hAnsi="Times New Roman" w:eastAsia="仿宋_GB2312" w:cs="Times New Roman"/>
      </w:rPr>
    </w:pPr>
    <w:r>
      <w:rPr>
        <w:rFonts w:hint="eastAsia" w:ascii="Times New Roman" w:hAnsi="Times New Roman" w:eastAsia="仿宋_GB2312" w:cs="Times New Roman"/>
      </w:rPr>
      <w:t>7</w:t>
    </w:r>
    <w:r>
      <w:rPr>
        <w:rFonts w:ascii="Times New Roman" w:hAnsi="Times New Roman" w:eastAsia="仿宋_GB2312" w:cs="Times New Roman"/>
      </w:rPr>
      <w:t>水土保持投资</w:t>
    </w:r>
    <w:r>
      <w:rPr>
        <w:rFonts w:hint="eastAsia" w:ascii="Times New Roman" w:hAnsi="Times New Roman" w:eastAsia="仿宋_GB2312" w:cs="Times New Roman"/>
      </w:rPr>
      <w:t>估</w:t>
    </w:r>
    <w:r>
      <w:rPr>
        <w:rFonts w:ascii="Times New Roman" w:hAnsi="Times New Roman" w:eastAsia="仿宋_GB2312" w:cs="Times New Roman"/>
      </w:rPr>
      <w:t>算及效益分析</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single" w:color="auto" w:sz="4" w:space="1"/>
      </w:pBdr>
      <w:ind w:firstLine="105" w:firstLineChars="50"/>
      <w:jc w:val="center"/>
      <w:rPr>
        <w:rFonts w:hint="default" w:ascii="Times New Roman" w:hAnsi="Times New Roman" w:eastAsia="仿宋_GB2312" w:cs="Times New Roman"/>
        <w:sz w:val="21"/>
        <w:szCs w:val="21"/>
      </w:rPr>
    </w:pPr>
    <w:r>
      <w:rPr>
        <w:rFonts w:hint="default" w:ascii="Times New Roman" w:hAnsi="Times New Roman" w:cs="Times New Roman"/>
        <w:sz w:val="21"/>
        <w:szCs w:val="21"/>
      </w:rPr>
      <w:t>8</w:t>
    </w:r>
    <w:r>
      <w:rPr>
        <w:rFonts w:hint="default" w:ascii="Times New Roman" w:hAnsi="Times New Roman" w:eastAsia="仿宋_GB2312" w:cs="Times New Roman"/>
        <w:sz w:val="21"/>
        <w:szCs w:val="21"/>
      </w:rPr>
      <w:t>水土保持管理</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none" w:color="auto" w:sz="0" w:space="1"/>
      </w:pBdr>
      <w:rPr>
        <w:rFonts w:ascii="Times New Roman" w:hAnsi="Times New Roman" w:eastAsia="仿宋_GB2312" w:cs="Times New Roman"/>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none" w:color="auto" w:sz="0" w:space="1"/>
      </w:pBdr>
      <w:ind w:firstLine="105" w:firstLineChars="50"/>
      <w:jc w:val="center"/>
      <w:rPr>
        <w:rFonts w:ascii="Times New Roman" w:hAnsi="Times New Roman" w:eastAsia="仿宋_GB2312" w:cs="Times New Roman"/>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none" w:color="auto" w:sz="0" w:space="1"/>
      </w:pBdr>
      <w:rPr>
        <w:rFonts w:ascii="Times New Roman" w:hAnsi="Times New Roman" w:eastAsia="仿宋_GB2312" w:cs="Times New Roman"/>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none" w:color="auto" w:sz="0" w:space="1"/>
      </w:pBdr>
      <w:ind w:firstLine="105" w:firstLineChars="50"/>
      <w:jc w:val="center"/>
      <w:rPr>
        <w:rFonts w:ascii="Times New Roman" w:hAnsi="Times New Roman" w:eastAsia="仿宋_GB2312" w:cs="Times New Roman"/>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rPr>
        <w:rFonts w:eastAsia="仿宋_GB2312"/>
        <w:sz w:val="21"/>
        <w:szCs w:val="21"/>
      </w:rPr>
    </w:pPr>
    <w:r>
      <w:rPr>
        <w:rFonts w:eastAsia="仿宋_GB2312"/>
        <w:sz w:val="21"/>
        <w:szCs w:val="21"/>
      </w:rPr>
      <w:t>8水土保持管理</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none" w:color="auto" w:sz="0" w:space="1"/>
      </w:pBdr>
      <w:rPr>
        <w:rFonts w:ascii="Times New Roman" w:hAnsi="Times New Roman" w:eastAsia="仿宋_GB2312"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rPr>
        <w:rFonts w:eastAsia="仿宋_GB2312"/>
        <w:sz w:val="21"/>
        <w:szCs w:val="21"/>
      </w:rPr>
    </w:pPr>
    <w:r>
      <w:rPr>
        <w:rFonts w:eastAsia="仿宋_GB2312"/>
        <w:sz w:val="21"/>
        <w:szCs w:val="21"/>
      </w:rPr>
      <w:t>2编制总则</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rPr>
        <w:rFonts w:eastAsia="仿宋_GB2312"/>
        <w:sz w:val="21"/>
        <w:szCs w:val="21"/>
      </w:rPr>
    </w:pPr>
    <w:r>
      <w:rPr>
        <w:rFonts w:hint="eastAsia" w:eastAsia="仿宋_GB2312"/>
        <w:sz w:val="21"/>
        <w:szCs w:val="21"/>
      </w:rPr>
      <w:t>2</w:t>
    </w:r>
    <w:r>
      <w:rPr>
        <w:rFonts w:eastAsia="仿宋_GB2312"/>
        <w:sz w:val="21"/>
        <w:szCs w:val="21"/>
      </w:rPr>
      <w:t>项目概况</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pBdr>
        <w:bottom w:val="double" w:color="auto" w:sz="8" w:space="1"/>
      </w:pBdr>
      <w:rPr>
        <w:rFonts w:hint="default" w:eastAsia="仿宋_GB2312"/>
        <w:sz w:val="21"/>
        <w:szCs w:val="21"/>
        <w:lang w:val="en-US" w:eastAsia="zh-CN"/>
      </w:rPr>
    </w:pPr>
    <w:r>
      <w:rPr>
        <w:rFonts w:hint="eastAsia" w:eastAsia="仿宋_GB2312"/>
        <w:sz w:val="21"/>
        <w:szCs w:val="21"/>
        <w:lang w:val="en-US" w:eastAsia="zh-CN"/>
      </w:rPr>
      <w:t>2项目概况</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rPr>
        <w:rFonts w:eastAsia="仿宋_GB2312"/>
        <w:sz w:val="21"/>
        <w:szCs w:val="21"/>
      </w:rPr>
    </w:pPr>
    <w:r>
      <w:rPr>
        <w:rFonts w:eastAsia="仿宋_GB2312"/>
        <w:sz w:val="21"/>
        <w:szCs w:val="21"/>
      </w:rPr>
      <w:t>3项目水土保持评价</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spacing w:line="228" w:lineRule="auto"/>
      <w:ind w:left="3383"/>
      <w:rPr>
        <w:rFonts w:hint="default" w:ascii="Times New Roman" w:hAnsi="Times New Roman" w:eastAsia="仿宋_GB2312" w:cs="Times New Roman"/>
        <w:sz w:val="21"/>
        <w:szCs w:val="21"/>
      </w:rPr>
    </w:pPr>
    <w:r>
      <w:rPr>
        <w:rFonts w:hint="default" w:ascii="Times New Roman" w:hAnsi="Times New Roman" w:eastAsia="仿宋_GB2312" w:cs="Times New Roman"/>
        <w:spacing w:val="8"/>
        <w:sz w:val="21"/>
        <w:szCs w:val="21"/>
      </w:rPr>
      <w:t>3项目水土保持评</w:t>
    </w:r>
    <w:r>
      <w:rPr>
        <w:rFonts w:hint="default" w:ascii="Times New Roman" w:hAnsi="Times New Roman" w:eastAsia="仿宋_GB2312" w:cs="Times New Roman"/>
        <w:spacing w:val="7"/>
        <w:sz w:val="21"/>
        <w:szCs w:val="21"/>
      </w:rPr>
      <w:t>价</w:t>
    </w:r>
  </w:p>
  <w:p>
    <w:pPr>
      <w:pBdr>
        <w:bottom w:val="double" w:color="auto" w:sz="8" w:space="0"/>
      </w:pBdr>
      <w:spacing w:before="17" w:line="57" w:lineRule="exact"/>
      <w:ind w:firstLine="11"/>
      <w:textAlignment w:val="center"/>
      <w:rPr>
        <w:rFonts w:hint="default" w:ascii="Times New Roman" w:hAnsi="Times New Roman" w:eastAsia="仿宋_GB2312" w:cs="Times New Roman"/>
        <w:sz w:val="21"/>
        <w:szCs w:val="21"/>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single" w:color="auto" w:sz="4" w:space="1"/>
      </w:pBdr>
      <w:ind w:firstLine="105" w:firstLineChars="50"/>
      <w:jc w:val="center"/>
      <w:rPr>
        <w:rFonts w:ascii="Times New Roman" w:hAnsi="Times New Roman" w:eastAsia="仿宋_GB2312" w:cs="Times New Roman"/>
      </w:rPr>
    </w:pPr>
    <w:r>
      <w:rPr>
        <w:rFonts w:hint="eastAsia" w:ascii="Times New Roman" w:hAnsi="Times New Roman" w:eastAsia="仿宋_GB2312" w:cs="Times New Roman"/>
      </w:rPr>
      <w:t>4</w:t>
    </w:r>
    <w:r>
      <w:rPr>
        <w:rFonts w:hint="eastAsia" w:ascii="仿宋_GB2312" w:eastAsia="仿宋_GB2312"/>
      </w:rPr>
      <w:t>水土流失分析与预测</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single" w:color="auto" w:sz="4" w:space="1"/>
      </w:pBdr>
      <w:ind w:firstLine="105" w:firstLineChars="50"/>
      <w:jc w:val="center"/>
      <w:rPr>
        <w:rFonts w:ascii="Times New Roman" w:hAnsi="Times New Roman" w:eastAsia="仿宋_GB2312" w:cs="Times New Roman"/>
      </w:rPr>
    </w:pPr>
    <w:r>
      <w:rPr>
        <w:rFonts w:hint="eastAsia" w:ascii="Times New Roman" w:hAnsi="Times New Roman" w:eastAsia="仿宋_GB2312" w:cs="Times New Roman"/>
      </w:rPr>
      <w:t>5水土保持措施</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single" w:color="auto" w:sz="4" w:space="1"/>
      </w:pBdr>
      <w:ind w:firstLine="105" w:firstLineChars="50"/>
      <w:jc w:val="center"/>
      <w:rPr>
        <w:rFonts w:ascii="Times New Roman" w:hAnsi="Times New Roman" w:eastAsia="仿宋_GB2312" w:cs="Times New Roman"/>
      </w:rPr>
    </w:pPr>
    <w:r>
      <w:rPr>
        <w:rFonts w:hint="eastAsia" w:ascii="Times New Roman" w:hAnsi="Times New Roman" w:eastAsia="仿宋_GB2312" w:cs="Times New Roman"/>
      </w:rPr>
      <w:t>6</w:t>
    </w:r>
    <w:r>
      <w:rPr>
        <w:rFonts w:ascii="Times New Roman" w:hAnsi="Times New Roman" w:eastAsia="仿宋_GB2312" w:cs="Times New Roman"/>
      </w:rPr>
      <w:t>水土保持监测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24"/>
    <w:multiLevelType w:val="multilevel"/>
    <w:tmpl w:val="00000024"/>
    <w:lvl w:ilvl="0" w:tentative="0">
      <w:start w:val="1"/>
      <w:numFmt w:val="decimal"/>
      <w:lvlText w:val="%1"/>
      <w:lvlJc w:val="left"/>
      <w:pPr>
        <w:tabs>
          <w:tab w:val="left" w:pos="432"/>
        </w:tabs>
        <w:ind w:left="432" w:hanging="432"/>
      </w:pPr>
      <w:rPr>
        <w:rFonts w:hint="eastAsia"/>
      </w:rPr>
    </w:lvl>
    <w:lvl w:ilvl="1" w:tentative="0">
      <w:start w:val="1"/>
      <w:numFmt w:val="decimal"/>
      <w:lvlText w:val="%1.%2"/>
      <w:lvlJc w:val="left"/>
      <w:pPr>
        <w:tabs>
          <w:tab w:val="left" w:pos="0"/>
        </w:tabs>
        <w:ind w:left="431" w:hanging="431"/>
      </w:pPr>
      <w:rPr>
        <w:rFonts w:hint="default" w:ascii="Times New Roman" w:hAnsi="Times New Roman"/>
      </w:rPr>
    </w:lvl>
    <w:lvl w:ilvl="2" w:tentative="0">
      <w:start w:val="1"/>
      <w:numFmt w:val="decimal"/>
      <w:lvlText w:val="%1.%2.%3"/>
      <w:lvlJc w:val="left"/>
      <w:pPr>
        <w:tabs>
          <w:tab w:val="left" w:pos="0"/>
        </w:tabs>
        <w:ind w:left="1080" w:hanging="1080"/>
      </w:pPr>
      <w:rPr>
        <w:rFonts w:hint="default" w:ascii="Times New Roman" w:hAnsi="Times New Roman"/>
      </w:rPr>
    </w:lvl>
    <w:lvl w:ilvl="3" w:tentative="0">
      <w:start w:val="1"/>
      <w:numFmt w:val="decimal"/>
      <w:pStyle w:val="8"/>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
    <w:nsid w:val="65E4245A"/>
    <w:multiLevelType w:val="multilevel"/>
    <w:tmpl w:val="65E4245A"/>
    <w:lvl w:ilvl="0" w:tentative="0">
      <w:start w:val="1"/>
      <w:numFmt w:val="decimal"/>
      <w:pStyle w:val="499"/>
      <w:lvlText w:val="%1"/>
      <w:lvlJc w:val="left"/>
      <w:pPr>
        <w:ind w:left="432" w:hanging="432"/>
      </w:pPr>
      <w:rPr>
        <w:rFonts w:hint="eastAsia"/>
      </w:rPr>
    </w:lvl>
    <w:lvl w:ilvl="1" w:tentative="0">
      <w:start w:val="1"/>
      <w:numFmt w:val="decimal"/>
      <w:lvlText w:val="%1.%2"/>
      <w:lvlJc w:val="left"/>
      <w:pPr>
        <w:ind w:left="576" w:hanging="576"/>
      </w:pPr>
      <w:rPr>
        <w:rFonts w:hint="eastAsia"/>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1148"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君">
    <w15:presenceInfo w15:providerId="WPS Office" w15:userId="9481424023"/>
  </w15:person>
  <w15:person w15:author="Lily">
    <w15:presenceInfo w15:providerId="WPS Office" w15:userId="18934546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ZhZTQwMGI3ZGNkZjliMTVhMWUyN2I3MDdhODJhOWMifQ=="/>
  </w:docVars>
  <w:rsids>
    <w:rsidRoot w:val="00D07BC5"/>
    <w:rsid w:val="00000012"/>
    <w:rsid w:val="00000057"/>
    <w:rsid w:val="0000008F"/>
    <w:rsid w:val="00000093"/>
    <w:rsid w:val="00000105"/>
    <w:rsid w:val="00000174"/>
    <w:rsid w:val="0000036A"/>
    <w:rsid w:val="000003EA"/>
    <w:rsid w:val="00000552"/>
    <w:rsid w:val="0000055C"/>
    <w:rsid w:val="0000058C"/>
    <w:rsid w:val="000005F6"/>
    <w:rsid w:val="00000631"/>
    <w:rsid w:val="0000063B"/>
    <w:rsid w:val="000006FF"/>
    <w:rsid w:val="00000784"/>
    <w:rsid w:val="0000085F"/>
    <w:rsid w:val="000009C9"/>
    <w:rsid w:val="00000A8A"/>
    <w:rsid w:val="00000AA2"/>
    <w:rsid w:val="00000AB3"/>
    <w:rsid w:val="00000AE6"/>
    <w:rsid w:val="00000B37"/>
    <w:rsid w:val="00000B4D"/>
    <w:rsid w:val="00000B80"/>
    <w:rsid w:val="00000C84"/>
    <w:rsid w:val="00000CB3"/>
    <w:rsid w:val="00000D5B"/>
    <w:rsid w:val="00000E82"/>
    <w:rsid w:val="00000F6C"/>
    <w:rsid w:val="00000F9B"/>
    <w:rsid w:val="00000FBA"/>
    <w:rsid w:val="000010FF"/>
    <w:rsid w:val="0000114A"/>
    <w:rsid w:val="00001199"/>
    <w:rsid w:val="00001290"/>
    <w:rsid w:val="00001401"/>
    <w:rsid w:val="0000145D"/>
    <w:rsid w:val="00001500"/>
    <w:rsid w:val="0000167E"/>
    <w:rsid w:val="0000182B"/>
    <w:rsid w:val="00001878"/>
    <w:rsid w:val="00001896"/>
    <w:rsid w:val="00001939"/>
    <w:rsid w:val="00001956"/>
    <w:rsid w:val="00001960"/>
    <w:rsid w:val="000019AB"/>
    <w:rsid w:val="000019E6"/>
    <w:rsid w:val="00001B46"/>
    <w:rsid w:val="00001C00"/>
    <w:rsid w:val="00001D08"/>
    <w:rsid w:val="00001D8D"/>
    <w:rsid w:val="00001E50"/>
    <w:rsid w:val="00001EF4"/>
    <w:rsid w:val="00002049"/>
    <w:rsid w:val="00002113"/>
    <w:rsid w:val="00002269"/>
    <w:rsid w:val="000022F3"/>
    <w:rsid w:val="000023F1"/>
    <w:rsid w:val="0000243D"/>
    <w:rsid w:val="0000246A"/>
    <w:rsid w:val="000024B3"/>
    <w:rsid w:val="0000251E"/>
    <w:rsid w:val="0000252C"/>
    <w:rsid w:val="00002570"/>
    <w:rsid w:val="00002652"/>
    <w:rsid w:val="00002686"/>
    <w:rsid w:val="00002708"/>
    <w:rsid w:val="0000274D"/>
    <w:rsid w:val="00002877"/>
    <w:rsid w:val="00002935"/>
    <w:rsid w:val="000029D4"/>
    <w:rsid w:val="00002A62"/>
    <w:rsid w:val="00002B40"/>
    <w:rsid w:val="00002BD6"/>
    <w:rsid w:val="00002D5F"/>
    <w:rsid w:val="00002E04"/>
    <w:rsid w:val="00002E3D"/>
    <w:rsid w:val="00002E8C"/>
    <w:rsid w:val="00002EF6"/>
    <w:rsid w:val="00002FD8"/>
    <w:rsid w:val="0000302A"/>
    <w:rsid w:val="000030A0"/>
    <w:rsid w:val="0000313B"/>
    <w:rsid w:val="000033EF"/>
    <w:rsid w:val="00003414"/>
    <w:rsid w:val="000034C4"/>
    <w:rsid w:val="0000359B"/>
    <w:rsid w:val="000035DE"/>
    <w:rsid w:val="000036C6"/>
    <w:rsid w:val="00003709"/>
    <w:rsid w:val="00003732"/>
    <w:rsid w:val="000038B2"/>
    <w:rsid w:val="000038BC"/>
    <w:rsid w:val="000038FE"/>
    <w:rsid w:val="00003953"/>
    <w:rsid w:val="00003AE4"/>
    <w:rsid w:val="00003AFC"/>
    <w:rsid w:val="00003B0E"/>
    <w:rsid w:val="00003BBC"/>
    <w:rsid w:val="00003C21"/>
    <w:rsid w:val="00003C8E"/>
    <w:rsid w:val="00003CA6"/>
    <w:rsid w:val="00003CD6"/>
    <w:rsid w:val="00003CF4"/>
    <w:rsid w:val="00003D1C"/>
    <w:rsid w:val="00003D7A"/>
    <w:rsid w:val="00003DE0"/>
    <w:rsid w:val="00003E64"/>
    <w:rsid w:val="00003F70"/>
    <w:rsid w:val="00003F77"/>
    <w:rsid w:val="000040E5"/>
    <w:rsid w:val="0000415D"/>
    <w:rsid w:val="0000417A"/>
    <w:rsid w:val="00004227"/>
    <w:rsid w:val="00004360"/>
    <w:rsid w:val="0000436D"/>
    <w:rsid w:val="0000439D"/>
    <w:rsid w:val="000043B5"/>
    <w:rsid w:val="00004422"/>
    <w:rsid w:val="0000445A"/>
    <w:rsid w:val="00004498"/>
    <w:rsid w:val="000044F6"/>
    <w:rsid w:val="00004517"/>
    <w:rsid w:val="00004567"/>
    <w:rsid w:val="0000458C"/>
    <w:rsid w:val="000045AC"/>
    <w:rsid w:val="00004637"/>
    <w:rsid w:val="00004639"/>
    <w:rsid w:val="00004677"/>
    <w:rsid w:val="000046DA"/>
    <w:rsid w:val="00004714"/>
    <w:rsid w:val="00004750"/>
    <w:rsid w:val="00004817"/>
    <w:rsid w:val="00004821"/>
    <w:rsid w:val="00004822"/>
    <w:rsid w:val="00004839"/>
    <w:rsid w:val="00004844"/>
    <w:rsid w:val="000048EC"/>
    <w:rsid w:val="000048FA"/>
    <w:rsid w:val="000049E6"/>
    <w:rsid w:val="00004C10"/>
    <w:rsid w:val="00004CA3"/>
    <w:rsid w:val="00004D07"/>
    <w:rsid w:val="00004D1C"/>
    <w:rsid w:val="00004D39"/>
    <w:rsid w:val="00004F36"/>
    <w:rsid w:val="00004F98"/>
    <w:rsid w:val="00005130"/>
    <w:rsid w:val="0000515E"/>
    <w:rsid w:val="00005165"/>
    <w:rsid w:val="00005204"/>
    <w:rsid w:val="00005246"/>
    <w:rsid w:val="000052F5"/>
    <w:rsid w:val="0000535C"/>
    <w:rsid w:val="00005406"/>
    <w:rsid w:val="00005446"/>
    <w:rsid w:val="000054B2"/>
    <w:rsid w:val="00005544"/>
    <w:rsid w:val="000055CB"/>
    <w:rsid w:val="000056D2"/>
    <w:rsid w:val="000057EC"/>
    <w:rsid w:val="000058B2"/>
    <w:rsid w:val="000058C1"/>
    <w:rsid w:val="000059AD"/>
    <w:rsid w:val="00005B60"/>
    <w:rsid w:val="00005B94"/>
    <w:rsid w:val="00005BE5"/>
    <w:rsid w:val="00005CBA"/>
    <w:rsid w:val="00005F31"/>
    <w:rsid w:val="00005F91"/>
    <w:rsid w:val="00005FF1"/>
    <w:rsid w:val="00006021"/>
    <w:rsid w:val="000061AD"/>
    <w:rsid w:val="000063A6"/>
    <w:rsid w:val="00006575"/>
    <w:rsid w:val="000065B3"/>
    <w:rsid w:val="00006713"/>
    <w:rsid w:val="00006718"/>
    <w:rsid w:val="0000686C"/>
    <w:rsid w:val="00006890"/>
    <w:rsid w:val="000068C5"/>
    <w:rsid w:val="000068E8"/>
    <w:rsid w:val="00006945"/>
    <w:rsid w:val="00006950"/>
    <w:rsid w:val="00006A2E"/>
    <w:rsid w:val="00006A50"/>
    <w:rsid w:val="00006B12"/>
    <w:rsid w:val="00006C1E"/>
    <w:rsid w:val="00006CED"/>
    <w:rsid w:val="00006E4C"/>
    <w:rsid w:val="00006F57"/>
    <w:rsid w:val="00006F5B"/>
    <w:rsid w:val="00006F5C"/>
    <w:rsid w:val="00006FD1"/>
    <w:rsid w:val="000070C1"/>
    <w:rsid w:val="000070C6"/>
    <w:rsid w:val="00007398"/>
    <w:rsid w:val="00007467"/>
    <w:rsid w:val="0000757A"/>
    <w:rsid w:val="00007644"/>
    <w:rsid w:val="000076AA"/>
    <w:rsid w:val="000076DE"/>
    <w:rsid w:val="0000774A"/>
    <w:rsid w:val="00007828"/>
    <w:rsid w:val="000078DC"/>
    <w:rsid w:val="00007909"/>
    <w:rsid w:val="0000795E"/>
    <w:rsid w:val="00007A14"/>
    <w:rsid w:val="00007A3D"/>
    <w:rsid w:val="00007A75"/>
    <w:rsid w:val="00007B79"/>
    <w:rsid w:val="00007CB1"/>
    <w:rsid w:val="00007CF4"/>
    <w:rsid w:val="00007DEE"/>
    <w:rsid w:val="00007DFE"/>
    <w:rsid w:val="00007EB5"/>
    <w:rsid w:val="00007F6D"/>
    <w:rsid w:val="000100A9"/>
    <w:rsid w:val="000100F0"/>
    <w:rsid w:val="00010180"/>
    <w:rsid w:val="0001021A"/>
    <w:rsid w:val="00010508"/>
    <w:rsid w:val="000105EE"/>
    <w:rsid w:val="000106B0"/>
    <w:rsid w:val="000108D2"/>
    <w:rsid w:val="000108D4"/>
    <w:rsid w:val="000108E8"/>
    <w:rsid w:val="000109A9"/>
    <w:rsid w:val="000109AD"/>
    <w:rsid w:val="000109F0"/>
    <w:rsid w:val="00010B1E"/>
    <w:rsid w:val="00010B5D"/>
    <w:rsid w:val="00010B78"/>
    <w:rsid w:val="00010BB4"/>
    <w:rsid w:val="00010D08"/>
    <w:rsid w:val="00010D0D"/>
    <w:rsid w:val="00010ED8"/>
    <w:rsid w:val="00010EEA"/>
    <w:rsid w:val="00010F1F"/>
    <w:rsid w:val="00010F68"/>
    <w:rsid w:val="00010FAE"/>
    <w:rsid w:val="000110AF"/>
    <w:rsid w:val="000111BB"/>
    <w:rsid w:val="000111E0"/>
    <w:rsid w:val="00011246"/>
    <w:rsid w:val="00011275"/>
    <w:rsid w:val="0001140A"/>
    <w:rsid w:val="000114FB"/>
    <w:rsid w:val="00011530"/>
    <w:rsid w:val="00011539"/>
    <w:rsid w:val="000115E2"/>
    <w:rsid w:val="000115F2"/>
    <w:rsid w:val="000116EC"/>
    <w:rsid w:val="0001173B"/>
    <w:rsid w:val="00011910"/>
    <w:rsid w:val="00011AB4"/>
    <w:rsid w:val="00011AB9"/>
    <w:rsid w:val="00011ADB"/>
    <w:rsid w:val="00011B34"/>
    <w:rsid w:val="00011B97"/>
    <w:rsid w:val="00011BD4"/>
    <w:rsid w:val="00011C4F"/>
    <w:rsid w:val="00011C6B"/>
    <w:rsid w:val="00011D47"/>
    <w:rsid w:val="00011EAC"/>
    <w:rsid w:val="00011EE6"/>
    <w:rsid w:val="00011FF2"/>
    <w:rsid w:val="0001207F"/>
    <w:rsid w:val="0001214D"/>
    <w:rsid w:val="0001218B"/>
    <w:rsid w:val="0001230D"/>
    <w:rsid w:val="0001259C"/>
    <w:rsid w:val="000125D6"/>
    <w:rsid w:val="000125E7"/>
    <w:rsid w:val="00012603"/>
    <w:rsid w:val="000126B0"/>
    <w:rsid w:val="0001282E"/>
    <w:rsid w:val="0001285C"/>
    <w:rsid w:val="000129A6"/>
    <w:rsid w:val="000129FB"/>
    <w:rsid w:val="00012A18"/>
    <w:rsid w:val="00012A44"/>
    <w:rsid w:val="00012ADE"/>
    <w:rsid w:val="00012B27"/>
    <w:rsid w:val="00012B5C"/>
    <w:rsid w:val="00012B91"/>
    <w:rsid w:val="00012B92"/>
    <w:rsid w:val="00012BE4"/>
    <w:rsid w:val="00012C50"/>
    <w:rsid w:val="00012CD4"/>
    <w:rsid w:val="00012DBB"/>
    <w:rsid w:val="00012F08"/>
    <w:rsid w:val="0001301C"/>
    <w:rsid w:val="0001302F"/>
    <w:rsid w:val="00013093"/>
    <w:rsid w:val="000130D2"/>
    <w:rsid w:val="00013148"/>
    <w:rsid w:val="00013166"/>
    <w:rsid w:val="0001327B"/>
    <w:rsid w:val="000132D2"/>
    <w:rsid w:val="00013373"/>
    <w:rsid w:val="00013448"/>
    <w:rsid w:val="00013571"/>
    <w:rsid w:val="00013608"/>
    <w:rsid w:val="000136CD"/>
    <w:rsid w:val="00013814"/>
    <w:rsid w:val="00013875"/>
    <w:rsid w:val="0001397A"/>
    <w:rsid w:val="000139A7"/>
    <w:rsid w:val="00013A06"/>
    <w:rsid w:val="00013B3C"/>
    <w:rsid w:val="00013B57"/>
    <w:rsid w:val="00013B5B"/>
    <w:rsid w:val="00013C14"/>
    <w:rsid w:val="00013D2B"/>
    <w:rsid w:val="00013E03"/>
    <w:rsid w:val="00013F5A"/>
    <w:rsid w:val="00013FBD"/>
    <w:rsid w:val="0001403D"/>
    <w:rsid w:val="00014042"/>
    <w:rsid w:val="00014191"/>
    <w:rsid w:val="00014219"/>
    <w:rsid w:val="0001427A"/>
    <w:rsid w:val="000142BF"/>
    <w:rsid w:val="00014363"/>
    <w:rsid w:val="000143D4"/>
    <w:rsid w:val="00014495"/>
    <w:rsid w:val="00014510"/>
    <w:rsid w:val="00014529"/>
    <w:rsid w:val="0001452B"/>
    <w:rsid w:val="00014554"/>
    <w:rsid w:val="000145B8"/>
    <w:rsid w:val="000146DB"/>
    <w:rsid w:val="0001472E"/>
    <w:rsid w:val="0001474D"/>
    <w:rsid w:val="00014788"/>
    <w:rsid w:val="000147D5"/>
    <w:rsid w:val="0001484B"/>
    <w:rsid w:val="00014936"/>
    <w:rsid w:val="000149C2"/>
    <w:rsid w:val="00014A6A"/>
    <w:rsid w:val="00014A71"/>
    <w:rsid w:val="00014ABD"/>
    <w:rsid w:val="00014B50"/>
    <w:rsid w:val="00014C7C"/>
    <w:rsid w:val="00014C7F"/>
    <w:rsid w:val="00014E22"/>
    <w:rsid w:val="00014E51"/>
    <w:rsid w:val="00014EE6"/>
    <w:rsid w:val="00014F14"/>
    <w:rsid w:val="00014F31"/>
    <w:rsid w:val="00014F94"/>
    <w:rsid w:val="000150D3"/>
    <w:rsid w:val="000151E3"/>
    <w:rsid w:val="000151EB"/>
    <w:rsid w:val="00015200"/>
    <w:rsid w:val="00015381"/>
    <w:rsid w:val="000153F7"/>
    <w:rsid w:val="00015453"/>
    <w:rsid w:val="00015636"/>
    <w:rsid w:val="00015654"/>
    <w:rsid w:val="00015872"/>
    <w:rsid w:val="00015896"/>
    <w:rsid w:val="0001589A"/>
    <w:rsid w:val="000159F7"/>
    <w:rsid w:val="00015A7A"/>
    <w:rsid w:val="00015AAF"/>
    <w:rsid w:val="00015B55"/>
    <w:rsid w:val="00015CBC"/>
    <w:rsid w:val="00015D76"/>
    <w:rsid w:val="00015EFB"/>
    <w:rsid w:val="00016134"/>
    <w:rsid w:val="00016272"/>
    <w:rsid w:val="000162AB"/>
    <w:rsid w:val="00016301"/>
    <w:rsid w:val="000163B2"/>
    <w:rsid w:val="000166B3"/>
    <w:rsid w:val="000167EE"/>
    <w:rsid w:val="0001688A"/>
    <w:rsid w:val="00016897"/>
    <w:rsid w:val="00016948"/>
    <w:rsid w:val="0001695F"/>
    <w:rsid w:val="00016962"/>
    <w:rsid w:val="000169E0"/>
    <w:rsid w:val="00016B50"/>
    <w:rsid w:val="00016B8C"/>
    <w:rsid w:val="00016BC8"/>
    <w:rsid w:val="00016C5C"/>
    <w:rsid w:val="00016C79"/>
    <w:rsid w:val="00016D1F"/>
    <w:rsid w:val="00016D4E"/>
    <w:rsid w:val="00016E40"/>
    <w:rsid w:val="00016FE9"/>
    <w:rsid w:val="00017003"/>
    <w:rsid w:val="00017352"/>
    <w:rsid w:val="00017374"/>
    <w:rsid w:val="000173EF"/>
    <w:rsid w:val="00017402"/>
    <w:rsid w:val="0001741E"/>
    <w:rsid w:val="00017432"/>
    <w:rsid w:val="0001745E"/>
    <w:rsid w:val="0001765A"/>
    <w:rsid w:val="00017757"/>
    <w:rsid w:val="00017791"/>
    <w:rsid w:val="00017817"/>
    <w:rsid w:val="000178B1"/>
    <w:rsid w:val="000179B3"/>
    <w:rsid w:val="00017A6A"/>
    <w:rsid w:val="00017A78"/>
    <w:rsid w:val="00017A90"/>
    <w:rsid w:val="00017A9A"/>
    <w:rsid w:val="00017AE2"/>
    <w:rsid w:val="00017C9B"/>
    <w:rsid w:val="00017D1E"/>
    <w:rsid w:val="00017D9D"/>
    <w:rsid w:val="00017DF0"/>
    <w:rsid w:val="00017F89"/>
    <w:rsid w:val="00017FE6"/>
    <w:rsid w:val="00020003"/>
    <w:rsid w:val="000201BC"/>
    <w:rsid w:val="00020283"/>
    <w:rsid w:val="0002032E"/>
    <w:rsid w:val="00020520"/>
    <w:rsid w:val="000205CC"/>
    <w:rsid w:val="00020786"/>
    <w:rsid w:val="0002093E"/>
    <w:rsid w:val="000209EA"/>
    <w:rsid w:val="000209F0"/>
    <w:rsid w:val="000209F2"/>
    <w:rsid w:val="00020A47"/>
    <w:rsid w:val="00020B7A"/>
    <w:rsid w:val="00020C97"/>
    <w:rsid w:val="00020CAB"/>
    <w:rsid w:val="00020CE7"/>
    <w:rsid w:val="00020D46"/>
    <w:rsid w:val="00020D61"/>
    <w:rsid w:val="00020E80"/>
    <w:rsid w:val="00020FC8"/>
    <w:rsid w:val="000210F2"/>
    <w:rsid w:val="000211D0"/>
    <w:rsid w:val="00021251"/>
    <w:rsid w:val="0002129C"/>
    <w:rsid w:val="00021367"/>
    <w:rsid w:val="000213BD"/>
    <w:rsid w:val="0002146D"/>
    <w:rsid w:val="0002147C"/>
    <w:rsid w:val="0002148C"/>
    <w:rsid w:val="000214B3"/>
    <w:rsid w:val="000214CB"/>
    <w:rsid w:val="00021661"/>
    <w:rsid w:val="000216C3"/>
    <w:rsid w:val="00021729"/>
    <w:rsid w:val="0002178E"/>
    <w:rsid w:val="0002182A"/>
    <w:rsid w:val="000218BE"/>
    <w:rsid w:val="000218E3"/>
    <w:rsid w:val="00021991"/>
    <w:rsid w:val="000219AF"/>
    <w:rsid w:val="000219E7"/>
    <w:rsid w:val="00021AEC"/>
    <w:rsid w:val="00021BBC"/>
    <w:rsid w:val="00021C49"/>
    <w:rsid w:val="00021C71"/>
    <w:rsid w:val="00021EDB"/>
    <w:rsid w:val="0002205E"/>
    <w:rsid w:val="000221A3"/>
    <w:rsid w:val="000221E6"/>
    <w:rsid w:val="00022207"/>
    <w:rsid w:val="00022216"/>
    <w:rsid w:val="0002221E"/>
    <w:rsid w:val="000223A5"/>
    <w:rsid w:val="00022483"/>
    <w:rsid w:val="00022489"/>
    <w:rsid w:val="000225B0"/>
    <w:rsid w:val="00022640"/>
    <w:rsid w:val="00022649"/>
    <w:rsid w:val="0002268C"/>
    <w:rsid w:val="00022759"/>
    <w:rsid w:val="000228A7"/>
    <w:rsid w:val="000228F6"/>
    <w:rsid w:val="00022B18"/>
    <w:rsid w:val="00022C51"/>
    <w:rsid w:val="00022D11"/>
    <w:rsid w:val="00022D1E"/>
    <w:rsid w:val="00022D32"/>
    <w:rsid w:val="00022DA5"/>
    <w:rsid w:val="00022EEA"/>
    <w:rsid w:val="00022F44"/>
    <w:rsid w:val="00022F83"/>
    <w:rsid w:val="00023141"/>
    <w:rsid w:val="000231BD"/>
    <w:rsid w:val="0002338E"/>
    <w:rsid w:val="000233E3"/>
    <w:rsid w:val="0002346C"/>
    <w:rsid w:val="00023488"/>
    <w:rsid w:val="0002348E"/>
    <w:rsid w:val="000234B8"/>
    <w:rsid w:val="0002353C"/>
    <w:rsid w:val="00023639"/>
    <w:rsid w:val="000236AC"/>
    <w:rsid w:val="000236CA"/>
    <w:rsid w:val="00023B05"/>
    <w:rsid w:val="00023D97"/>
    <w:rsid w:val="00023DA3"/>
    <w:rsid w:val="00023EC0"/>
    <w:rsid w:val="00023FAF"/>
    <w:rsid w:val="0002400D"/>
    <w:rsid w:val="00024032"/>
    <w:rsid w:val="00024105"/>
    <w:rsid w:val="00024167"/>
    <w:rsid w:val="0002424D"/>
    <w:rsid w:val="00024304"/>
    <w:rsid w:val="000243F9"/>
    <w:rsid w:val="00024465"/>
    <w:rsid w:val="000244B5"/>
    <w:rsid w:val="000244D4"/>
    <w:rsid w:val="000245DA"/>
    <w:rsid w:val="0002473B"/>
    <w:rsid w:val="0002474D"/>
    <w:rsid w:val="00024827"/>
    <w:rsid w:val="00024D75"/>
    <w:rsid w:val="00024D95"/>
    <w:rsid w:val="00024E24"/>
    <w:rsid w:val="00024F75"/>
    <w:rsid w:val="00024F9B"/>
    <w:rsid w:val="00024FD7"/>
    <w:rsid w:val="00024FEE"/>
    <w:rsid w:val="00025092"/>
    <w:rsid w:val="000250D9"/>
    <w:rsid w:val="000251AC"/>
    <w:rsid w:val="00025279"/>
    <w:rsid w:val="00025285"/>
    <w:rsid w:val="0002538B"/>
    <w:rsid w:val="000253B3"/>
    <w:rsid w:val="000253EE"/>
    <w:rsid w:val="000254BD"/>
    <w:rsid w:val="000254C1"/>
    <w:rsid w:val="00025538"/>
    <w:rsid w:val="0002558D"/>
    <w:rsid w:val="000255B6"/>
    <w:rsid w:val="000255DA"/>
    <w:rsid w:val="0002569C"/>
    <w:rsid w:val="000256B6"/>
    <w:rsid w:val="000256D9"/>
    <w:rsid w:val="000257E2"/>
    <w:rsid w:val="0002584F"/>
    <w:rsid w:val="0002588F"/>
    <w:rsid w:val="000258A7"/>
    <w:rsid w:val="00025A52"/>
    <w:rsid w:val="00025A67"/>
    <w:rsid w:val="00025B45"/>
    <w:rsid w:val="00025DFD"/>
    <w:rsid w:val="00025EA3"/>
    <w:rsid w:val="00025EE9"/>
    <w:rsid w:val="00025EF0"/>
    <w:rsid w:val="00025F03"/>
    <w:rsid w:val="00025FB9"/>
    <w:rsid w:val="00026009"/>
    <w:rsid w:val="00026035"/>
    <w:rsid w:val="000260E6"/>
    <w:rsid w:val="00026334"/>
    <w:rsid w:val="000264DF"/>
    <w:rsid w:val="000264E3"/>
    <w:rsid w:val="000264FE"/>
    <w:rsid w:val="000265BE"/>
    <w:rsid w:val="00026683"/>
    <w:rsid w:val="000266F9"/>
    <w:rsid w:val="00026783"/>
    <w:rsid w:val="0002678C"/>
    <w:rsid w:val="00026854"/>
    <w:rsid w:val="00026B04"/>
    <w:rsid w:val="00026C19"/>
    <w:rsid w:val="00026D29"/>
    <w:rsid w:val="00026F26"/>
    <w:rsid w:val="00027086"/>
    <w:rsid w:val="00027116"/>
    <w:rsid w:val="00027145"/>
    <w:rsid w:val="0002714D"/>
    <w:rsid w:val="000271B4"/>
    <w:rsid w:val="000271E8"/>
    <w:rsid w:val="0002724B"/>
    <w:rsid w:val="00027331"/>
    <w:rsid w:val="00027357"/>
    <w:rsid w:val="00027359"/>
    <w:rsid w:val="00027473"/>
    <w:rsid w:val="00027474"/>
    <w:rsid w:val="00027517"/>
    <w:rsid w:val="00027568"/>
    <w:rsid w:val="00027607"/>
    <w:rsid w:val="0002770B"/>
    <w:rsid w:val="0002770C"/>
    <w:rsid w:val="0002774E"/>
    <w:rsid w:val="000277F3"/>
    <w:rsid w:val="000277F5"/>
    <w:rsid w:val="00027A62"/>
    <w:rsid w:val="00027BCD"/>
    <w:rsid w:val="00027F2D"/>
    <w:rsid w:val="00027FCB"/>
    <w:rsid w:val="000300D8"/>
    <w:rsid w:val="00030136"/>
    <w:rsid w:val="0003032D"/>
    <w:rsid w:val="00030350"/>
    <w:rsid w:val="0003040C"/>
    <w:rsid w:val="000304EA"/>
    <w:rsid w:val="0003059C"/>
    <w:rsid w:val="00030A58"/>
    <w:rsid w:val="00030B60"/>
    <w:rsid w:val="00030C75"/>
    <w:rsid w:val="00030DD2"/>
    <w:rsid w:val="00030E1E"/>
    <w:rsid w:val="00030E82"/>
    <w:rsid w:val="00030EE5"/>
    <w:rsid w:val="0003118E"/>
    <w:rsid w:val="00031276"/>
    <w:rsid w:val="000312B8"/>
    <w:rsid w:val="00031311"/>
    <w:rsid w:val="00031375"/>
    <w:rsid w:val="000313B7"/>
    <w:rsid w:val="00031456"/>
    <w:rsid w:val="000314C4"/>
    <w:rsid w:val="000315B5"/>
    <w:rsid w:val="000317B5"/>
    <w:rsid w:val="000317E8"/>
    <w:rsid w:val="0003188D"/>
    <w:rsid w:val="0003192E"/>
    <w:rsid w:val="00031C16"/>
    <w:rsid w:val="00031CA8"/>
    <w:rsid w:val="00031D6D"/>
    <w:rsid w:val="00031D73"/>
    <w:rsid w:val="00031E59"/>
    <w:rsid w:val="00031F96"/>
    <w:rsid w:val="00032344"/>
    <w:rsid w:val="0003235D"/>
    <w:rsid w:val="00032382"/>
    <w:rsid w:val="00032707"/>
    <w:rsid w:val="00032776"/>
    <w:rsid w:val="000329E8"/>
    <w:rsid w:val="00032AE8"/>
    <w:rsid w:val="00032B9E"/>
    <w:rsid w:val="00032BFA"/>
    <w:rsid w:val="00032DD2"/>
    <w:rsid w:val="00032E0A"/>
    <w:rsid w:val="00032E5D"/>
    <w:rsid w:val="00032EB1"/>
    <w:rsid w:val="00032F18"/>
    <w:rsid w:val="00032F2C"/>
    <w:rsid w:val="000331EF"/>
    <w:rsid w:val="00033403"/>
    <w:rsid w:val="000335C7"/>
    <w:rsid w:val="0003363D"/>
    <w:rsid w:val="00033798"/>
    <w:rsid w:val="00033807"/>
    <w:rsid w:val="000338AC"/>
    <w:rsid w:val="00033A5D"/>
    <w:rsid w:val="00033ADC"/>
    <w:rsid w:val="00033AEE"/>
    <w:rsid w:val="00033BCE"/>
    <w:rsid w:val="00033BE8"/>
    <w:rsid w:val="00033C02"/>
    <w:rsid w:val="00033D20"/>
    <w:rsid w:val="00033E35"/>
    <w:rsid w:val="00033E44"/>
    <w:rsid w:val="00033E6D"/>
    <w:rsid w:val="00033F8D"/>
    <w:rsid w:val="00033FBF"/>
    <w:rsid w:val="000340F3"/>
    <w:rsid w:val="0003416B"/>
    <w:rsid w:val="0003416D"/>
    <w:rsid w:val="000341E1"/>
    <w:rsid w:val="0003421A"/>
    <w:rsid w:val="0003426D"/>
    <w:rsid w:val="0003438B"/>
    <w:rsid w:val="000343A6"/>
    <w:rsid w:val="000343B0"/>
    <w:rsid w:val="000343EE"/>
    <w:rsid w:val="000343FF"/>
    <w:rsid w:val="000344EF"/>
    <w:rsid w:val="00034777"/>
    <w:rsid w:val="00034781"/>
    <w:rsid w:val="00034795"/>
    <w:rsid w:val="000347C9"/>
    <w:rsid w:val="00034814"/>
    <w:rsid w:val="000348A1"/>
    <w:rsid w:val="000349AA"/>
    <w:rsid w:val="00034A68"/>
    <w:rsid w:val="00034BD5"/>
    <w:rsid w:val="00034C90"/>
    <w:rsid w:val="00034CFF"/>
    <w:rsid w:val="00034F43"/>
    <w:rsid w:val="00034F8A"/>
    <w:rsid w:val="00034FDC"/>
    <w:rsid w:val="00035136"/>
    <w:rsid w:val="00035282"/>
    <w:rsid w:val="00035287"/>
    <w:rsid w:val="000353E0"/>
    <w:rsid w:val="00035539"/>
    <w:rsid w:val="000357C2"/>
    <w:rsid w:val="000358C2"/>
    <w:rsid w:val="000358FD"/>
    <w:rsid w:val="000359C6"/>
    <w:rsid w:val="000359E6"/>
    <w:rsid w:val="00035ABC"/>
    <w:rsid w:val="00035BA0"/>
    <w:rsid w:val="00035D21"/>
    <w:rsid w:val="00035DA1"/>
    <w:rsid w:val="00035E00"/>
    <w:rsid w:val="00035E2B"/>
    <w:rsid w:val="00035F08"/>
    <w:rsid w:val="00035F2E"/>
    <w:rsid w:val="00035FF0"/>
    <w:rsid w:val="00036059"/>
    <w:rsid w:val="00036259"/>
    <w:rsid w:val="0003628C"/>
    <w:rsid w:val="00036354"/>
    <w:rsid w:val="00036396"/>
    <w:rsid w:val="000364C2"/>
    <w:rsid w:val="000365A1"/>
    <w:rsid w:val="000365A5"/>
    <w:rsid w:val="000368AE"/>
    <w:rsid w:val="0003694B"/>
    <w:rsid w:val="00036A78"/>
    <w:rsid w:val="00036B2D"/>
    <w:rsid w:val="00036BE7"/>
    <w:rsid w:val="00036D6A"/>
    <w:rsid w:val="00036F3C"/>
    <w:rsid w:val="00036F42"/>
    <w:rsid w:val="00036F46"/>
    <w:rsid w:val="00036F82"/>
    <w:rsid w:val="00036FA3"/>
    <w:rsid w:val="000372EB"/>
    <w:rsid w:val="00037321"/>
    <w:rsid w:val="0003741D"/>
    <w:rsid w:val="0003745F"/>
    <w:rsid w:val="0003747A"/>
    <w:rsid w:val="0003762A"/>
    <w:rsid w:val="0003766B"/>
    <w:rsid w:val="000377BE"/>
    <w:rsid w:val="0003785F"/>
    <w:rsid w:val="000378DA"/>
    <w:rsid w:val="000378E8"/>
    <w:rsid w:val="00037947"/>
    <w:rsid w:val="0003795F"/>
    <w:rsid w:val="00037A88"/>
    <w:rsid w:val="00037AF1"/>
    <w:rsid w:val="00037B1B"/>
    <w:rsid w:val="00037B51"/>
    <w:rsid w:val="00037BA2"/>
    <w:rsid w:val="00037C03"/>
    <w:rsid w:val="00037C0A"/>
    <w:rsid w:val="00037CDE"/>
    <w:rsid w:val="00037DDF"/>
    <w:rsid w:val="00037DFF"/>
    <w:rsid w:val="00037EFE"/>
    <w:rsid w:val="00037F04"/>
    <w:rsid w:val="00037F47"/>
    <w:rsid w:val="00037F6A"/>
    <w:rsid w:val="00040104"/>
    <w:rsid w:val="0004017B"/>
    <w:rsid w:val="000401D6"/>
    <w:rsid w:val="000403A7"/>
    <w:rsid w:val="000403B4"/>
    <w:rsid w:val="00040754"/>
    <w:rsid w:val="000407CA"/>
    <w:rsid w:val="000408DF"/>
    <w:rsid w:val="0004099F"/>
    <w:rsid w:val="000409D1"/>
    <w:rsid w:val="00040C9A"/>
    <w:rsid w:val="00040CC9"/>
    <w:rsid w:val="00040DA5"/>
    <w:rsid w:val="00040E33"/>
    <w:rsid w:val="00040EB0"/>
    <w:rsid w:val="00040F92"/>
    <w:rsid w:val="00040FB0"/>
    <w:rsid w:val="00041003"/>
    <w:rsid w:val="000410A5"/>
    <w:rsid w:val="0004121E"/>
    <w:rsid w:val="000412E5"/>
    <w:rsid w:val="000412F9"/>
    <w:rsid w:val="000412FA"/>
    <w:rsid w:val="000413D3"/>
    <w:rsid w:val="00041406"/>
    <w:rsid w:val="00041423"/>
    <w:rsid w:val="000414C0"/>
    <w:rsid w:val="0004150B"/>
    <w:rsid w:val="0004150D"/>
    <w:rsid w:val="0004180A"/>
    <w:rsid w:val="000418B6"/>
    <w:rsid w:val="000418E4"/>
    <w:rsid w:val="00041A81"/>
    <w:rsid w:val="00041ADF"/>
    <w:rsid w:val="00041B60"/>
    <w:rsid w:val="00041BCC"/>
    <w:rsid w:val="00041C09"/>
    <w:rsid w:val="00041C5F"/>
    <w:rsid w:val="00041CD3"/>
    <w:rsid w:val="00041CD9"/>
    <w:rsid w:val="00041D2C"/>
    <w:rsid w:val="00041D3F"/>
    <w:rsid w:val="00041D52"/>
    <w:rsid w:val="00041E60"/>
    <w:rsid w:val="00041E9F"/>
    <w:rsid w:val="00041F25"/>
    <w:rsid w:val="00041F5D"/>
    <w:rsid w:val="00041FDC"/>
    <w:rsid w:val="00042072"/>
    <w:rsid w:val="000420BA"/>
    <w:rsid w:val="00042131"/>
    <w:rsid w:val="0004215A"/>
    <w:rsid w:val="00042179"/>
    <w:rsid w:val="0004253E"/>
    <w:rsid w:val="00042627"/>
    <w:rsid w:val="00042767"/>
    <w:rsid w:val="00042797"/>
    <w:rsid w:val="00042876"/>
    <w:rsid w:val="000428E5"/>
    <w:rsid w:val="00042A0E"/>
    <w:rsid w:val="00042A75"/>
    <w:rsid w:val="00042A83"/>
    <w:rsid w:val="00042BA1"/>
    <w:rsid w:val="00042C64"/>
    <w:rsid w:val="00042DD6"/>
    <w:rsid w:val="00042F26"/>
    <w:rsid w:val="000430CC"/>
    <w:rsid w:val="00043174"/>
    <w:rsid w:val="000432EF"/>
    <w:rsid w:val="00043493"/>
    <w:rsid w:val="000434E6"/>
    <w:rsid w:val="000434EC"/>
    <w:rsid w:val="000435A2"/>
    <w:rsid w:val="000435C7"/>
    <w:rsid w:val="00043646"/>
    <w:rsid w:val="000436CD"/>
    <w:rsid w:val="000437CC"/>
    <w:rsid w:val="0004385F"/>
    <w:rsid w:val="000438A6"/>
    <w:rsid w:val="000438DA"/>
    <w:rsid w:val="0004391F"/>
    <w:rsid w:val="00043A3F"/>
    <w:rsid w:val="00043A64"/>
    <w:rsid w:val="00043A6A"/>
    <w:rsid w:val="00043B0A"/>
    <w:rsid w:val="00043C0B"/>
    <w:rsid w:val="00043D46"/>
    <w:rsid w:val="00043D47"/>
    <w:rsid w:val="00043D48"/>
    <w:rsid w:val="00043DEB"/>
    <w:rsid w:val="00043DF0"/>
    <w:rsid w:val="0004401F"/>
    <w:rsid w:val="00044045"/>
    <w:rsid w:val="0004431F"/>
    <w:rsid w:val="00044364"/>
    <w:rsid w:val="00044397"/>
    <w:rsid w:val="000444EE"/>
    <w:rsid w:val="00044590"/>
    <w:rsid w:val="000445F3"/>
    <w:rsid w:val="0004467F"/>
    <w:rsid w:val="000446E5"/>
    <w:rsid w:val="00044705"/>
    <w:rsid w:val="000448E7"/>
    <w:rsid w:val="00044A6F"/>
    <w:rsid w:val="00044AEB"/>
    <w:rsid w:val="00044B1B"/>
    <w:rsid w:val="00044BD3"/>
    <w:rsid w:val="00044CB6"/>
    <w:rsid w:val="00044D78"/>
    <w:rsid w:val="00044E73"/>
    <w:rsid w:val="00044EEE"/>
    <w:rsid w:val="00044EFE"/>
    <w:rsid w:val="00044F09"/>
    <w:rsid w:val="00045007"/>
    <w:rsid w:val="00045094"/>
    <w:rsid w:val="000453CB"/>
    <w:rsid w:val="000453E5"/>
    <w:rsid w:val="000454BD"/>
    <w:rsid w:val="000455AF"/>
    <w:rsid w:val="000455B3"/>
    <w:rsid w:val="000455BB"/>
    <w:rsid w:val="00045601"/>
    <w:rsid w:val="00045685"/>
    <w:rsid w:val="000456D3"/>
    <w:rsid w:val="000456F1"/>
    <w:rsid w:val="00045758"/>
    <w:rsid w:val="00045803"/>
    <w:rsid w:val="00045852"/>
    <w:rsid w:val="00045A34"/>
    <w:rsid w:val="00045A96"/>
    <w:rsid w:val="00045AC2"/>
    <w:rsid w:val="00045BD0"/>
    <w:rsid w:val="00045D16"/>
    <w:rsid w:val="00045E41"/>
    <w:rsid w:val="00045ED8"/>
    <w:rsid w:val="00045F33"/>
    <w:rsid w:val="00045F68"/>
    <w:rsid w:val="00045FBC"/>
    <w:rsid w:val="00045FE0"/>
    <w:rsid w:val="00046088"/>
    <w:rsid w:val="000461E7"/>
    <w:rsid w:val="00046203"/>
    <w:rsid w:val="00046450"/>
    <w:rsid w:val="000468ED"/>
    <w:rsid w:val="00046931"/>
    <w:rsid w:val="000469A4"/>
    <w:rsid w:val="00046A52"/>
    <w:rsid w:val="00046AAD"/>
    <w:rsid w:val="00046BCE"/>
    <w:rsid w:val="00046BE1"/>
    <w:rsid w:val="00046C53"/>
    <w:rsid w:val="00046D33"/>
    <w:rsid w:val="00046DBA"/>
    <w:rsid w:val="00046DED"/>
    <w:rsid w:val="00046EA0"/>
    <w:rsid w:val="00046FFF"/>
    <w:rsid w:val="0004706A"/>
    <w:rsid w:val="00047209"/>
    <w:rsid w:val="0004725B"/>
    <w:rsid w:val="0004725F"/>
    <w:rsid w:val="0004729E"/>
    <w:rsid w:val="000473D0"/>
    <w:rsid w:val="00047401"/>
    <w:rsid w:val="00047456"/>
    <w:rsid w:val="0004749A"/>
    <w:rsid w:val="00047597"/>
    <w:rsid w:val="000476B1"/>
    <w:rsid w:val="00047950"/>
    <w:rsid w:val="000479BB"/>
    <w:rsid w:val="000479E5"/>
    <w:rsid w:val="00047AF0"/>
    <w:rsid w:val="00047B6F"/>
    <w:rsid w:val="00047BC1"/>
    <w:rsid w:val="00047C5A"/>
    <w:rsid w:val="00047C88"/>
    <w:rsid w:val="00047CD7"/>
    <w:rsid w:val="00047ED2"/>
    <w:rsid w:val="00050029"/>
    <w:rsid w:val="00050103"/>
    <w:rsid w:val="000501FB"/>
    <w:rsid w:val="000502DF"/>
    <w:rsid w:val="0005037B"/>
    <w:rsid w:val="00050417"/>
    <w:rsid w:val="0005042D"/>
    <w:rsid w:val="00050470"/>
    <w:rsid w:val="0005064E"/>
    <w:rsid w:val="0005064F"/>
    <w:rsid w:val="00050767"/>
    <w:rsid w:val="00050837"/>
    <w:rsid w:val="00050883"/>
    <w:rsid w:val="000508EB"/>
    <w:rsid w:val="00050AD0"/>
    <w:rsid w:val="00050C00"/>
    <w:rsid w:val="0005117A"/>
    <w:rsid w:val="0005117E"/>
    <w:rsid w:val="00051320"/>
    <w:rsid w:val="00051389"/>
    <w:rsid w:val="0005145F"/>
    <w:rsid w:val="000514AB"/>
    <w:rsid w:val="00051558"/>
    <w:rsid w:val="000515B4"/>
    <w:rsid w:val="0005161E"/>
    <w:rsid w:val="00051665"/>
    <w:rsid w:val="0005169C"/>
    <w:rsid w:val="000516B1"/>
    <w:rsid w:val="0005173A"/>
    <w:rsid w:val="0005177D"/>
    <w:rsid w:val="00051889"/>
    <w:rsid w:val="000518B9"/>
    <w:rsid w:val="00051956"/>
    <w:rsid w:val="00051971"/>
    <w:rsid w:val="000519F8"/>
    <w:rsid w:val="00051A7F"/>
    <w:rsid w:val="00051B21"/>
    <w:rsid w:val="00051B3C"/>
    <w:rsid w:val="00051C0E"/>
    <w:rsid w:val="00051C30"/>
    <w:rsid w:val="00051CA8"/>
    <w:rsid w:val="00051F07"/>
    <w:rsid w:val="00051F66"/>
    <w:rsid w:val="00051FAE"/>
    <w:rsid w:val="0005201D"/>
    <w:rsid w:val="000520DC"/>
    <w:rsid w:val="0005215D"/>
    <w:rsid w:val="0005216F"/>
    <w:rsid w:val="00052186"/>
    <w:rsid w:val="0005218B"/>
    <w:rsid w:val="000521D7"/>
    <w:rsid w:val="00052203"/>
    <w:rsid w:val="0005222F"/>
    <w:rsid w:val="0005232D"/>
    <w:rsid w:val="00052377"/>
    <w:rsid w:val="00052387"/>
    <w:rsid w:val="000523C9"/>
    <w:rsid w:val="0005240D"/>
    <w:rsid w:val="000526DC"/>
    <w:rsid w:val="00052720"/>
    <w:rsid w:val="000527B2"/>
    <w:rsid w:val="000528C3"/>
    <w:rsid w:val="000528D5"/>
    <w:rsid w:val="000528EA"/>
    <w:rsid w:val="000528FA"/>
    <w:rsid w:val="00052988"/>
    <w:rsid w:val="000529CA"/>
    <w:rsid w:val="00052A26"/>
    <w:rsid w:val="00052A2B"/>
    <w:rsid w:val="00052A87"/>
    <w:rsid w:val="00052BB9"/>
    <w:rsid w:val="00052C44"/>
    <w:rsid w:val="00052CF7"/>
    <w:rsid w:val="00052D77"/>
    <w:rsid w:val="00052EFA"/>
    <w:rsid w:val="00053000"/>
    <w:rsid w:val="0005304E"/>
    <w:rsid w:val="00053063"/>
    <w:rsid w:val="00053082"/>
    <w:rsid w:val="0005322F"/>
    <w:rsid w:val="000532EF"/>
    <w:rsid w:val="00053508"/>
    <w:rsid w:val="0005365D"/>
    <w:rsid w:val="000536C2"/>
    <w:rsid w:val="00053794"/>
    <w:rsid w:val="0005393B"/>
    <w:rsid w:val="00053961"/>
    <w:rsid w:val="000539B1"/>
    <w:rsid w:val="00053AFF"/>
    <w:rsid w:val="00053B73"/>
    <w:rsid w:val="00053C66"/>
    <w:rsid w:val="00053DC9"/>
    <w:rsid w:val="00053E6C"/>
    <w:rsid w:val="00053E92"/>
    <w:rsid w:val="00053F41"/>
    <w:rsid w:val="00053FAB"/>
    <w:rsid w:val="00053FB3"/>
    <w:rsid w:val="000540B1"/>
    <w:rsid w:val="000542DC"/>
    <w:rsid w:val="0005435B"/>
    <w:rsid w:val="00054383"/>
    <w:rsid w:val="00054417"/>
    <w:rsid w:val="0005449E"/>
    <w:rsid w:val="0005450E"/>
    <w:rsid w:val="00054562"/>
    <w:rsid w:val="0005456B"/>
    <w:rsid w:val="00054589"/>
    <w:rsid w:val="000545D5"/>
    <w:rsid w:val="00054664"/>
    <w:rsid w:val="0005488E"/>
    <w:rsid w:val="000548DC"/>
    <w:rsid w:val="00054B0C"/>
    <w:rsid w:val="00054B58"/>
    <w:rsid w:val="00054BF1"/>
    <w:rsid w:val="00054C26"/>
    <w:rsid w:val="00054C35"/>
    <w:rsid w:val="00054C4D"/>
    <w:rsid w:val="00054CC6"/>
    <w:rsid w:val="00055154"/>
    <w:rsid w:val="00055177"/>
    <w:rsid w:val="00055181"/>
    <w:rsid w:val="0005521E"/>
    <w:rsid w:val="0005545F"/>
    <w:rsid w:val="00055460"/>
    <w:rsid w:val="000554E5"/>
    <w:rsid w:val="0005554F"/>
    <w:rsid w:val="000555BD"/>
    <w:rsid w:val="0005566C"/>
    <w:rsid w:val="000556EE"/>
    <w:rsid w:val="0005574D"/>
    <w:rsid w:val="0005576E"/>
    <w:rsid w:val="00055939"/>
    <w:rsid w:val="00055969"/>
    <w:rsid w:val="00055999"/>
    <w:rsid w:val="000559B1"/>
    <w:rsid w:val="00055CA8"/>
    <w:rsid w:val="00055DB9"/>
    <w:rsid w:val="00055E75"/>
    <w:rsid w:val="000560DA"/>
    <w:rsid w:val="000561FA"/>
    <w:rsid w:val="000561FC"/>
    <w:rsid w:val="0005624B"/>
    <w:rsid w:val="0005627D"/>
    <w:rsid w:val="0005642A"/>
    <w:rsid w:val="00056532"/>
    <w:rsid w:val="0005654E"/>
    <w:rsid w:val="00056551"/>
    <w:rsid w:val="00056600"/>
    <w:rsid w:val="00056634"/>
    <w:rsid w:val="00056826"/>
    <w:rsid w:val="00056966"/>
    <w:rsid w:val="00056A6B"/>
    <w:rsid w:val="00056A9C"/>
    <w:rsid w:val="00056BE6"/>
    <w:rsid w:val="00056CCA"/>
    <w:rsid w:val="00056D08"/>
    <w:rsid w:val="00056D16"/>
    <w:rsid w:val="00056DE6"/>
    <w:rsid w:val="00056DF7"/>
    <w:rsid w:val="00056E23"/>
    <w:rsid w:val="00056E65"/>
    <w:rsid w:val="00056ED9"/>
    <w:rsid w:val="00056FC6"/>
    <w:rsid w:val="00057049"/>
    <w:rsid w:val="000571A2"/>
    <w:rsid w:val="000572FB"/>
    <w:rsid w:val="00057419"/>
    <w:rsid w:val="000574A6"/>
    <w:rsid w:val="00057508"/>
    <w:rsid w:val="00057598"/>
    <w:rsid w:val="00057674"/>
    <w:rsid w:val="000576BC"/>
    <w:rsid w:val="000576E7"/>
    <w:rsid w:val="00057779"/>
    <w:rsid w:val="000579F7"/>
    <w:rsid w:val="00057A12"/>
    <w:rsid w:val="00057ABF"/>
    <w:rsid w:val="00057BBA"/>
    <w:rsid w:val="00057BF7"/>
    <w:rsid w:val="00057C4E"/>
    <w:rsid w:val="00057E5B"/>
    <w:rsid w:val="00057EDC"/>
    <w:rsid w:val="0006018D"/>
    <w:rsid w:val="000603FF"/>
    <w:rsid w:val="00060458"/>
    <w:rsid w:val="0006049D"/>
    <w:rsid w:val="000604A3"/>
    <w:rsid w:val="000605CA"/>
    <w:rsid w:val="00060630"/>
    <w:rsid w:val="0006064C"/>
    <w:rsid w:val="000606B9"/>
    <w:rsid w:val="00060722"/>
    <w:rsid w:val="000608BB"/>
    <w:rsid w:val="00060CF1"/>
    <w:rsid w:val="00060E04"/>
    <w:rsid w:val="00060E8E"/>
    <w:rsid w:val="00060F16"/>
    <w:rsid w:val="0006103C"/>
    <w:rsid w:val="00061057"/>
    <w:rsid w:val="0006111C"/>
    <w:rsid w:val="00061163"/>
    <w:rsid w:val="000612C7"/>
    <w:rsid w:val="0006133F"/>
    <w:rsid w:val="00061487"/>
    <w:rsid w:val="000615B0"/>
    <w:rsid w:val="0006163D"/>
    <w:rsid w:val="00061661"/>
    <w:rsid w:val="0006171F"/>
    <w:rsid w:val="0006172A"/>
    <w:rsid w:val="0006176E"/>
    <w:rsid w:val="000617A2"/>
    <w:rsid w:val="000617DE"/>
    <w:rsid w:val="0006186D"/>
    <w:rsid w:val="00061948"/>
    <w:rsid w:val="00061A51"/>
    <w:rsid w:val="00061B9C"/>
    <w:rsid w:val="00061C55"/>
    <w:rsid w:val="00061CE5"/>
    <w:rsid w:val="00061E6D"/>
    <w:rsid w:val="00061F9F"/>
    <w:rsid w:val="00061FDC"/>
    <w:rsid w:val="000620C2"/>
    <w:rsid w:val="000624AD"/>
    <w:rsid w:val="00062561"/>
    <w:rsid w:val="00062752"/>
    <w:rsid w:val="00062778"/>
    <w:rsid w:val="000627A6"/>
    <w:rsid w:val="0006284A"/>
    <w:rsid w:val="0006298E"/>
    <w:rsid w:val="000629BB"/>
    <w:rsid w:val="00062A1D"/>
    <w:rsid w:val="00062A2A"/>
    <w:rsid w:val="00062A7F"/>
    <w:rsid w:val="00062B32"/>
    <w:rsid w:val="00062B73"/>
    <w:rsid w:val="00062BBD"/>
    <w:rsid w:val="00062D1F"/>
    <w:rsid w:val="00062DE6"/>
    <w:rsid w:val="00062E7B"/>
    <w:rsid w:val="00062F4F"/>
    <w:rsid w:val="00062FDE"/>
    <w:rsid w:val="0006300D"/>
    <w:rsid w:val="0006303D"/>
    <w:rsid w:val="000630AD"/>
    <w:rsid w:val="00063160"/>
    <w:rsid w:val="000631CA"/>
    <w:rsid w:val="000632D9"/>
    <w:rsid w:val="000633FD"/>
    <w:rsid w:val="00063494"/>
    <w:rsid w:val="0006356A"/>
    <w:rsid w:val="000635B8"/>
    <w:rsid w:val="0006370F"/>
    <w:rsid w:val="0006377F"/>
    <w:rsid w:val="000638DE"/>
    <w:rsid w:val="00063B31"/>
    <w:rsid w:val="00063CF7"/>
    <w:rsid w:val="00063DA3"/>
    <w:rsid w:val="00063E54"/>
    <w:rsid w:val="00063F59"/>
    <w:rsid w:val="00063F6B"/>
    <w:rsid w:val="00064114"/>
    <w:rsid w:val="00064271"/>
    <w:rsid w:val="000643A7"/>
    <w:rsid w:val="00064495"/>
    <w:rsid w:val="000644E2"/>
    <w:rsid w:val="000646D3"/>
    <w:rsid w:val="000646E3"/>
    <w:rsid w:val="0006471A"/>
    <w:rsid w:val="00064749"/>
    <w:rsid w:val="000647A8"/>
    <w:rsid w:val="00064803"/>
    <w:rsid w:val="0006484F"/>
    <w:rsid w:val="00064982"/>
    <w:rsid w:val="00064B66"/>
    <w:rsid w:val="00064B7A"/>
    <w:rsid w:val="00064B85"/>
    <w:rsid w:val="00064C24"/>
    <w:rsid w:val="00064C25"/>
    <w:rsid w:val="00064C29"/>
    <w:rsid w:val="00064C8A"/>
    <w:rsid w:val="00064DAF"/>
    <w:rsid w:val="00064F71"/>
    <w:rsid w:val="000651B8"/>
    <w:rsid w:val="00065204"/>
    <w:rsid w:val="000652BF"/>
    <w:rsid w:val="0006539A"/>
    <w:rsid w:val="00065460"/>
    <w:rsid w:val="00065598"/>
    <w:rsid w:val="0006575E"/>
    <w:rsid w:val="000657CF"/>
    <w:rsid w:val="000658C2"/>
    <w:rsid w:val="0006592B"/>
    <w:rsid w:val="00065A19"/>
    <w:rsid w:val="00065B83"/>
    <w:rsid w:val="00065C1B"/>
    <w:rsid w:val="00065E3E"/>
    <w:rsid w:val="00065F2E"/>
    <w:rsid w:val="00065FB1"/>
    <w:rsid w:val="00065FC2"/>
    <w:rsid w:val="00065FCE"/>
    <w:rsid w:val="00066045"/>
    <w:rsid w:val="0006613D"/>
    <w:rsid w:val="0006621A"/>
    <w:rsid w:val="00066234"/>
    <w:rsid w:val="0006638D"/>
    <w:rsid w:val="00066463"/>
    <w:rsid w:val="00066470"/>
    <w:rsid w:val="0006649F"/>
    <w:rsid w:val="00066582"/>
    <w:rsid w:val="00066644"/>
    <w:rsid w:val="00066812"/>
    <w:rsid w:val="000669C0"/>
    <w:rsid w:val="00066A34"/>
    <w:rsid w:val="00066AE8"/>
    <w:rsid w:val="00066B44"/>
    <w:rsid w:val="00066B95"/>
    <w:rsid w:val="00066BC3"/>
    <w:rsid w:val="00066CA5"/>
    <w:rsid w:val="00066DC0"/>
    <w:rsid w:val="00066E37"/>
    <w:rsid w:val="00066E49"/>
    <w:rsid w:val="00066F30"/>
    <w:rsid w:val="00066F37"/>
    <w:rsid w:val="00066F44"/>
    <w:rsid w:val="00066FC3"/>
    <w:rsid w:val="00067031"/>
    <w:rsid w:val="00067035"/>
    <w:rsid w:val="00067126"/>
    <w:rsid w:val="000671B1"/>
    <w:rsid w:val="0006732C"/>
    <w:rsid w:val="00067629"/>
    <w:rsid w:val="0006768C"/>
    <w:rsid w:val="000676DE"/>
    <w:rsid w:val="000676FF"/>
    <w:rsid w:val="0006775A"/>
    <w:rsid w:val="00067765"/>
    <w:rsid w:val="0006779B"/>
    <w:rsid w:val="0006785C"/>
    <w:rsid w:val="00067C7E"/>
    <w:rsid w:val="00067DDB"/>
    <w:rsid w:val="00067E02"/>
    <w:rsid w:val="00067E79"/>
    <w:rsid w:val="0007009D"/>
    <w:rsid w:val="0007016D"/>
    <w:rsid w:val="00070354"/>
    <w:rsid w:val="000703C4"/>
    <w:rsid w:val="0007046D"/>
    <w:rsid w:val="0007054C"/>
    <w:rsid w:val="0007060B"/>
    <w:rsid w:val="00070669"/>
    <w:rsid w:val="00070768"/>
    <w:rsid w:val="0007083E"/>
    <w:rsid w:val="00070882"/>
    <w:rsid w:val="000709BA"/>
    <w:rsid w:val="00070A3B"/>
    <w:rsid w:val="00070AFC"/>
    <w:rsid w:val="00070C0D"/>
    <w:rsid w:val="00070DDC"/>
    <w:rsid w:val="00070E18"/>
    <w:rsid w:val="00070FB3"/>
    <w:rsid w:val="00071047"/>
    <w:rsid w:val="000710AD"/>
    <w:rsid w:val="000711A6"/>
    <w:rsid w:val="000712B2"/>
    <w:rsid w:val="000712C6"/>
    <w:rsid w:val="000713FE"/>
    <w:rsid w:val="0007144A"/>
    <w:rsid w:val="0007147D"/>
    <w:rsid w:val="000714A6"/>
    <w:rsid w:val="00071522"/>
    <w:rsid w:val="0007155F"/>
    <w:rsid w:val="0007169B"/>
    <w:rsid w:val="000717ED"/>
    <w:rsid w:val="00071985"/>
    <w:rsid w:val="000719EA"/>
    <w:rsid w:val="00071AC5"/>
    <w:rsid w:val="00071AE0"/>
    <w:rsid w:val="00071C14"/>
    <w:rsid w:val="00071C98"/>
    <w:rsid w:val="00071E33"/>
    <w:rsid w:val="00071EDD"/>
    <w:rsid w:val="00071FE1"/>
    <w:rsid w:val="0007204C"/>
    <w:rsid w:val="00072055"/>
    <w:rsid w:val="000721C0"/>
    <w:rsid w:val="0007224C"/>
    <w:rsid w:val="000723BD"/>
    <w:rsid w:val="0007261D"/>
    <w:rsid w:val="0007267B"/>
    <w:rsid w:val="0007273C"/>
    <w:rsid w:val="000727C7"/>
    <w:rsid w:val="0007282F"/>
    <w:rsid w:val="00072850"/>
    <w:rsid w:val="000728CF"/>
    <w:rsid w:val="0007292F"/>
    <w:rsid w:val="00072AEF"/>
    <w:rsid w:val="00072B12"/>
    <w:rsid w:val="00072B82"/>
    <w:rsid w:val="00072BC6"/>
    <w:rsid w:val="00072C61"/>
    <w:rsid w:val="00072CFA"/>
    <w:rsid w:val="00072D09"/>
    <w:rsid w:val="00072E9E"/>
    <w:rsid w:val="00072F1F"/>
    <w:rsid w:val="00072F71"/>
    <w:rsid w:val="0007303B"/>
    <w:rsid w:val="00073143"/>
    <w:rsid w:val="000732CF"/>
    <w:rsid w:val="0007342B"/>
    <w:rsid w:val="000734C1"/>
    <w:rsid w:val="000734D2"/>
    <w:rsid w:val="00073883"/>
    <w:rsid w:val="000739F4"/>
    <w:rsid w:val="00073A2A"/>
    <w:rsid w:val="00073BA8"/>
    <w:rsid w:val="00073C10"/>
    <w:rsid w:val="00073CD3"/>
    <w:rsid w:val="00073D12"/>
    <w:rsid w:val="00073D77"/>
    <w:rsid w:val="00073E50"/>
    <w:rsid w:val="00073F70"/>
    <w:rsid w:val="00073FEB"/>
    <w:rsid w:val="00074038"/>
    <w:rsid w:val="0007404B"/>
    <w:rsid w:val="00074063"/>
    <w:rsid w:val="000741B8"/>
    <w:rsid w:val="00074238"/>
    <w:rsid w:val="000742C1"/>
    <w:rsid w:val="00074330"/>
    <w:rsid w:val="00074357"/>
    <w:rsid w:val="0007438E"/>
    <w:rsid w:val="000744CA"/>
    <w:rsid w:val="000745F3"/>
    <w:rsid w:val="00074610"/>
    <w:rsid w:val="00074668"/>
    <w:rsid w:val="000747B2"/>
    <w:rsid w:val="00074888"/>
    <w:rsid w:val="000748B5"/>
    <w:rsid w:val="00074941"/>
    <w:rsid w:val="00074956"/>
    <w:rsid w:val="0007495A"/>
    <w:rsid w:val="0007496E"/>
    <w:rsid w:val="00074A0B"/>
    <w:rsid w:val="00074AC9"/>
    <w:rsid w:val="00074C7C"/>
    <w:rsid w:val="00074CBC"/>
    <w:rsid w:val="00074CF1"/>
    <w:rsid w:val="00074DC0"/>
    <w:rsid w:val="00074E74"/>
    <w:rsid w:val="00074EAD"/>
    <w:rsid w:val="00074ED0"/>
    <w:rsid w:val="00074FA8"/>
    <w:rsid w:val="00075021"/>
    <w:rsid w:val="000750E3"/>
    <w:rsid w:val="000751D5"/>
    <w:rsid w:val="000751E4"/>
    <w:rsid w:val="000752E7"/>
    <w:rsid w:val="00075305"/>
    <w:rsid w:val="000753DA"/>
    <w:rsid w:val="000754E4"/>
    <w:rsid w:val="0007566A"/>
    <w:rsid w:val="00075850"/>
    <w:rsid w:val="000758FD"/>
    <w:rsid w:val="00075956"/>
    <w:rsid w:val="000759B1"/>
    <w:rsid w:val="00075A73"/>
    <w:rsid w:val="00075A9E"/>
    <w:rsid w:val="00075AF0"/>
    <w:rsid w:val="00075B4E"/>
    <w:rsid w:val="00075C8C"/>
    <w:rsid w:val="00075D0D"/>
    <w:rsid w:val="00075D41"/>
    <w:rsid w:val="00075FB7"/>
    <w:rsid w:val="00076055"/>
    <w:rsid w:val="0007611C"/>
    <w:rsid w:val="00076286"/>
    <w:rsid w:val="000762C6"/>
    <w:rsid w:val="00076390"/>
    <w:rsid w:val="00076459"/>
    <w:rsid w:val="000764D6"/>
    <w:rsid w:val="00076539"/>
    <w:rsid w:val="000765C5"/>
    <w:rsid w:val="0007660B"/>
    <w:rsid w:val="00076646"/>
    <w:rsid w:val="000766A9"/>
    <w:rsid w:val="00076963"/>
    <w:rsid w:val="00076A50"/>
    <w:rsid w:val="00076AF2"/>
    <w:rsid w:val="00076BC6"/>
    <w:rsid w:val="00076BE4"/>
    <w:rsid w:val="00076C78"/>
    <w:rsid w:val="00076EAF"/>
    <w:rsid w:val="00076FC0"/>
    <w:rsid w:val="00077005"/>
    <w:rsid w:val="00077018"/>
    <w:rsid w:val="00077042"/>
    <w:rsid w:val="0007710D"/>
    <w:rsid w:val="0007715A"/>
    <w:rsid w:val="0007719A"/>
    <w:rsid w:val="000771EA"/>
    <w:rsid w:val="00077209"/>
    <w:rsid w:val="00077236"/>
    <w:rsid w:val="000774FD"/>
    <w:rsid w:val="0007757F"/>
    <w:rsid w:val="00077642"/>
    <w:rsid w:val="00077731"/>
    <w:rsid w:val="000778C3"/>
    <w:rsid w:val="000778D3"/>
    <w:rsid w:val="00077A0D"/>
    <w:rsid w:val="00077AC2"/>
    <w:rsid w:val="00077B0D"/>
    <w:rsid w:val="00077BAE"/>
    <w:rsid w:val="00077BFF"/>
    <w:rsid w:val="00077C50"/>
    <w:rsid w:val="00077CF6"/>
    <w:rsid w:val="00077CFD"/>
    <w:rsid w:val="00077D24"/>
    <w:rsid w:val="00077D7F"/>
    <w:rsid w:val="00077D89"/>
    <w:rsid w:val="00077E2F"/>
    <w:rsid w:val="00077EB8"/>
    <w:rsid w:val="00077ED7"/>
    <w:rsid w:val="00077F2D"/>
    <w:rsid w:val="00077F52"/>
    <w:rsid w:val="00077F86"/>
    <w:rsid w:val="00077FB8"/>
    <w:rsid w:val="0008004C"/>
    <w:rsid w:val="00080105"/>
    <w:rsid w:val="0008049B"/>
    <w:rsid w:val="000805B8"/>
    <w:rsid w:val="0008063F"/>
    <w:rsid w:val="00080647"/>
    <w:rsid w:val="000809E7"/>
    <w:rsid w:val="00080A8D"/>
    <w:rsid w:val="00080AD6"/>
    <w:rsid w:val="00080B5A"/>
    <w:rsid w:val="00080C02"/>
    <w:rsid w:val="00080C5E"/>
    <w:rsid w:val="00080EC2"/>
    <w:rsid w:val="00080F63"/>
    <w:rsid w:val="00081047"/>
    <w:rsid w:val="0008111D"/>
    <w:rsid w:val="0008123C"/>
    <w:rsid w:val="000813B9"/>
    <w:rsid w:val="0008141D"/>
    <w:rsid w:val="00081485"/>
    <w:rsid w:val="000816BB"/>
    <w:rsid w:val="000816DA"/>
    <w:rsid w:val="0008181A"/>
    <w:rsid w:val="00081A9A"/>
    <w:rsid w:val="00081B63"/>
    <w:rsid w:val="00081C08"/>
    <w:rsid w:val="00081DAC"/>
    <w:rsid w:val="00081E30"/>
    <w:rsid w:val="00081FFF"/>
    <w:rsid w:val="00082013"/>
    <w:rsid w:val="0008210A"/>
    <w:rsid w:val="0008241D"/>
    <w:rsid w:val="00082458"/>
    <w:rsid w:val="00082687"/>
    <w:rsid w:val="00082730"/>
    <w:rsid w:val="00082845"/>
    <w:rsid w:val="00082969"/>
    <w:rsid w:val="000829E2"/>
    <w:rsid w:val="00082A3E"/>
    <w:rsid w:val="00082AA6"/>
    <w:rsid w:val="00082BBF"/>
    <w:rsid w:val="00082CF9"/>
    <w:rsid w:val="00082DCE"/>
    <w:rsid w:val="00082E2F"/>
    <w:rsid w:val="00082E6A"/>
    <w:rsid w:val="00082EBE"/>
    <w:rsid w:val="00082FCC"/>
    <w:rsid w:val="00083000"/>
    <w:rsid w:val="00083001"/>
    <w:rsid w:val="00083035"/>
    <w:rsid w:val="0008319A"/>
    <w:rsid w:val="00083230"/>
    <w:rsid w:val="0008328A"/>
    <w:rsid w:val="000832DA"/>
    <w:rsid w:val="000833D9"/>
    <w:rsid w:val="0008349A"/>
    <w:rsid w:val="0008351B"/>
    <w:rsid w:val="0008353A"/>
    <w:rsid w:val="000835BE"/>
    <w:rsid w:val="000837FD"/>
    <w:rsid w:val="000838E8"/>
    <w:rsid w:val="00083971"/>
    <w:rsid w:val="00083988"/>
    <w:rsid w:val="00083B36"/>
    <w:rsid w:val="00083B78"/>
    <w:rsid w:val="00083BCA"/>
    <w:rsid w:val="00083C17"/>
    <w:rsid w:val="00083DD2"/>
    <w:rsid w:val="00084167"/>
    <w:rsid w:val="0008423B"/>
    <w:rsid w:val="000843B1"/>
    <w:rsid w:val="00084453"/>
    <w:rsid w:val="0008457D"/>
    <w:rsid w:val="00084580"/>
    <w:rsid w:val="000845B1"/>
    <w:rsid w:val="00084609"/>
    <w:rsid w:val="000846A6"/>
    <w:rsid w:val="00084816"/>
    <w:rsid w:val="0008485C"/>
    <w:rsid w:val="00084943"/>
    <w:rsid w:val="000849D6"/>
    <w:rsid w:val="00084A60"/>
    <w:rsid w:val="00084AAF"/>
    <w:rsid w:val="00084C8A"/>
    <w:rsid w:val="00084CC7"/>
    <w:rsid w:val="00084CED"/>
    <w:rsid w:val="00084DB9"/>
    <w:rsid w:val="00084E39"/>
    <w:rsid w:val="0008501F"/>
    <w:rsid w:val="00085028"/>
    <w:rsid w:val="000854A8"/>
    <w:rsid w:val="0008559E"/>
    <w:rsid w:val="00085845"/>
    <w:rsid w:val="000858C6"/>
    <w:rsid w:val="0008595A"/>
    <w:rsid w:val="00085A4E"/>
    <w:rsid w:val="00085B77"/>
    <w:rsid w:val="00085B94"/>
    <w:rsid w:val="00085BBA"/>
    <w:rsid w:val="00085BE4"/>
    <w:rsid w:val="00085C23"/>
    <w:rsid w:val="00085DC8"/>
    <w:rsid w:val="00085E74"/>
    <w:rsid w:val="00085FF3"/>
    <w:rsid w:val="000861AB"/>
    <w:rsid w:val="0008623F"/>
    <w:rsid w:val="000862AE"/>
    <w:rsid w:val="000862C7"/>
    <w:rsid w:val="000864C9"/>
    <w:rsid w:val="000864FB"/>
    <w:rsid w:val="00086540"/>
    <w:rsid w:val="00086566"/>
    <w:rsid w:val="000865AB"/>
    <w:rsid w:val="00086600"/>
    <w:rsid w:val="000866A7"/>
    <w:rsid w:val="000866EA"/>
    <w:rsid w:val="00086772"/>
    <w:rsid w:val="0008687A"/>
    <w:rsid w:val="00086892"/>
    <w:rsid w:val="0008690C"/>
    <w:rsid w:val="00086991"/>
    <w:rsid w:val="00086A5C"/>
    <w:rsid w:val="00086BCF"/>
    <w:rsid w:val="00086C8F"/>
    <w:rsid w:val="00086CEB"/>
    <w:rsid w:val="00086D39"/>
    <w:rsid w:val="00086D73"/>
    <w:rsid w:val="00086E4D"/>
    <w:rsid w:val="00086F05"/>
    <w:rsid w:val="00086F8E"/>
    <w:rsid w:val="0008700B"/>
    <w:rsid w:val="000870CC"/>
    <w:rsid w:val="000870EA"/>
    <w:rsid w:val="00087322"/>
    <w:rsid w:val="0008733A"/>
    <w:rsid w:val="000873A9"/>
    <w:rsid w:val="000873C3"/>
    <w:rsid w:val="000873F2"/>
    <w:rsid w:val="00087400"/>
    <w:rsid w:val="00087417"/>
    <w:rsid w:val="00087529"/>
    <w:rsid w:val="00087693"/>
    <w:rsid w:val="00087704"/>
    <w:rsid w:val="0008775B"/>
    <w:rsid w:val="00087844"/>
    <w:rsid w:val="0008786C"/>
    <w:rsid w:val="00087929"/>
    <w:rsid w:val="0008795C"/>
    <w:rsid w:val="00087AD8"/>
    <w:rsid w:val="00087B03"/>
    <w:rsid w:val="00087BAD"/>
    <w:rsid w:val="00087CA8"/>
    <w:rsid w:val="00087D31"/>
    <w:rsid w:val="00087D66"/>
    <w:rsid w:val="00087EFC"/>
    <w:rsid w:val="00087F11"/>
    <w:rsid w:val="00087F84"/>
    <w:rsid w:val="00087FE2"/>
    <w:rsid w:val="00090147"/>
    <w:rsid w:val="000901A9"/>
    <w:rsid w:val="00090235"/>
    <w:rsid w:val="000902F3"/>
    <w:rsid w:val="00090361"/>
    <w:rsid w:val="000903DE"/>
    <w:rsid w:val="00090490"/>
    <w:rsid w:val="0009053D"/>
    <w:rsid w:val="000905AC"/>
    <w:rsid w:val="00090694"/>
    <w:rsid w:val="000907BF"/>
    <w:rsid w:val="000908DB"/>
    <w:rsid w:val="00090960"/>
    <w:rsid w:val="000909AD"/>
    <w:rsid w:val="00090A3A"/>
    <w:rsid w:val="00090AD1"/>
    <w:rsid w:val="00090B10"/>
    <w:rsid w:val="00090B40"/>
    <w:rsid w:val="00090BBC"/>
    <w:rsid w:val="00090DB1"/>
    <w:rsid w:val="00090DB5"/>
    <w:rsid w:val="00090DFE"/>
    <w:rsid w:val="00090EEE"/>
    <w:rsid w:val="00090FAB"/>
    <w:rsid w:val="0009109C"/>
    <w:rsid w:val="000910F0"/>
    <w:rsid w:val="0009127A"/>
    <w:rsid w:val="000912F0"/>
    <w:rsid w:val="0009131B"/>
    <w:rsid w:val="00091373"/>
    <w:rsid w:val="000913AE"/>
    <w:rsid w:val="000914A5"/>
    <w:rsid w:val="00091503"/>
    <w:rsid w:val="000915BD"/>
    <w:rsid w:val="0009167C"/>
    <w:rsid w:val="00091685"/>
    <w:rsid w:val="00091699"/>
    <w:rsid w:val="000916BF"/>
    <w:rsid w:val="00091763"/>
    <w:rsid w:val="000917BB"/>
    <w:rsid w:val="000919F3"/>
    <w:rsid w:val="00091AD9"/>
    <w:rsid w:val="00091CB2"/>
    <w:rsid w:val="00091DDD"/>
    <w:rsid w:val="00091E39"/>
    <w:rsid w:val="00091EBA"/>
    <w:rsid w:val="00091EE9"/>
    <w:rsid w:val="00091F3C"/>
    <w:rsid w:val="00092145"/>
    <w:rsid w:val="0009215D"/>
    <w:rsid w:val="00092207"/>
    <w:rsid w:val="000922B4"/>
    <w:rsid w:val="000922DB"/>
    <w:rsid w:val="00092321"/>
    <w:rsid w:val="000923A3"/>
    <w:rsid w:val="000923FF"/>
    <w:rsid w:val="0009248C"/>
    <w:rsid w:val="0009257F"/>
    <w:rsid w:val="00092672"/>
    <w:rsid w:val="00092709"/>
    <w:rsid w:val="000927BD"/>
    <w:rsid w:val="0009281C"/>
    <w:rsid w:val="000929A0"/>
    <w:rsid w:val="00092AD7"/>
    <w:rsid w:val="00092B3E"/>
    <w:rsid w:val="00092B68"/>
    <w:rsid w:val="00092B7F"/>
    <w:rsid w:val="00092BDF"/>
    <w:rsid w:val="00092BF6"/>
    <w:rsid w:val="00092C5A"/>
    <w:rsid w:val="00092CA3"/>
    <w:rsid w:val="00092E4B"/>
    <w:rsid w:val="00092E52"/>
    <w:rsid w:val="00092EDA"/>
    <w:rsid w:val="00092FBF"/>
    <w:rsid w:val="00093086"/>
    <w:rsid w:val="00093089"/>
    <w:rsid w:val="000930A3"/>
    <w:rsid w:val="0009311D"/>
    <w:rsid w:val="0009317C"/>
    <w:rsid w:val="000931FE"/>
    <w:rsid w:val="0009323E"/>
    <w:rsid w:val="00093391"/>
    <w:rsid w:val="0009345C"/>
    <w:rsid w:val="000934CD"/>
    <w:rsid w:val="000935C6"/>
    <w:rsid w:val="00093609"/>
    <w:rsid w:val="00093809"/>
    <w:rsid w:val="00093815"/>
    <w:rsid w:val="000939AD"/>
    <w:rsid w:val="00093A13"/>
    <w:rsid w:val="00093AB6"/>
    <w:rsid w:val="00093BE2"/>
    <w:rsid w:val="00093CB6"/>
    <w:rsid w:val="00093D78"/>
    <w:rsid w:val="00093EFB"/>
    <w:rsid w:val="00093FEC"/>
    <w:rsid w:val="0009402B"/>
    <w:rsid w:val="000943E6"/>
    <w:rsid w:val="000943ED"/>
    <w:rsid w:val="0009446C"/>
    <w:rsid w:val="00094481"/>
    <w:rsid w:val="0009449C"/>
    <w:rsid w:val="000944A9"/>
    <w:rsid w:val="00094561"/>
    <w:rsid w:val="000947D0"/>
    <w:rsid w:val="000947DB"/>
    <w:rsid w:val="00094804"/>
    <w:rsid w:val="00094951"/>
    <w:rsid w:val="00094976"/>
    <w:rsid w:val="00094A54"/>
    <w:rsid w:val="00094A78"/>
    <w:rsid w:val="00094BD1"/>
    <w:rsid w:val="00094C03"/>
    <w:rsid w:val="00094C46"/>
    <w:rsid w:val="00094CC6"/>
    <w:rsid w:val="00094E1E"/>
    <w:rsid w:val="00094E4C"/>
    <w:rsid w:val="00094F67"/>
    <w:rsid w:val="0009509A"/>
    <w:rsid w:val="00095161"/>
    <w:rsid w:val="0009525A"/>
    <w:rsid w:val="0009533C"/>
    <w:rsid w:val="000953EB"/>
    <w:rsid w:val="00095483"/>
    <w:rsid w:val="00095528"/>
    <w:rsid w:val="000955F0"/>
    <w:rsid w:val="00095717"/>
    <w:rsid w:val="00095733"/>
    <w:rsid w:val="000958E0"/>
    <w:rsid w:val="000958FC"/>
    <w:rsid w:val="000959C7"/>
    <w:rsid w:val="00095A9E"/>
    <w:rsid w:val="00095AA0"/>
    <w:rsid w:val="00095ADC"/>
    <w:rsid w:val="00095BC3"/>
    <w:rsid w:val="00095F14"/>
    <w:rsid w:val="00095F3E"/>
    <w:rsid w:val="00096046"/>
    <w:rsid w:val="00096174"/>
    <w:rsid w:val="0009621B"/>
    <w:rsid w:val="00096299"/>
    <w:rsid w:val="00096320"/>
    <w:rsid w:val="00096359"/>
    <w:rsid w:val="0009640A"/>
    <w:rsid w:val="0009657C"/>
    <w:rsid w:val="000967C5"/>
    <w:rsid w:val="0009681F"/>
    <w:rsid w:val="0009694E"/>
    <w:rsid w:val="00096A11"/>
    <w:rsid w:val="00096A54"/>
    <w:rsid w:val="00096A84"/>
    <w:rsid w:val="00096C1E"/>
    <w:rsid w:val="00096C2B"/>
    <w:rsid w:val="00096C86"/>
    <w:rsid w:val="00096D2F"/>
    <w:rsid w:val="00096D4C"/>
    <w:rsid w:val="00096DFA"/>
    <w:rsid w:val="00096E46"/>
    <w:rsid w:val="00096EBF"/>
    <w:rsid w:val="00096F74"/>
    <w:rsid w:val="00096F94"/>
    <w:rsid w:val="00096FEB"/>
    <w:rsid w:val="00097007"/>
    <w:rsid w:val="00097223"/>
    <w:rsid w:val="0009722C"/>
    <w:rsid w:val="00097380"/>
    <w:rsid w:val="00097418"/>
    <w:rsid w:val="000974A1"/>
    <w:rsid w:val="000974A8"/>
    <w:rsid w:val="000974D6"/>
    <w:rsid w:val="00097585"/>
    <w:rsid w:val="000975CD"/>
    <w:rsid w:val="00097776"/>
    <w:rsid w:val="000978A8"/>
    <w:rsid w:val="000979E9"/>
    <w:rsid w:val="00097A6D"/>
    <w:rsid w:val="00097A7F"/>
    <w:rsid w:val="00097A9A"/>
    <w:rsid w:val="00097AD7"/>
    <w:rsid w:val="00097AE8"/>
    <w:rsid w:val="00097C27"/>
    <w:rsid w:val="00097CE2"/>
    <w:rsid w:val="00097CEA"/>
    <w:rsid w:val="00097D23"/>
    <w:rsid w:val="00097DD1"/>
    <w:rsid w:val="00097F70"/>
    <w:rsid w:val="00097FAA"/>
    <w:rsid w:val="000A01AD"/>
    <w:rsid w:val="000A02F4"/>
    <w:rsid w:val="000A0354"/>
    <w:rsid w:val="000A0472"/>
    <w:rsid w:val="000A0583"/>
    <w:rsid w:val="000A060C"/>
    <w:rsid w:val="000A0645"/>
    <w:rsid w:val="000A0735"/>
    <w:rsid w:val="000A07F4"/>
    <w:rsid w:val="000A0866"/>
    <w:rsid w:val="000A0A56"/>
    <w:rsid w:val="000A0AAE"/>
    <w:rsid w:val="000A0AF1"/>
    <w:rsid w:val="000A0B8A"/>
    <w:rsid w:val="000A0C69"/>
    <w:rsid w:val="000A0C9A"/>
    <w:rsid w:val="000A0D97"/>
    <w:rsid w:val="000A0DB1"/>
    <w:rsid w:val="000A0E20"/>
    <w:rsid w:val="000A0F39"/>
    <w:rsid w:val="000A0F6F"/>
    <w:rsid w:val="000A0F94"/>
    <w:rsid w:val="000A107D"/>
    <w:rsid w:val="000A1085"/>
    <w:rsid w:val="000A1090"/>
    <w:rsid w:val="000A10AF"/>
    <w:rsid w:val="000A11AE"/>
    <w:rsid w:val="000A1274"/>
    <w:rsid w:val="000A12AC"/>
    <w:rsid w:val="000A1392"/>
    <w:rsid w:val="000A13BC"/>
    <w:rsid w:val="000A142A"/>
    <w:rsid w:val="000A1453"/>
    <w:rsid w:val="000A1481"/>
    <w:rsid w:val="000A14F7"/>
    <w:rsid w:val="000A1587"/>
    <w:rsid w:val="000A17E1"/>
    <w:rsid w:val="000A17FA"/>
    <w:rsid w:val="000A1819"/>
    <w:rsid w:val="000A1844"/>
    <w:rsid w:val="000A18B7"/>
    <w:rsid w:val="000A1924"/>
    <w:rsid w:val="000A1977"/>
    <w:rsid w:val="000A1A13"/>
    <w:rsid w:val="000A1A68"/>
    <w:rsid w:val="000A1AB8"/>
    <w:rsid w:val="000A1D3A"/>
    <w:rsid w:val="000A1D78"/>
    <w:rsid w:val="000A2016"/>
    <w:rsid w:val="000A2072"/>
    <w:rsid w:val="000A20D6"/>
    <w:rsid w:val="000A20F2"/>
    <w:rsid w:val="000A22AE"/>
    <w:rsid w:val="000A2397"/>
    <w:rsid w:val="000A2549"/>
    <w:rsid w:val="000A2581"/>
    <w:rsid w:val="000A259E"/>
    <w:rsid w:val="000A2627"/>
    <w:rsid w:val="000A2692"/>
    <w:rsid w:val="000A274F"/>
    <w:rsid w:val="000A2986"/>
    <w:rsid w:val="000A2B00"/>
    <w:rsid w:val="000A2B21"/>
    <w:rsid w:val="000A2D18"/>
    <w:rsid w:val="000A2D60"/>
    <w:rsid w:val="000A2D7C"/>
    <w:rsid w:val="000A2F4B"/>
    <w:rsid w:val="000A313D"/>
    <w:rsid w:val="000A319B"/>
    <w:rsid w:val="000A31F3"/>
    <w:rsid w:val="000A324B"/>
    <w:rsid w:val="000A3426"/>
    <w:rsid w:val="000A34DD"/>
    <w:rsid w:val="000A356C"/>
    <w:rsid w:val="000A3729"/>
    <w:rsid w:val="000A37AA"/>
    <w:rsid w:val="000A3872"/>
    <w:rsid w:val="000A3963"/>
    <w:rsid w:val="000A3995"/>
    <w:rsid w:val="000A39D6"/>
    <w:rsid w:val="000A39E0"/>
    <w:rsid w:val="000A3A47"/>
    <w:rsid w:val="000A3B2D"/>
    <w:rsid w:val="000A3BD8"/>
    <w:rsid w:val="000A3C10"/>
    <w:rsid w:val="000A3C24"/>
    <w:rsid w:val="000A3C97"/>
    <w:rsid w:val="000A3D39"/>
    <w:rsid w:val="000A3D68"/>
    <w:rsid w:val="000A3DC0"/>
    <w:rsid w:val="000A3EFA"/>
    <w:rsid w:val="000A3F44"/>
    <w:rsid w:val="000A3FC7"/>
    <w:rsid w:val="000A4015"/>
    <w:rsid w:val="000A40D8"/>
    <w:rsid w:val="000A4139"/>
    <w:rsid w:val="000A4155"/>
    <w:rsid w:val="000A41F1"/>
    <w:rsid w:val="000A43E8"/>
    <w:rsid w:val="000A4447"/>
    <w:rsid w:val="000A469F"/>
    <w:rsid w:val="000A47A8"/>
    <w:rsid w:val="000A47C8"/>
    <w:rsid w:val="000A47CC"/>
    <w:rsid w:val="000A495E"/>
    <w:rsid w:val="000A4974"/>
    <w:rsid w:val="000A49E8"/>
    <w:rsid w:val="000A4A11"/>
    <w:rsid w:val="000A4BF8"/>
    <w:rsid w:val="000A4E10"/>
    <w:rsid w:val="000A4EF6"/>
    <w:rsid w:val="000A504B"/>
    <w:rsid w:val="000A505C"/>
    <w:rsid w:val="000A50DF"/>
    <w:rsid w:val="000A5278"/>
    <w:rsid w:val="000A5335"/>
    <w:rsid w:val="000A53FE"/>
    <w:rsid w:val="000A5469"/>
    <w:rsid w:val="000A5474"/>
    <w:rsid w:val="000A54AB"/>
    <w:rsid w:val="000A552C"/>
    <w:rsid w:val="000A567F"/>
    <w:rsid w:val="000A5759"/>
    <w:rsid w:val="000A579E"/>
    <w:rsid w:val="000A584C"/>
    <w:rsid w:val="000A5882"/>
    <w:rsid w:val="000A58A3"/>
    <w:rsid w:val="000A5D8C"/>
    <w:rsid w:val="000A5EF9"/>
    <w:rsid w:val="000A5F79"/>
    <w:rsid w:val="000A6054"/>
    <w:rsid w:val="000A62B8"/>
    <w:rsid w:val="000A63B5"/>
    <w:rsid w:val="000A6515"/>
    <w:rsid w:val="000A6532"/>
    <w:rsid w:val="000A653E"/>
    <w:rsid w:val="000A655C"/>
    <w:rsid w:val="000A6578"/>
    <w:rsid w:val="000A65CD"/>
    <w:rsid w:val="000A6653"/>
    <w:rsid w:val="000A6705"/>
    <w:rsid w:val="000A6726"/>
    <w:rsid w:val="000A675C"/>
    <w:rsid w:val="000A67F7"/>
    <w:rsid w:val="000A6857"/>
    <w:rsid w:val="000A692E"/>
    <w:rsid w:val="000A69E3"/>
    <w:rsid w:val="000A6B7D"/>
    <w:rsid w:val="000A6BE2"/>
    <w:rsid w:val="000A6C20"/>
    <w:rsid w:val="000A6C5E"/>
    <w:rsid w:val="000A6CBC"/>
    <w:rsid w:val="000A6E82"/>
    <w:rsid w:val="000A6EB3"/>
    <w:rsid w:val="000A6F31"/>
    <w:rsid w:val="000A6FEF"/>
    <w:rsid w:val="000A7031"/>
    <w:rsid w:val="000A70B5"/>
    <w:rsid w:val="000A70D2"/>
    <w:rsid w:val="000A70EA"/>
    <w:rsid w:val="000A70F6"/>
    <w:rsid w:val="000A7320"/>
    <w:rsid w:val="000A73CC"/>
    <w:rsid w:val="000A7507"/>
    <w:rsid w:val="000A7632"/>
    <w:rsid w:val="000A767E"/>
    <w:rsid w:val="000A77C7"/>
    <w:rsid w:val="000A7888"/>
    <w:rsid w:val="000A7904"/>
    <w:rsid w:val="000A797B"/>
    <w:rsid w:val="000A7C61"/>
    <w:rsid w:val="000A7CC7"/>
    <w:rsid w:val="000A7CF8"/>
    <w:rsid w:val="000A7D0B"/>
    <w:rsid w:val="000A7D63"/>
    <w:rsid w:val="000A7D77"/>
    <w:rsid w:val="000A7EB4"/>
    <w:rsid w:val="000A7ECC"/>
    <w:rsid w:val="000B01F0"/>
    <w:rsid w:val="000B0342"/>
    <w:rsid w:val="000B03B6"/>
    <w:rsid w:val="000B03D5"/>
    <w:rsid w:val="000B043A"/>
    <w:rsid w:val="000B044B"/>
    <w:rsid w:val="000B04AB"/>
    <w:rsid w:val="000B04B6"/>
    <w:rsid w:val="000B052A"/>
    <w:rsid w:val="000B0693"/>
    <w:rsid w:val="000B07C4"/>
    <w:rsid w:val="000B07CD"/>
    <w:rsid w:val="000B07DA"/>
    <w:rsid w:val="000B080D"/>
    <w:rsid w:val="000B0898"/>
    <w:rsid w:val="000B0959"/>
    <w:rsid w:val="000B0B36"/>
    <w:rsid w:val="000B0B56"/>
    <w:rsid w:val="000B0CA9"/>
    <w:rsid w:val="000B0CE1"/>
    <w:rsid w:val="000B0EC7"/>
    <w:rsid w:val="000B0EEF"/>
    <w:rsid w:val="000B0FAD"/>
    <w:rsid w:val="000B118A"/>
    <w:rsid w:val="000B1303"/>
    <w:rsid w:val="000B1308"/>
    <w:rsid w:val="000B1324"/>
    <w:rsid w:val="000B137A"/>
    <w:rsid w:val="000B137E"/>
    <w:rsid w:val="000B13CD"/>
    <w:rsid w:val="000B1414"/>
    <w:rsid w:val="000B1442"/>
    <w:rsid w:val="000B1570"/>
    <w:rsid w:val="000B15D2"/>
    <w:rsid w:val="000B1723"/>
    <w:rsid w:val="000B172B"/>
    <w:rsid w:val="000B1764"/>
    <w:rsid w:val="000B188A"/>
    <w:rsid w:val="000B18AA"/>
    <w:rsid w:val="000B1952"/>
    <w:rsid w:val="000B19C2"/>
    <w:rsid w:val="000B19DB"/>
    <w:rsid w:val="000B19E9"/>
    <w:rsid w:val="000B1A64"/>
    <w:rsid w:val="000B1A70"/>
    <w:rsid w:val="000B1B77"/>
    <w:rsid w:val="000B1C31"/>
    <w:rsid w:val="000B1C40"/>
    <w:rsid w:val="000B1C8C"/>
    <w:rsid w:val="000B1CDF"/>
    <w:rsid w:val="000B1DB0"/>
    <w:rsid w:val="000B1EBA"/>
    <w:rsid w:val="000B1F51"/>
    <w:rsid w:val="000B20C8"/>
    <w:rsid w:val="000B2155"/>
    <w:rsid w:val="000B2210"/>
    <w:rsid w:val="000B2237"/>
    <w:rsid w:val="000B22B0"/>
    <w:rsid w:val="000B2561"/>
    <w:rsid w:val="000B258A"/>
    <w:rsid w:val="000B25FB"/>
    <w:rsid w:val="000B2656"/>
    <w:rsid w:val="000B26AA"/>
    <w:rsid w:val="000B2853"/>
    <w:rsid w:val="000B287D"/>
    <w:rsid w:val="000B28CD"/>
    <w:rsid w:val="000B2979"/>
    <w:rsid w:val="000B29A4"/>
    <w:rsid w:val="000B2B21"/>
    <w:rsid w:val="000B2B6B"/>
    <w:rsid w:val="000B2C24"/>
    <w:rsid w:val="000B2C7A"/>
    <w:rsid w:val="000B2CCE"/>
    <w:rsid w:val="000B2CD7"/>
    <w:rsid w:val="000B2DBD"/>
    <w:rsid w:val="000B2DD4"/>
    <w:rsid w:val="000B2EB0"/>
    <w:rsid w:val="000B2F13"/>
    <w:rsid w:val="000B3052"/>
    <w:rsid w:val="000B30D4"/>
    <w:rsid w:val="000B3126"/>
    <w:rsid w:val="000B314F"/>
    <w:rsid w:val="000B31EA"/>
    <w:rsid w:val="000B320A"/>
    <w:rsid w:val="000B3283"/>
    <w:rsid w:val="000B3336"/>
    <w:rsid w:val="000B3384"/>
    <w:rsid w:val="000B3417"/>
    <w:rsid w:val="000B355F"/>
    <w:rsid w:val="000B35D6"/>
    <w:rsid w:val="000B3737"/>
    <w:rsid w:val="000B3749"/>
    <w:rsid w:val="000B3758"/>
    <w:rsid w:val="000B3800"/>
    <w:rsid w:val="000B38C9"/>
    <w:rsid w:val="000B3926"/>
    <w:rsid w:val="000B3A08"/>
    <w:rsid w:val="000B3B54"/>
    <w:rsid w:val="000B3BFC"/>
    <w:rsid w:val="000B3DBF"/>
    <w:rsid w:val="000B3DE2"/>
    <w:rsid w:val="000B3DEB"/>
    <w:rsid w:val="000B3E5B"/>
    <w:rsid w:val="000B3E9A"/>
    <w:rsid w:val="000B3F07"/>
    <w:rsid w:val="000B3FBE"/>
    <w:rsid w:val="000B3FF9"/>
    <w:rsid w:val="000B41E7"/>
    <w:rsid w:val="000B41E8"/>
    <w:rsid w:val="000B425F"/>
    <w:rsid w:val="000B4431"/>
    <w:rsid w:val="000B459C"/>
    <w:rsid w:val="000B45CD"/>
    <w:rsid w:val="000B45E3"/>
    <w:rsid w:val="000B46C7"/>
    <w:rsid w:val="000B46F9"/>
    <w:rsid w:val="000B471D"/>
    <w:rsid w:val="000B47F6"/>
    <w:rsid w:val="000B4982"/>
    <w:rsid w:val="000B4CC9"/>
    <w:rsid w:val="000B4CD6"/>
    <w:rsid w:val="000B4D0C"/>
    <w:rsid w:val="000B4DE1"/>
    <w:rsid w:val="000B4E00"/>
    <w:rsid w:val="000B4F01"/>
    <w:rsid w:val="000B4F4B"/>
    <w:rsid w:val="000B51A2"/>
    <w:rsid w:val="000B51E2"/>
    <w:rsid w:val="000B539B"/>
    <w:rsid w:val="000B53C1"/>
    <w:rsid w:val="000B5450"/>
    <w:rsid w:val="000B545E"/>
    <w:rsid w:val="000B548E"/>
    <w:rsid w:val="000B5514"/>
    <w:rsid w:val="000B551D"/>
    <w:rsid w:val="000B5569"/>
    <w:rsid w:val="000B5631"/>
    <w:rsid w:val="000B567B"/>
    <w:rsid w:val="000B5689"/>
    <w:rsid w:val="000B576D"/>
    <w:rsid w:val="000B581B"/>
    <w:rsid w:val="000B5934"/>
    <w:rsid w:val="000B5988"/>
    <w:rsid w:val="000B5C16"/>
    <w:rsid w:val="000B5CFE"/>
    <w:rsid w:val="000B5ECE"/>
    <w:rsid w:val="000B5ED0"/>
    <w:rsid w:val="000B5F41"/>
    <w:rsid w:val="000B5F5A"/>
    <w:rsid w:val="000B6150"/>
    <w:rsid w:val="000B622D"/>
    <w:rsid w:val="000B62AF"/>
    <w:rsid w:val="000B62E8"/>
    <w:rsid w:val="000B6310"/>
    <w:rsid w:val="000B6354"/>
    <w:rsid w:val="000B64B6"/>
    <w:rsid w:val="000B659B"/>
    <w:rsid w:val="000B65E8"/>
    <w:rsid w:val="000B6623"/>
    <w:rsid w:val="000B6851"/>
    <w:rsid w:val="000B6906"/>
    <w:rsid w:val="000B6B2C"/>
    <w:rsid w:val="000B6BB2"/>
    <w:rsid w:val="000B6D0A"/>
    <w:rsid w:val="000B6D9C"/>
    <w:rsid w:val="000B6DC1"/>
    <w:rsid w:val="000B6E13"/>
    <w:rsid w:val="000B6E77"/>
    <w:rsid w:val="000B705F"/>
    <w:rsid w:val="000B7184"/>
    <w:rsid w:val="000B71D4"/>
    <w:rsid w:val="000B71EE"/>
    <w:rsid w:val="000B725E"/>
    <w:rsid w:val="000B72A5"/>
    <w:rsid w:val="000B7339"/>
    <w:rsid w:val="000B747C"/>
    <w:rsid w:val="000B75C1"/>
    <w:rsid w:val="000B779A"/>
    <w:rsid w:val="000B7870"/>
    <w:rsid w:val="000B7936"/>
    <w:rsid w:val="000B79BA"/>
    <w:rsid w:val="000B79FC"/>
    <w:rsid w:val="000B7A2B"/>
    <w:rsid w:val="000B7A42"/>
    <w:rsid w:val="000B7BC7"/>
    <w:rsid w:val="000B7F04"/>
    <w:rsid w:val="000C0166"/>
    <w:rsid w:val="000C019B"/>
    <w:rsid w:val="000C01B9"/>
    <w:rsid w:val="000C02DB"/>
    <w:rsid w:val="000C037C"/>
    <w:rsid w:val="000C04B9"/>
    <w:rsid w:val="000C05FF"/>
    <w:rsid w:val="000C0738"/>
    <w:rsid w:val="000C0799"/>
    <w:rsid w:val="000C07BB"/>
    <w:rsid w:val="000C07BC"/>
    <w:rsid w:val="000C0886"/>
    <w:rsid w:val="000C0887"/>
    <w:rsid w:val="000C0A4D"/>
    <w:rsid w:val="000C0BB2"/>
    <w:rsid w:val="000C0BFF"/>
    <w:rsid w:val="000C0DC3"/>
    <w:rsid w:val="000C0F16"/>
    <w:rsid w:val="000C1083"/>
    <w:rsid w:val="000C10A8"/>
    <w:rsid w:val="000C118E"/>
    <w:rsid w:val="000C11A8"/>
    <w:rsid w:val="000C11D6"/>
    <w:rsid w:val="000C13BC"/>
    <w:rsid w:val="000C1451"/>
    <w:rsid w:val="000C145E"/>
    <w:rsid w:val="000C1462"/>
    <w:rsid w:val="000C156E"/>
    <w:rsid w:val="000C157B"/>
    <w:rsid w:val="000C15E7"/>
    <w:rsid w:val="000C161B"/>
    <w:rsid w:val="000C1640"/>
    <w:rsid w:val="000C17C5"/>
    <w:rsid w:val="000C180C"/>
    <w:rsid w:val="000C18A6"/>
    <w:rsid w:val="000C18B1"/>
    <w:rsid w:val="000C191D"/>
    <w:rsid w:val="000C194C"/>
    <w:rsid w:val="000C19DA"/>
    <w:rsid w:val="000C1BFA"/>
    <w:rsid w:val="000C1D40"/>
    <w:rsid w:val="000C1D87"/>
    <w:rsid w:val="000C1E5B"/>
    <w:rsid w:val="000C1F33"/>
    <w:rsid w:val="000C2055"/>
    <w:rsid w:val="000C2193"/>
    <w:rsid w:val="000C23D4"/>
    <w:rsid w:val="000C25B0"/>
    <w:rsid w:val="000C25D2"/>
    <w:rsid w:val="000C25DA"/>
    <w:rsid w:val="000C267E"/>
    <w:rsid w:val="000C26A4"/>
    <w:rsid w:val="000C2788"/>
    <w:rsid w:val="000C278E"/>
    <w:rsid w:val="000C2991"/>
    <w:rsid w:val="000C29A6"/>
    <w:rsid w:val="000C2A54"/>
    <w:rsid w:val="000C2B38"/>
    <w:rsid w:val="000C2BDA"/>
    <w:rsid w:val="000C2C47"/>
    <w:rsid w:val="000C2D7E"/>
    <w:rsid w:val="000C2E16"/>
    <w:rsid w:val="000C301D"/>
    <w:rsid w:val="000C30FD"/>
    <w:rsid w:val="000C310F"/>
    <w:rsid w:val="000C312E"/>
    <w:rsid w:val="000C3137"/>
    <w:rsid w:val="000C3195"/>
    <w:rsid w:val="000C322E"/>
    <w:rsid w:val="000C32BC"/>
    <w:rsid w:val="000C3466"/>
    <w:rsid w:val="000C3557"/>
    <w:rsid w:val="000C35E5"/>
    <w:rsid w:val="000C3714"/>
    <w:rsid w:val="000C379F"/>
    <w:rsid w:val="000C37EE"/>
    <w:rsid w:val="000C399F"/>
    <w:rsid w:val="000C39E4"/>
    <w:rsid w:val="000C3A54"/>
    <w:rsid w:val="000C3A8F"/>
    <w:rsid w:val="000C3ABC"/>
    <w:rsid w:val="000C3BB4"/>
    <w:rsid w:val="000C3BF9"/>
    <w:rsid w:val="000C3C34"/>
    <w:rsid w:val="000C3C9C"/>
    <w:rsid w:val="000C3CB2"/>
    <w:rsid w:val="000C3EBA"/>
    <w:rsid w:val="000C40FF"/>
    <w:rsid w:val="000C413A"/>
    <w:rsid w:val="000C41F0"/>
    <w:rsid w:val="000C4407"/>
    <w:rsid w:val="000C44B9"/>
    <w:rsid w:val="000C44DF"/>
    <w:rsid w:val="000C4782"/>
    <w:rsid w:val="000C47C0"/>
    <w:rsid w:val="000C49D9"/>
    <w:rsid w:val="000C4AC0"/>
    <w:rsid w:val="000C4C11"/>
    <w:rsid w:val="000C4D8C"/>
    <w:rsid w:val="000C4E35"/>
    <w:rsid w:val="000C4E4C"/>
    <w:rsid w:val="000C4EB5"/>
    <w:rsid w:val="000C5184"/>
    <w:rsid w:val="000C51D7"/>
    <w:rsid w:val="000C528E"/>
    <w:rsid w:val="000C537D"/>
    <w:rsid w:val="000C540B"/>
    <w:rsid w:val="000C5463"/>
    <w:rsid w:val="000C548D"/>
    <w:rsid w:val="000C54B5"/>
    <w:rsid w:val="000C555B"/>
    <w:rsid w:val="000C5637"/>
    <w:rsid w:val="000C5645"/>
    <w:rsid w:val="000C57DC"/>
    <w:rsid w:val="000C583B"/>
    <w:rsid w:val="000C5846"/>
    <w:rsid w:val="000C58A2"/>
    <w:rsid w:val="000C58F5"/>
    <w:rsid w:val="000C5B3D"/>
    <w:rsid w:val="000C5B77"/>
    <w:rsid w:val="000C5C79"/>
    <w:rsid w:val="000C5D1B"/>
    <w:rsid w:val="000C5F43"/>
    <w:rsid w:val="000C5FCD"/>
    <w:rsid w:val="000C5FD8"/>
    <w:rsid w:val="000C5FE3"/>
    <w:rsid w:val="000C602B"/>
    <w:rsid w:val="000C60D2"/>
    <w:rsid w:val="000C61E0"/>
    <w:rsid w:val="000C62D4"/>
    <w:rsid w:val="000C6325"/>
    <w:rsid w:val="000C636C"/>
    <w:rsid w:val="000C65E6"/>
    <w:rsid w:val="000C675C"/>
    <w:rsid w:val="000C6894"/>
    <w:rsid w:val="000C695D"/>
    <w:rsid w:val="000C698F"/>
    <w:rsid w:val="000C6B00"/>
    <w:rsid w:val="000C6BE9"/>
    <w:rsid w:val="000C6BEB"/>
    <w:rsid w:val="000C6CBB"/>
    <w:rsid w:val="000C6CE9"/>
    <w:rsid w:val="000C6D54"/>
    <w:rsid w:val="000C6D92"/>
    <w:rsid w:val="000C6DBE"/>
    <w:rsid w:val="000C6DF0"/>
    <w:rsid w:val="000C6EDC"/>
    <w:rsid w:val="000C6F14"/>
    <w:rsid w:val="000C6FD3"/>
    <w:rsid w:val="000C700F"/>
    <w:rsid w:val="000C71BE"/>
    <w:rsid w:val="000C7289"/>
    <w:rsid w:val="000C72E9"/>
    <w:rsid w:val="000C7324"/>
    <w:rsid w:val="000C7333"/>
    <w:rsid w:val="000C7406"/>
    <w:rsid w:val="000C74DF"/>
    <w:rsid w:val="000C75B2"/>
    <w:rsid w:val="000C76CB"/>
    <w:rsid w:val="000C7807"/>
    <w:rsid w:val="000C78CC"/>
    <w:rsid w:val="000C78DE"/>
    <w:rsid w:val="000C794B"/>
    <w:rsid w:val="000C7A2D"/>
    <w:rsid w:val="000C7B40"/>
    <w:rsid w:val="000C7BCB"/>
    <w:rsid w:val="000C7C6B"/>
    <w:rsid w:val="000C7D0C"/>
    <w:rsid w:val="000C7D4E"/>
    <w:rsid w:val="000C7E82"/>
    <w:rsid w:val="000C7FD6"/>
    <w:rsid w:val="000D00D2"/>
    <w:rsid w:val="000D015D"/>
    <w:rsid w:val="000D0166"/>
    <w:rsid w:val="000D01C2"/>
    <w:rsid w:val="000D02C3"/>
    <w:rsid w:val="000D02C7"/>
    <w:rsid w:val="000D06AA"/>
    <w:rsid w:val="000D07B3"/>
    <w:rsid w:val="000D07E0"/>
    <w:rsid w:val="000D07F8"/>
    <w:rsid w:val="000D0883"/>
    <w:rsid w:val="000D093A"/>
    <w:rsid w:val="000D0987"/>
    <w:rsid w:val="000D09DF"/>
    <w:rsid w:val="000D09EE"/>
    <w:rsid w:val="000D0A01"/>
    <w:rsid w:val="000D0A17"/>
    <w:rsid w:val="000D0A9D"/>
    <w:rsid w:val="000D0AC0"/>
    <w:rsid w:val="000D0AD9"/>
    <w:rsid w:val="000D0B9E"/>
    <w:rsid w:val="000D0BF4"/>
    <w:rsid w:val="000D0D64"/>
    <w:rsid w:val="000D0D6A"/>
    <w:rsid w:val="000D0F53"/>
    <w:rsid w:val="000D1079"/>
    <w:rsid w:val="000D1126"/>
    <w:rsid w:val="000D11F4"/>
    <w:rsid w:val="000D12DB"/>
    <w:rsid w:val="000D13EA"/>
    <w:rsid w:val="000D1849"/>
    <w:rsid w:val="000D1927"/>
    <w:rsid w:val="000D197B"/>
    <w:rsid w:val="000D1A37"/>
    <w:rsid w:val="000D1A9B"/>
    <w:rsid w:val="000D1AE0"/>
    <w:rsid w:val="000D1B73"/>
    <w:rsid w:val="000D1C4F"/>
    <w:rsid w:val="000D1D72"/>
    <w:rsid w:val="000D1D7C"/>
    <w:rsid w:val="000D1DCF"/>
    <w:rsid w:val="000D1E80"/>
    <w:rsid w:val="000D2019"/>
    <w:rsid w:val="000D2044"/>
    <w:rsid w:val="000D20A4"/>
    <w:rsid w:val="000D20D3"/>
    <w:rsid w:val="000D21A1"/>
    <w:rsid w:val="000D2273"/>
    <w:rsid w:val="000D247E"/>
    <w:rsid w:val="000D24B4"/>
    <w:rsid w:val="000D2573"/>
    <w:rsid w:val="000D2676"/>
    <w:rsid w:val="000D2695"/>
    <w:rsid w:val="000D270D"/>
    <w:rsid w:val="000D2737"/>
    <w:rsid w:val="000D2814"/>
    <w:rsid w:val="000D29ED"/>
    <w:rsid w:val="000D2A1E"/>
    <w:rsid w:val="000D2A3B"/>
    <w:rsid w:val="000D2A3C"/>
    <w:rsid w:val="000D2A5E"/>
    <w:rsid w:val="000D2AB7"/>
    <w:rsid w:val="000D2B90"/>
    <w:rsid w:val="000D2BBE"/>
    <w:rsid w:val="000D2D83"/>
    <w:rsid w:val="000D31BC"/>
    <w:rsid w:val="000D32B0"/>
    <w:rsid w:val="000D33EB"/>
    <w:rsid w:val="000D3407"/>
    <w:rsid w:val="000D35F5"/>
    <w:rsid w:val="000D36DB"/>
    <w:rsid w:val="000D371C"/>
    <w:rsid w:val="000D3793"/>
    <w:rsid w:val="000D3823"/>
    <w:rsid w:val="000D3C2C"/>
    <w:rsid w:val="000D3C3F"/>
    <w:rsid w:val="000D3CB0"/>
    <w:rsid w:val="000D3D67"/>
    <w:rsid w:val="000D3D6D"/>
    <w:rsid w:val="000D3E14"/>
    <w:rsid w:val="000D3E1A"/>
    <w:rsid w:val="000D3F08"/>
    <w:rsid w:val="000D413E"/>
    <w:rsid w:val="000D41D6"/>
    <w:rsid w:val="000D41EB"/>
    <w:rsid w:val="000D421A"/>
    <w:rsid w:val="000D4299"/>
    <w:rsid w:val="000D42B0"/>
    <w:rsid w:val="000D4397"/>
    <w:rsid w:val="000D442D"/>
    <w:rsid w:val="000D44C8"/>
    <w:rsid w:val="000D4578"/>
    <w:rsid w:val="000D4761"/>
    <w:rsid w:val="000D47A5"/>
    <w:rsid w:val="000D47FE"/>
    <w:rsid w:val="000D4A38"/>
    <w:rsid w:val="000D4B7D"/>
    <w:rsid w:val="000D4BAA"/>
    <w:rsid w:val="000D4BB9"/>
    <w:rsid w:val="000D4E95"/>
    <w:rsid w:val="000D4F2D"/>
    <w:rsid w:val="000D4F9E"/>
    <w:rsid w:val="000D514D"/>
    <w:rsid w:val="000D51BF"/>
    <w:rsid w:val="000D51CC"/>
    <w:rsid w:val="000D51CE"/>
    <w:rsid w:val="000D51DE"/>
    <w:rsid w:val="000D533A"/>
    <w:rsid w:val="000D53FC"/>
    <w:rsid w:val="000D560B"/>
    <w:rsid w:val="000D560C"/>
    <w:rsid w:val="000D5629"/>
    <w:rsid w:val="000D56AB"/>
    <w:rsid w:val="000D56CD"/>
    <w:rsid w:val="000D5774"/>
    <w:rsid w:val="000D5A0C"/>
    <w:rsid w:val="000D5A32"/>
    <w:rsid w:val="000D5AD5"/>
    <w:rsid w:val="000D5AE2"/>
    <w:rsid w:val="000D5B69"/>
    <w:rsid w:val="000D5B73"/>
    <w:rsid w:val="000D5C5E"/>
    <w:rsid w:val="000D5D61"/>
    <w:rsid w:val="000D5D9B"/>
    <w:rsid w:val="000D5DCD"/>
    <w:rsid w:val="000D5F53"/>
    <w:rsid w:val="000D6001"/>
    <w:rsid w:val="000D6082"/>
    <w:rsid w:val="000D62B5"/>
    <w:rsid w:val="000D62E7"/>
    <w:rsid w:val="000D6341"/>
    <w:rsid w:val="000D63B0"/>
    <w:rsid w:val="000D64D1"/>
    <w:rsid w:val="000D6526"/>
    <w:rsid w:val="000D65DF"/>
    <w:rsid w:val="000D6620"/>
    <w:rsid w:val="000D6658"/>
    <w:rsid w:val="000D66F6"/>
    <w:rsid w:val="000D676B"/>
    <w:rsid w:val="000D6781"/>
    <w:rsid w:val="000D67B8"/>
    <w:rsid w:val="000D67D6"/>
    <w:rsid w:val="000D68A2"/>
    <w:rsid w:val="000D6952"/>
    <w:rsid w:val="000D6B4C"/>
    <w:rsid w:val="000D6D68"/>
    <w:rsid w:val="000D6FFE"/>
    <w:rsid w:val="000D7129"/>
    <w:rsid w:val="000D7219"/>
    <w:rsid w:val="000D72CE"/>
    <w:rsid w:val="000D72F9"/>
    <w:rsid w:val="000D7492"/>
    <w:rsid w:val="000D7C53"/>
    <w:rsid w:val="000D7CA0"/>
    <w:rsid w:val="000D7CD6"/>
    <w:rsid w:val="000D7CD8"/>
    <w:rsid w:val="000D7CF1"/>
    <w:rsid w:val="000D7DB0"/>
    <w:rsid w:val="000D7DB3"/>
    <w:rsid w:val="000D7E3D"/>
    <w:rsid w:val="000D7EB3"/>
    <w:rsid w:val="000E01B7"/>
    <w:rsid w:val="000E02C2"/>
    <w:rsid w:val="000E0442"/>
    <w:rsid w:val="000E06A6"/>
    <w:rsid w:val="000E084F"/>
    <w:rsid w:val="000E086E"/>
    <w:rsid w:val="000E08AC"/>
    <w:rsid w:val="000E090B"/>
    <w:rsid w:val="000E0A10"/>
    <w:rsid w:val="000E0ADA"/>
    <w:rsid w:val="000E0D19"/>
    <w:rsid w:val="000E0D69"/>
    <w:rsid w:val="000E0DD0"/>
    <w:rsid w:val="000E0F18"/>
    <w:rsid w:val="000E0F2C"/>
    <w:rsid w:val="000E0F6B"/>
    <w:rsid w:val="000E1019"/>
    <w:rsid w:val="000E1368"/>
    <w:rsid w:val="000E140E"/>
    <w:rsid w:val="000E14D8"/>
    <w:rsid w:val="000E150A"/>
    <w:rsid w:val="000E1604"/>
    <w:rsid w:val="000E16E5"/>
    <w:rsid w:val="000E17D0"/>
    <w:rsid w:val="000E181E"/>
    <w:rsid w:val="000E19D4"/>
    <w:rsid w:val="000E1D9C"/>
    <w:rsid w:val="000E1EA1"/>
    <w:rsid w:val="000E1ECA"/>
    <w:rsid w:val="000E1EE6"/>
    <w:rsid w:val="000E1F36"/>
    <w:rsid w:val="000E1FAC"/>
    <w:rsid w:val="000E1FBB"/>
    <w:rsid w:val="000E1FEC"/>
    <w:rsid w:val="000E2024"/>
    <w:rsid w:val="000E20E9"/>
    <w:rsid w:val="000E213C"/>
    <w:rsid w:val="000E214D"/>
    <w:rsid w:val="000E214E"/>
    <w:rsid w:val="000E21BD"/>
    <w:rsid w:val="000E21F2"/>
    <w:rsid w:val="000E222C"/>
    <w:rsid w:val="000E235A"/>
    <w:rsid w:val="000E2361"/>
    <w:rsid w:val="000E2582"/>
    <w:rsid w:val="000E27E5"/>
    <w:rsid w:val="000E28D0"/>
    <w:rsid w:val="000E28E3"/>
    <w:rsid w:val="000E2982"/>
    <w:rsid w:val="000E2985"/>
    <w:rsid w:val="000E2A0D"/>
    <w:rsid w:val="000E2AC9"/>
    <w:rsid w:val="000E2D17"/>
    <w:rsid w:val="000E2E23"/>
    <w:rsid w:val="000E2F22"/>
    <w:rsid w:val="000E2F29"/>
    <w:rsid w:val="000E2F48"/>
    <w:rsid w:val="000E3040"/>
    <w:rsid w:val="000E307A"/>
    <w:rsid w:val="000E309F"/>
    <w:rsid w:val="000E314F"/>
    <w:rsid w:val="000E3159"/>
    <w:rsid w:val="000E32A3"/>
    <w:rsid w:val="000E32DA"/>
    <w:rsid w:val="000E3386"/>
    <w:rsid w:val="000E34C5"/>
    <w:rsid w:val="000E3580"/>
    <w:rsid w:val="000E35EE"/>
    <w:rsid w:val="000E36B1"/>
    <w:rsid w:val="000E3717"/>
    <w:rsid w:val="000E37D0"/>
    <w:rsid w:val="000E385F"/>
    <w:rsid w:val="000E38BA"/>
    <w:rsid w:val="000E392C"/>
    <w:rsid w:val="000E3B4D"/>
    <w:rsid w:val="000E3BAC"/>
    <w:rsid w:val="000E3C7A"/>
    <w:rsid w:val="000E3CFF"/>
    <w:rsid w:val="000E3E34"/>
    <w:rsid w:val="000E3F05"/>
    <w:rsid w:val="000E3F09"/>
    <w:rsid w:val="000E3F78"/>
    <w:rsid w:val="000E402F"/>
    <w:rsid w:val="000E40D4"/>
    <w:rsid w:val="000E4202"/>
    <w:rsid w:val="000E4394"/>
    <w:rsid w:val="000E44AB"/>
    <w:rsid w:val="000E44C7"/>
    <w:rsid w:val="000E44DE"/>
    <w:rsid w:val="000E4599"/>
    <w:rsid w:val="000E46C9"/>
    <w:rsid w:val="000E46F7"/>
    <w:rsid w:val="000E47B4"/>
    <w:rsid w:val="000E47DF"/>
    <w:rsid w:val="000E4874"/>
    <w:rsid w:val="000E4A1B"/>
    <w:rsid w:val="000E4A23"/>
    <w:rsid w:val="000E4AFD"/>
    <w:rsid w:val="000E4C0A"/>
    <w:rsid w:val="000E4DE8"/>
    <w:rsid w:val="000E4EC4"/>
    <w:rsid w:val="000E5250"/>
    <w:rsid w:val="000E530F"/>
    <w:rsid w:val="000E5324"/>
    <w:rsid w:val="000E5432"/>
    <w:rsid w:val="000E547C"/>
    <w:rsid w:val="000E5640"/>
    <w:rsid w:val="000E5658"/>
    <w:rsid w:val="000E5782"/>
    <w:rsid w:val="000E5879"/>
    <w:rsid w:val="000E59B8"/>
    <w:rsid w:val="000E5A05"/>
    <w:rsid w:val="000E5CA6"/>
    <w:rsid w:val="000E5CD7"/>
    <w:rsid w:val="000E5E9C"/>
    <w:rsid w:val="000E5F3E"/>
    <w:rsid w:val="000E5FB8"/>
    <w:rsid w:val="000E600B"/>
    <w:rsid w:val="000E6047"/>
    <w:rsid w:val="000E605C"/>
    <w:rsid w:val="000E605D"/>
    <w:rsid w:val="000E60DE"/>
    <w:rsid w:val="000E6101"/>
    <w:rsid w:val="000E6137"/>
    <w:rsid w:val="000E6175"/>
    <w:rsid w:val="000E631D"/>
    <w:rsid w:val="000E6355"/>
    <w:rsid w:val="000E63CF"/>
    <w:rsid w:val="000E640A"/>
    <w:rsid w:val="000E6415"/>
    <w:rsid w:val="000E645C"/>
    <w:rsid w:val="000E64C9"/>
    <w:rsid w:val="000E6501"/>
    <w:rsid w:val="000E6505"/>
    <w:rsid w:val="000E654F"/>
    <w:rsid w:val="000E65C4"/>
    <w:rsid w:val="000E66D6"/>
    <w:rsid w:val="000E66D8"/>
    <w:rsid w:val="000E671F"/>
    <w:rsid w:val="000E673F"/>
    <w:rsid w:val="000E6747"/>
    <w:rsid w:val="000E6816"/>
    <w:rsid w:val="000E69D1"/>
    <w:rsid w:val="000E69EB"/>
    <w:rsid w:val="000E6A80"/>
    <w:rsid w:val="000E6AFA"/>
    <w:rsid w:val="000E6C46"/>
    <w:rsid w:val="000E6C69"/>
    <w:rsid w:val="000E6DB2"/>
    <w:rsid w:val="000E6EE0"/>
    <w:rsid w:val="000E6FCB"/>
    <w:rsid w:val="000E70CB"/>
    <w:rsid w:val="000E70EF"/>
    <w:rsid w:val="000E72A0"/>
    <w:rsid w:val="000E735B"/>
    <w:rsid w:val="000E750F"/>
    <w:rsid w:val="000E75B8"/>
    <w:rsid w:val="000E762F"/>
    <w:rsid w:val="000E7886"/>
    <w:rsid w:val="000E7892"/>
    <w:rsid w:val="000E78F2"/>
    <w:rsid w:val="000E79A0"/>
    <w:rsid w:val="000E79BA"/>
    <w:rsid w:val="000E7A50"/>
    <w:rsid w:val="000E7A69"/>
    <w:rsid w:val="000E7B3D"/>
    <w:rsid w:val="000E7B60"/>
    <w:rsid w:val="000E7BA8"/>
    <w:rsid w:val="000E7CF9"/>
    <w:rsid w:val="000E7CFC"/>
    <w:rsid w:val="000E7EFF"/>
    <w:rsid w:val="000F00D4"/>
    <w:rsid w:val="000F012B"/>
    <w:rsid w:val="000F0130"/>
    <w:rsid w:val="000F01BD"/>
    <w:rsid w:val="000F01E8"/>
    <w:rsid w:val="000F027D"/>
    <w:rsid w:val="000F0348"/>
    <w:rsid w:val="000F03D7"/>
    <w:rsid w:val="000F04D7"/>
    <w:rsid w:val="000F04DE"/>
    <w:rsid w:val="000F0516"/>
    <w:rsid w:val="000F0673"/>
    <w:rsid w:val="000F06BC"/>
    <w:rsid w:val="000F06FB"/>
    <w:rsid w:val="000F0728"/>
    <w:rsid w:val="000F073F"/>
    <w:rsid w:val="000F0841"/>
    <w:rsid w:val="000F0911"/>
    <w:rsid w:val="000F0A23"/>
    <w:rsid w:val="000F0A74"/>
    <w:rsid w:val="000F0A82"/>
    <w:rsid w:val="000F0B1D"/>
    <w:rsid w:val="000F0C64"/>
    <w:rsid w:val="000F0CB9"/>
    <w:rsid w:val="000F0DE1"/>
    <w:rsid w:val="000F0EA6"/>
    <w:rsid w:val="000F0F1B"/>
    <w:rsid w:val="000F0FB6"/>
    <w:rsid w:val="000F1073"/>
    <w:rsid w:val="000F10F6"/>
    <w:rsid w:val="000F11B0"/>
    <w:rsid w:val="000F11F5"/>
    <w:rsid w:val="000F11FC"/>
    <w:rsid w:val="000F1306"/>
    <w:rsid w:val="000F1355"/>
    <w:rsid w:val="000F1562"/>
    <w:rsid w:val="000F1582"/>
    <w:rsid w:val="000F15CE"/>
    <w:rsid w:val="000F1622"/>
    <w:rsid w:val="000F1744"/>
    <w:rsid w:val="000F17B9"/>
    <w:rsid w:val="000F17CA"/>
    <w:rsid w:val="000F18A0"/>
    <w:rsid w:val="000F1903"/>
    <w:rsid w:val="000F1981"/>
    <w:rsid w:val="000F1B6D"/>
    <w:rsid w:val="000F1BBA"/>
    <w:rsid w:val="000F1D78"/>
    <w:rsid w:val="000F1E01"/>
    <w:rsid w:val="000F1F1D"/>
    <w:rsid w:val="000F1F5F"/>
    <w:rsid w:val="000F206A"/>
    <w:rsid w:val="000F2073"/>
    <w:rsid w:val="000F2171"/>
    <w:rsid w:val="000F21B9"/>
    <w:rsid w:val="000F2229"/>
    <w:rsid w:val="000F2243"/>
    <w:rsid w:val="000F228B"/>
    <w:rsid w:val="000F2291"/>
    <w:rsid w:val="000F235F"/>
    <w:rsid w:val="000F23AF"/>
    <w:rsid w:val="000F23B6"/>
    <w:rsid w:val="000F23DF"/>
    <w:rsid w:val="000F23F1"/>
    <w:rsid w:val="000F23FA"/>
    <w:rsid w:val="000F2418"/>
    <w:rsid w:val="000F247C"/>
    <w:rsid w:val="000F24AE"/>
    <w:rsid w:val="000F24EE"/>
    <w:rsid w:val="000F2687"/>
    <w:rsid w:val="000F2688"/>
    <w:rsid w:val="000F2697"/>
    <w:rsid w:val="000F2752"/>
    <w:rsid w:val="000F27D6"/>
    <w:rsid w:val="000F2859"/>
    <w:rsid w:val="000F2B77"/>
    <w:rsid w:val="000F2C7E"/>
    <w:rsid w:val="000F2CCB"/>
    <w:rsid w:val="000F2E4B"/>
    <w:rsid w:val="000F2E4F"/>
    <w:rsid w:val="000F2E71"/>
    <w:rsid w:val="000F2EAF"/>
    <w:rsid w:val="000F2EEA"/>
    <w:rsid w:val="000F2F83"/>
    <w:rsid w:val="000F2FD5"/>
    <w:rsid w:val="000F3076"/>
    <w:rsid w:val="000F30C5"/>
    <w:rsid w:val="000F30FC"/>
    <w:rsid w:val="000F3173"/>
    <w:rsid w:val="000F34AD"/>
    <w:rsid w:val="000F3528"/>
    <w:rsid w:val="000F35AE"/>
    <w:rsid w:val="000F35D0"/>
    <w:rsid w:val="000F366C"/>
    <w:rsid w:val="000F36C2"/>
    <w:rsid w:val="000F36CE"/>
    <w:rsid w:val="000F38D9"/>
    <w:rsid w:val="000F3904"/>
    <w:rsid w:val="000F3919"/>
    <w:rsid w:val="000F391F"/>
    <w:rsid w:val="000F39AC"/>
    <w:rsid w:val="000F39C0"/>
    <w:rsid w:val="000F3AE4"/>
    <w:rsid w:val="000F3AED"/>
    <w:rsid w:val="000F3AF3"/>
    <w:rsid w:val="000F3BAE"/>
    <w:rsid w:val="000F3C36"/>
    <w:rsid w:val="000F3C67"/>
    <w:rsid w:val="000F3F05"/>
    <w:rsid w:val="000F3F5B"/>
    <w:rsid w:val="000F404F"/>
    <w:rsid w:val="000F4082"/>
    <w:rsid w:val="000F40E3"/>
    <w:rsid w:val="000F4146"/>
    <w:rsid w:val="000F41AC"/>
    <w:rsid w:val="000F43C6"/>
    <w:rsid w:val="000F4598"/>
    <w:rsid w:val="000F45BB"/>
    <w:rsid w:val="000F4646"/>
    <w:rsid w:val="000F4703"/>
    <w:rsid w:val="000F4805"/>
    <w:rsid w:val="000F483F"/>
    <w:rsid w:val="000F4842"/>
    <w:rsid w:val="000F48F0"/>
    <w:rsid w:val="000F491B"/>
    <w:rsid w:val="000F4B03"/>
    <w:rsid w:val="000F4BA4"/>
    <w:rsid w:val="000F4BCA"/>
    <w:rsid w:val="000F4BE0"/>
    <w:rsid w:val="000F4BEF"/>
    <w:rsid w:val="000F50EE"/>
    <w:rsid w:val="000F513C"/>
    <w:rsid w:val="000F518B"/>
    <w:rsid w:val="000F519F"/>
    <w:rsid w:val="000F51C6"/>
    <w:rsid w:val="000F51D4"/>
    <w:rsid w:val="000F52C5"/>
    <w:rsid w:val="000F5340"/>
    <w:rsid w:val="000F5534"/>
    <w:rsid w:val="000F5537"/>
    <w:rsid w:val="000F5561"/>
    <w:rsid w:val="000F5674"/>
    <w:rsid w:val="000F5873"/>
    <w:rsid w:val="000F589F"/>
    <w:rsid w:val="000F58DE"/>
    <w:rsid w:val="000F5AE3"/>
    <w:rsid w:val="000F5B4D"/>
    <w:rsid w:val="000F5B59"/>
    <w:rsid w:val="000F5CD8"/>
    <w:rsid w:val="000F5CD9"/>
    <w:rsid w:val="000F5D43"/>
    <w:rsid w:val="000F5D60"/>
    <w:rsid w:val="000F5E79"/>
    <w:rsid w:val="000F5E81"/>
    <w:rsid w:val="000F5ED9"/>
    <w:rsid w:val="000F5F22"/>
    <w:rsid w:val="000F60C4"/>
    <w:rsid w:val="000F60F0"/>
    <w:rsid w:val="000F60FD"/>
    <w:rsid w:val="000F62BD"/>
    <w:rsid w:val="000F6304"/>
    <w:rsid w:val="000F64C2"/>
    <w:rsid w:val="000F689D"/>
    <w:rsid w:val="000F69AA"/>
    <w:rsid w:val="000F69D5"/>
    <w:rsid w:val="000F6AC4"/>
    <w:rsid w:val="000F6AEF"/>
    <w:rsid w:val="000F6BDB"/>
    <w:rsid w:val="000F6BF6"/>
    <w:rsid w:val="000F6C3E"/>
    <w:rsid w:val="000F6C88"/>
    <w:rsid w:val="000F6CD4"/>
    <w:rsid w:val="000F6D0F"/>
    <w:rsid w:val="000F6D11"/>
    <w:rsid w:val="000F6E91"/>
    <w:rsid w:val="000F6F7A"/>
    <w:rsid w:val="000F6FB1"/>
    <w:rsid w:val="000F6FDC"/>
    <w:rsid w:val="000F71CC"/>
    <w:rsid w:val="000F7294"/>
    <w:rsid w:val="000F75B6"/>
    <w:rsid w:val="000F75FA"/>
    <w:rsid w:val="000F7632"/>
    <w:rsid w:val="000F76CC"/>
    <w:rsid w:val="000F76D9"/>
    <w:rsid w:val="000F7742"/>
    <w:rsid w:val="000F776D"/>
    <w:rsid w:val="000F77D7"/>
    <w:rsid w:val="000F789D"/>
    <w:rsid w:val="000F792C"/>
    <w:rsid w:val="000F79BF"/>
    <w:rsid w:val="000F79ED"/>
    <w:rsid w:val="000F79F0"/>
    <w:rsid w:val="000F7AA2"/>
    <w:rsid w:val="000F7AD2"/>
    <w:rsid w:val="000F7B0F"/>
    <w:rsid w:val="000F7BDA"/>
    <w:rsid w:val="000F7C76"/>
    <w:rsid w:val="000F7DFF"/>
    <w:rsid w:val="000F7EA9"/>
    <w:rsid w:val="000F7EFF"/>
    <w:rsid w:val="00100095"/>
    <w:rsid w:val="001002F9"/>
    <w:rsid w:val="001003A6"/>
    <w:rsid w:val="001003CF"/>
    <w:rsid w:val="0010048E"/>
    <w:rsid w:val="001004D5"/>
    <w:rsid w:val="0010062B"/>
    <w:rsid w:val="00100801"/>
    <w:rsid w:val="00100925"/>
    <w:rsid w:val="001009CB"/>
    <w:rsid w:val="00100A70"/>
    <w:rsid w:val="00100A75"/>
    <w:rsid w:val="00100CC6"/>
    <w:rsid w:val="00100D23"/>
    <w:rsid w:val="00100D44"/>
    <w:rsid w:val="00100DC8"/>
    <w:rsid w:val="00100EC7"/>
    <w:rsid w:val="00100FFD"/>
    <w:rsid w:val="0010109E"/>
    <w:rsid w:val="001010F3"/>
    <w:rsid w:val="00101249"/>
    <w:rsid w:val="0010128C"/>
    <w:rsid w:val="001013CE"/>
    <w:rsid w:val="00101513"/>
    <w:rsid w:val="00101535"/>
    <w:rsid w:val="00101569"/>
    <w:rsid w:val="0010158E"/>
    <w:rsid w:val="0010164E"/>
    <w:rsid w:val="00101898"/>
    <w:rsid w:val="00101A0D"/>
    <w:rsid w:val="00101A48"/>
    <w:rsid w:val="00101B9E"/>
    <w:rsid w:val="00101BD6"/>
    <w:rsid w:val="00101E7A"/>
    <w:rsid w:val="00101FCF"/>
    <w:rsid w:val="0010210F"/>
    <w:rsid w:val="00102253"/>
    <w:rsid w:val="00102359"/>
    <w:rsid w:val="001023EC"/>
    <w:rsid w:val="00102511"/>
    <w:rsid w:val="00102556"/>
    <w:rsid w:val="00102608"/>
    <w:rsid w:val="001026A9"/>
    <w:rsid w:val="0010282C"/>
    <w:rsid w:val="00102A0F"/>
    <w:rsid w:val="00102B2E"/>
    <w:rsid w:val="00102BBF"/>
    <w:rsid w:val="00102C0F"/>
    <w:rsid w:val="00102CFF"/>
    <w:rsid w:val="00102D84"/>
    <w:rsid w:val="00102DE4"/>
    <w:rsid w:val="00102E7C"/>
    <w:rsid w:val="00102ED5"/>
    <w:rsid w:val="00102ED6"/>
    <w:rsid w:val="00102EE3"/>
    <w:rsid w:val="00102F2C"/>
    <w:rsid w:val="00102F5B"/>
    <w:rsid w:val="00102F7F"/>
    <w:rsid w:val="00103065"/>
    <w:rsid w:val="001030CA"/>
    <w:rsid w:val="0010331C"/>
    <w:rsid w:val="00103356"/>
    <w:rsid w:val="00103359"/>
    <w:rsid w:val="001033A0"/>
    <w:rsid w:val="001036C7"/>
    <w:rsid w:val="0010385B"/>
    <w:rsid w:val="001039FE"/>
    <w:rsid w:val="00103A08"/>
    <w:rsid w:val="00103B42"/>
    <w:rsid w:val="00103B95"/>
    <w:rsid w:val="00103D03"/>
    <w:rsid w:val="00103D46"/>
    <w:rsid w:val="00103D85"/>
    <w:rsid w:val="00103D98"/>
    <w:rsid w:val="00103F33"/>
    <w:rsid w:val="001041CD"/>
    <w:rsid w:val="00104232"/>
    <w:rsid w:val="00104356"/>
    <w:rsid w:val="001043E2"/>
    <w:rsid w:val="0010442F"/>
    <w:rsid w:val="00104448"/>
    <w:rsid w:val="00104497"/>
    <w:rsid w:val="00104498"/>
    <w:rsid w:val="001044A2"/>
    <w:rsid w:val="001044D7"/>
    <w:rsid w:val="00104870"/>
    <w:rsid w:val="001049E7"/>
    <w:rsid w:val="00104A17"/>
    <w:rsid w:val="00104A8F"/>
    <w:rsid w:val="00104B62"/>
    <w:rsid w:val="00104C03"/>
    <w:rsid w:val="00104C58"/>
    <w:rsid w:val="00104CA7"/>
    <w:rsid w:val="00104D09"/>
    <w:rsid w:val="00104DAC"/>
    <w:rsid w:val="00104E2B"/>
    <w:rsid w:val="00104F6E"/>
    <w:rsid w:val="00104FAA"/>
    <w:rsid w:val="001050EB"/>
    <w:rsid w:val="001051BE"/>
    <w:rsid w:val="001052AF"/>
    <w:rsid w:val="001053A5"/>
    <w:rsid w:val="00105434"/>
    <w:rsid w:val="0010544A"/>
    <w:rsid w:val="0010544C"/>
    <w:rsid w:val="001054FB"/>
    <w:rsid w:val="00105500"/>
    <w:rsid w:val="001056DD"/>
    <w:rsid w:val="00105701"/>
    <w:rsid w:val="00105739"/>
    <w:rsid w:val="00105897"/>
    <w:rsid w:val="00105A99"/>
    <w:rsid w:val="00105AA7"/>
    <w:rsid w:val="00105AC4"/>
    <w:rsid w:val="00105B39"/>
    <w:rsid w:val="00105BD8"/>
    <w:rsid w:val="00105CD0"/>
    <w:rsid w:val="00105D17"/>
    <w:rsid w:val="00105F5B"/>
    <w:rsid w:val="00105FB7"/>
    <w:rsid w:val="00105FEC"/>
    <w:rsid w:val="00106130"/>
    <w:rsid w:val="00106248"/>
    <w:rsid w:val="00106302"/>
    <w:rsid w:val="0010635B"/>
    <w:rsid w:val="0010654B"/>
    <w:rsid w:val="00106565"/>
    <w:rsid w:val="001065E6"/>
    <w:rsid w:val="00106622"/>
    <w:rsid w:val="00106664"/>
    <w:rsid w:val="00106714"/>
    <w:rsid w:val="00106782"/>
    <w:rsid w:val="001067C0"/>
    <w:rsid w:val="0010699C"/>
    <w:rsid w:val="001069FA"/>
    <w:rsid w:val="00106CB3"/>
    <w:rsid w:val="00106D13"/>
    <w:rsid w:val="00106E50"/>
    <w:rsid w:val="001070D0"/>
    <w:rsid w:val="00107235"/>
    <w:rsid w:val="00107278"/>
    <w:rsid w:val="001072B5"/>
    <w:rsid w:val="0010732A"/>
    <w:rsid w:val="0010739F"/>
    <w:rsid w:val="0010745B"/>
    <w:rsid w:val="0010751B"/>
    <w:rsid w:val="00107550"/>
    <w:rsid w:val="001075F8"/>
    <w:rsid w:val="001076B0"/>
    <w:rsid w:val="00107768"/>
    <w:rsid w:val="00107876"/>
    <w:rsid w:val="00107A18"/>
    <w:rsid w:val="00107B3B"/>
    <w:rsid w:val="00107C44"/>
    <w:rsid w:val="00107CCC"/>
    <w:rsid w:val="00107D00"/>
    <w:rsid w:val="00107D4E"/>
    <w:rsid w:val="00107ED1"/>
    <w:rsid w:val="00107FF4"/>
    <w:rsid w:val="0011006F"/>
    <w:rsid w:val="0011008B"/>
    <w:rsid w:val="001100A0"/>
    <w:rsid w:val="001101DE"/>
    <w:rsid w:val="0011027B"/>
    <w:rsid w:val="00110334"/>
    <w:rsid w:val="0011039F"/>
    <w:rsid w:val="00110761"/>
    <w:rsid w:val="001107C5"/>
    <w:rsid w:val="0011089D"/>
    <w:rsid w:val="001109CF"/>
    <w:rsid w:val="00110A1B"/>
    <w:rsid w:val="00110A3A"/>
    <w:rsid w:val="00110A82"/>
    <w:rsid w:val="00110BD3"/>
    <w:rsid w:val="00110C9B"/>
    <w:rsid w:val="00110D4D"/>
    <w:rsid w:val="00110E55"/>
    <w:rsid w:val="00110E5E"/>
    <w:rsid w:val="00111337"/>
    <w:rsid w:val="00111385"/>
    <w:rsid w:val="0011155E"/>
    <w:rsid w:val="0011172F"/>
    <w:rsid w:val="0011181C"/>
    <w:rsid w:val="00111A43"/>
    <w:rsid w:val="00111B46"/>
    <w:rsid w:val="00111BB3"/>
    <w:rsid w:val="00111BE0"/>
    <w:rsid w:val="00111F79"/>
    <w:rsid w:val="00112037"/>
    <w:rsid w:val="001120D4"/>
    <w:rsid w:val="001121E1"/>
    <w:rsid w:val="001122B1"/>
    <w:rsid w:val="00112312"/>
    <w:rsid w:val="001123A5"/>
    <w:rsid w:val="001123F3"/>
    <w:rsid w:val="0011247F"/>
    <w:rsid w:val="001124C3"/>
    <w:rsid w:val="00112701"/>
    <w:rsid w:val="00112723"/>
    <w:rsid w:val="00112818"/>
    <w:rsid w:val="00112897"/>
    <w:rsid w:val="00112AD9"/>
    <w:rsid w:val="00112B12"/>
    <w:rsid w:val="00112D19"/>
    <w:rsid w:val="00112E81"/>
    <w:rsid w:val="00112EF9"/>
    <w:rsid w:val="001130B0"/>
    <w:rsid w:val="0011313A"/>
    <w:rsid w:val="00113149"/>
    <w:rsid w:val="001131AB"/>
    <w:rsid w:val="0011323D"/>
    <w:rsid w:val="00113273"/>
    <w:rsid w:val="001133A4"/>
    <w:rsid w:val="0011354B"/>
    <w:rsid w:val="001135BB"/>
    <w:rsid w:val="0011362C"/>
    <w:rsid w:val="001136AD"/>
    <w:rsid w:val="0011378C"/>
    <w:rsid w:val="00113831"/>
    <w:rsid w:val="00113917"/>
    <w:rsid w:val="00113A0B"/>
    <w:rsid w:val="00113B30"/>
    <w:rsid w:val="00113B50"/>
    <w:rsid w:val="00113C30"/>
    <w:rsid w:val="00113C44"/>
    <w:rsid w:val="00113CAC"/>
    <w:rsid w:val="00113DA4"/>
    <w:rsid w:val="00113DD9"/>
    <w:rsid w:val="00113FEB"/>
    <w:rsid w:val="0011400B"/>
    <w:rsid w:val="001140EC"/>
    <w:rsid w:val="0011427C"/>
    <w:rsid w:val="001142B3"/>
    <w:rsid w:val="00114308"/>
    <w:rsid w:val="00114373"/>
    <w:rsid w:val="001143D5"/>
    <w:rsid w:val="0011440A"/>
    <w:rsid w:val="001144CF"/>
    <w:rsid w:val="001144DB"/>
    <w:rsid w:val="00114599"/>
    <w:rsid w:val="00114692"/>
    <w:rsid w:val="001146C7"/>
    <w:rsid w:val="00114806"/>
    <w:rsid w:val="0011488F"/>
    <w:rsid w:val="001148AC"/>
    <w:rsid w:val="0011494D"/>
    <w:rsid w:val="00114A1C"/>
    <w:rsid w:val="00114AA1"/>
    <w:rsid w:val="00114ADC"/>
    <w:rsid w:val="00114C96"/>
    <w:rsid w:val="00114D9A"/>
    <w:rsid w:val="00114E11"/>
    <w:rsid w:val="00114F8E"/>
    <w:rsid w:val="00114F99"/>
    <w:rsid w:val="00115055"/>
    <w:rsid w:val="0011522D"/>
    <w:rsid w:val="00115324"/>
    <w:rsid w:val="0011543E"/>
    <w:rsid w:val="001154A6"/>
    <w:rsid w:val="00115663"/>
    <w:rsid w:val="00115691"/>
    <w:rsid w:val="001156B5"/>
    <w:rsid w:val="001156D7"/>
    <w:rsid w:val="00115729"/>
    <w:rsid w:val="0011574D"/>
    <w:rsid w:val="0011575E"/>
    <w:rsid w:val="001157A9"/>
    <w:rsid w:val="001158BC"/>
    <w:rsid w:val="001158C5"/>
    <w:rsid w:val="001158F2"/>
    <w:rsid w:val="00115AD1"/>
    <w:rsid w:val="00115ADF"/>
    <w:rsid w:val="00115B54"/>
    <w:rsid w:val="00115B7D"/>
    <w:rsid w:val="00115C24"/>
    <w:rsid w:val="00115C8A"/>
    <w:rsid w:val="00115E6F"/>
    <w:rsid w:val="0011601A"/>
    <w:rsid w:val="00116043"/>
    <w:rsid w:val="00116339"/>
    <w:rsid w:val="00116366"/>
    <w:rsid w:val="001163A3"/>
    <w:rsid w:val="0011642C"/>
    <w:rsid w:val="0011646F"/>
    <w:rsid w:val="00116486"/>
    <w:rsid w:val="0011665D"/>
    <w:rsid w:val="0011669E"/>
    <w:rsid w:val="001166E5"/>
    <w:rsid w:val="001168F1"/>
    <w:rsid w:val="00116932"/>
    <w:rsid w:val="00116B86"/>
    <w:rsid w:val="00116BD9"/>
    <w:rsid w:val="00116C7A"/>
    <w:rsid w:val="00116CA3"/>
    <w:rsid w:val="00116D8F"/>
    <w:rsid w:val="00116E85"/>
    <w:rsid w:val="00117033"/>
    <w:rsid w:val="00117112"/>
    <w:rsid w:val="00117202"/>
    <w:rsid w:val="00117288"/>
    <w:rsid w:val="001172E5"/>
    <w:rsid w:val="00117508"/>
    <w:rsid w:val="001175AD"/>
    <w:rsid w:val="00117882"/>
    <w:rsid w:val="00117954"/>
    <w:rsid w:val="00117A7B"/>
    <w:rsid w:val="00117BBD"/>
    <w:rsid w:val="00117FA6"/>
    <w:rsid w:val="0012005A"/>
    <w:rsid w:val="00120098"/>
    <w:rsid w:val="0012015D"/>
    <w:rsid w:val="001201C7"/>
    <w:rsid w:val="0012025E"/>
    <w:rsid w:val="001202BB"/>
    <w:rsid w:val="001202F5"/>
    <w:rsid w:val="0012047E"/>
    <w:rsid w:val="0012048B"/>
    <w:rsid w:val="0012064B"/>
    <w:rsid w:val="001206EC"/>
    <w:rsid w:val="001207B6"/>
    <w:rsid w:val="00120801"/>
    <w:rsid w:val="00120CE1"/>
    <w:rsid w:val="00120DA6"/>
    <w:rsid w:val="00120DD1"/>
    <w:rsid w:val="00120E48"/>
    <w:rsid w:val="00120E63"/>
    <w:rsid w:val="00120E94"/>
    <w:rsid w:val="00120FBC"/>
    <w:rsid w:val="00121156"/>
    <w:rsid w:val="00121187"/>
    <w:rsid w:val="001211C3"/>
    <w:rsid w:val="0012128C"/>
    <w:rsid w:val="001212D1"/>
    <w:rsid w:val="0012130D"/>
    <w:rsid w:val="0012131C"/>
    <w:rsid w:val="001214EB"/>
    <w:rsid w:val="0012152B"/>
    <w:rsid w:val="0012156E"/>
    <w:rsid w:val="0012158B"/>
    <w:rsid w:val="001215D6"/>
    <w:rsid w:val="001216A3"/>
    <w:rsid w:val="00121728"/>
    <w:rsid w:val="001217CA"/>
    <w:rsid w:val="00121836"/>
    <w:rsid w:val="001218D4"/>
    <w:rsid w:val="001218ED"/>
    <w:rsid w:val="001219F0"/>
    <w:rsid w:val="00121A0A"/>
    <w:rsid w:val="00121A87"/>
    <w:rsid w:val="00121B17"/>
    <w:rsid w:val="00121B64"/>
    <w:rsid w:val="00121C42"/>
    <w:rsid w:val="00121CC2"/>
    <w:rsid w:val="00121EC4"/>
    <w:rsid w:val="00121FB4"/>
    <w:rsid w:val="00122020"/>
    <w:rsid w:val="001220BF"/>
    <w:rsid w:val="00122142"/>
    <w:rsid w:val="001221F4"/>
    <w:rsid w:val="0012220B"/>
    <w:rsid w:val="0012222D"/>
    <w:rsid w:val="00122231"/>
    <w:rsid w:val="0012245B"/>
    <w:rsid w:val="001225BE"/>
    <w:rsid w:val="00122675"/>
    <w:rsid w:val="00122693"/>
    <w:rsid w:val="00122999"/>
    <w:rsid w:val="00122A77"/>
    <w:rsid w:val="00122B2F"/>
    <w:rsid w:val="00122BF8"/>
    <w:rsid w:val="00122C70"/>
    <w:rsid w:val="00122E17"/>
    <w:rsid w:val="00122ED2"/>
    <w:rsid w:val="00122F09"/>
    <w:rsid w:val="00122FE5"/>
    <w:rsid w:val="001230C3"/>
    <w:rsid w:val="00123447"/>
    <w:rsid w:val="00123498"/>
    <w:rsid w:val="001234D4"/>
    <w:rsid w:val="0012354A"/>
    <w:rsid w:val="00123702"/>
    <w:rsid w:val="001238CC"/>
    <w:rsid w:val="0012390F"/>
    <w:rsid w:val="00123986"/>
    <w:rsid w:val="00123A1F"/>
    <w:rsid w:val="00123A80"/>
    <w:rsid w:val="00123AA7"/>
    <w:rsid w:val="00123C5C"/>
    <w:rsid w:val="00123DD5"/>
    <w:rsid w:val="00123E10"/>
    <w:rsid w:val="0012410E"/>
    <w:rsid w:val="00124387"/>
    <w:rsid w:val="001244BC"/>
    <w:rsid w:val="00124582"/>
    <w:rsid w:val="00124662"/>
    <w:rsid w:val="001247F5"/>
    <w:rsid w:val="001249B1"/>
    <w:rsid w:val="00124A24"/>
    <w:rsid w:val="00124A45"/>
    <w:rsid w:val="00124BBF"/>
    <w:rsid w:val="00124C8E"/>
    <w:rsid w:val="00124D30"/>
    <w:rsid w:val="00124E5A"/>
    <w:rsid w:val="00124F71"/>
    <w:rsid w:val="00124FA2"/>
    <w:rsid w:val="00124FE9"/>
    <w:rsid w:val="00125005"/>
    <w:rsid w:val="00125016"/>
    <w:rsid w:val="0012506A"/>
    <w:rsid w:val="00125090"/>
    <w:rsid w:val="00125159"/>
    <w:rsid w:val="001253B9"/>
    <w:rsid w:val="001253D0"/>
    <w:rsid w:val="00125483"/>
    <w:rsid w:val="00125595"/>
    <w:rsid w:val="001255D1"/>
    <w:rsid w:val="001256D7"/>
    <w:rsid w:val="00125709"/>
    <w:rsid w:val="001257F1"/>
    <w:rsid w:val="0012583A"/>
    <w:rsid w:val="00125AAA"/>
    <w:rsid w:val="00125B70"/>
    <w:rsid w:val="00125C59"/>
    <w:rsid w:val="00125CAA"/>
    <w:rsid w:val="00125E0F"/>
    <w:rsid w:val="00125E1C"/>
    <w:rsid w:val="001260B9"/>
    <w:rsid w:val="00126129"/>
    <w:rsid w:val="00126223"/>
    <w:rsid w:val="001263E2"/>
    <w:rsid w:val="00126414"/>
    <w:rsid w:val="00126533"/>
    <w:rsid w:val="00126576"/>
    <w:rsid w:val="001266E4"/>
    <w:rsid w:val="0012670F"/>
    <w:rsid w:val="00126787"/>
    <w:rsid w:val="00126805"/>
    <w:rsid w:val="001268EA"/>
    <w:rsid w:val="001268FE"/>
    <w:rsid w:val="001269E2"/>
    <w:rsid w:val="00126A07"/>
    <w:rsid w:val="00126AEC"/>
    <w:rsid w:val="00126B31"/>
    <w:rsid w:val="00126D3E"/>
    <w:rsid w:val="00126EAB"/>
    <w:rsid w:val="00126EC8"/>
    <w:rsid w:val="00126FB0"/>
    <w:rsid w:val="00126FC9"/>
    <w:rsid w:val="001270AC"/>
    <w:rsid w:val="001270EE"/>
    <w:rsid w:val="001271CF"/>
    <w:rsid w:val="0012722C"/>
    <w:rsid w:val="0012723D"/>
    <w:rsid w:val="001272E9"/>
    <w:rsid w:val="0012743C"/>
    <w:rsid w:val="0012746F"/>
    <w:rsid w:val="001275DC"/>
    <w:rsid w:val="001275E0"/>
    <w:rsid w:val="0012766C"/>
    <w:rsid w:val="001277DF"/>
    <w:rsid w:val="001279D8"/>
    <w:rsid w:val="00127A05"/>
    <w:rsid w:val="00127A7F"/>
    <w:rsid w:val="00127AF1"/>
    <w:rsid w:val="00127B9D"/>
    <w:rsid w:val="00127C1C"/>
    <w:rsid w:val="00127CED"/>
    <w:rsid w:val="00127DA8"/>
    <w:rsid w:val="00127E31"/>
    <w:rsid w:val="001300D0"/>
    <w:rsid w:val="00130112"/>
    <w:rsid w:val="001301AD"/>
    <w:rsid w:val="001302EE"/>
    <w:rsid w:val="00130395"/>
    <w:rsid w:val="00130471"/>
    <w:rsid w:val="0013060D"/>
    <w:rsid w:val="0013064E"/>
    <w:rsid w:val="0013070D"/>
    <w:rsid w:val="00130786"/>
    <w:rsid w:val="001308B0"/>
    <w:rsid w:val="0013092B"/>
    <w:rsid w:val="001309B5"/>
    <w:rsid w:val="001309FC"/>
    <w:rsid w:val="00130A8C"/>
    <w:rsid w:val="00130AED"/>
    <w:rsid w:val="00130AF1"/>
    <w:rsid w:val="00130BA9"/>
    <w:rsid w:val="00130C09"/>
    <w:rsid w:val="00130D57"/>
    <w:rsid w:val="00130E08"/>
    <w:rsid w:val="00130E9D"/>
    <w:rsid w:val="00130F91"/>
    <w:rsid w:val="00130FEA"/>
    <w:rsid w:val="00131017"/>
    <w:rsid w:val="00131063"/>
    <w:rsid w:val="001310D8"/>
    <w:rsid w:val="0013110A"/>
    <w:rsid w:val="00131156"/>
    <w:rsid w:val="001311D7"/>
    <w:rsid w:val="001312DD"/>
    <w:rsid w:val="001312EF"/>
    <w:rsid w:val="001314BC"/>
    <w:rsid w:val="001315F0"/>
    <w:rsid w:val="001317D9"/>
    <w:rsid w:val="001318B5"/>
    <w:rsid w:val="001318E7"/>
    <w:rsid w:val="00131A27"/>
    <w:rsid w:val="00131AB2"/>
    <w:rsid w:val="00131AD5"/>
    <w:rsid w:val="00131B17"/>
    <w:rsid w:val="00131B5C"/>
    <w:rsid w:val="00131C60"/>
    <w:rsid w:val="00131E4B"/>
    <w:rsid w:val="00131EBB"/>
    <w:rsid w:val="00131EC7"/>
    <w:rsid w:val="00131F0D"/>
    <w:rsid w:val="00131FD8"/>
    <w:rsid w:val="0013201E"/>
    <w:rsid w:val="0013218E"/>
    <w:rsid w:val="001321A1"/>
    <w:rsid w:val="001321E9"/>
    <w:rsid w:val="001323DC"/>
    <w:rsid w:val="0013242F"/>
    <w:rsid w:val="00132460"/>
    <w:rsid w:val="00132500"/>
    <w:rsid w:val="001325FE"/>
    <w:rsid w:val="00132611"/>
    <w:rsid w:val="00132956"/>
    <w:rsid w:val="00132A6B"/>
    <w:rsid w:val="00132A84"/>
    <w:rsid w:val="00132B66"/>
    <w:rsid w:val="00132D3C"/>
    <w:rsid w:val="00132D3E"/>
    <w:rsid w:val="00132E88"/>
    <w:rsid w:val="00132FF2"/>
    <w:rsid w:val="0013302D"/>
    <w:rsid w:val="001330CC"/>
    <w:rsid w:val="00133248"/>
    <w:rsid w:val="00133251"/>
    <w:rsid w:val="0013327C"/>
    <w:rsid w:val="001333CC"/>
    <w:rsid w:val="001333F7"/>
    <w:rsid w:val="001334AA"/>
    <w:rsid w:val="001335DF"/>
    <w:rsid w:val="0013376D"/>
    <w:rsid w:val="001337AA"/>
    <w:rsid w:val="001337D9"/>
    <w:rsid w:val="001338DE"/>
    <w:rsid w:val="0013393F"/>
    <w:rsid w:val="00133965"/>
    <w:rsid w:val="001339AE"/>
    <w:rsid w:val="001339FB"/>
    <w:rsid w:val="00133A1E"/>
    <w:rsid w:val="00133AAD"/>
    <w:rsid w:val="00133AAE"/>
    <w:rsid w:val="00133D13"/>
    <w:rsid w:val="00133D7A"/>
    <w:rsid w:val="00133D9F"/>
    <w:rsid w:val="00133E32"/>
    <w:rsid w:val="00133E3E"/>
    <w:rsid w:val="00133E63"/>
    <w:rsid w:val="00133EDD"/>
    <w:rsid w:val="00134105"/>
    <w:rsid w:val="00134150"/>
    <w:rsid w:val="00134264"/>
    <w:rsid w:val="001342BF"/>
    <w:rsid w:val="00134339"/>
    <w:rsid w:val="001343B3"/>
    <w:rsid w:val="001345B0"/>
    <w:rsid w:val="001345EF"/>
    <w:rsid w:val="00134650"/>
    <w:rsid w:val="00134687"/>
    <w:rsid w:val="001346A2"/>
    <w:rsid w:val="001346B7"/>
    <w:rsid w:val="001346F0"/>
    <w:rsid w:val="0013475C"/>
    <w:rsid w:val="00134862"/>
    <w:rsid w:val="001349AC"/>
    <w:rsid w:val="001349B3"/>
    <w:rsid w:val="001349EB"/>
    <w:rsid w:val="00134AB0"/>
    <w:rsid w:val="00134C41"/>
    <w:rsid w:val="00134C4F"/>
    <w:rsid w:val="00134CFF"/>
    <w:rsid w:val="00134D2C"/>
    <w:rsid w:val="00134D41"/>
    <w:rsid w:val="00134E25"/>
    <w:rsid w:val="00134EC3"/>
    <w:rsid w:val="0013503C"/>
    <w:rsid w:val="001350EE"/>
    <w:rsid w:val="00135228"/>
    <w:rsid w:val="001352D3"/>
    <w:rsid w:val="0013551D"/>
    <w:rsid w:val="0013556B"/>
    <w:rsid w:val="001355AE"/>
    <w:rsid w:val="0013579A"/>
    <w:rsid w:val="001358B3"/>
    <w:rsid w:val="00135913"/>
    <w:rsid w:val="001359EF"/>
    <w:rsid w:val="00135AA9"/>
    <w:rsid w:val="00135BEC"/>
    <w:rsid w:val="00135CB1"/>
    <w:rsid w:val="00135CEC"/>
    <w:rsid w:val="00135E3E"/>
    <w:rsid w:val="00135E98"/>
    <w:rsid w:val="00135EC7"/>
    <w:rsid w:val="00135F16"/>
    <w:rsid w:val="00135FBB"/>
    <w:rsid w:val="00136096"/>
    <w:rsid w:val="001360EB"/>
    <w:rsid w:val="00136153"/>
    <w:rsid w:val="001361DF"/>
    <w:rsid w:val="0013651E"/>
    <w:rsid w:val="00136551"/>
    <w:rsid w:val="00136683"/>
    <w:rsid w:val="00136740"/>
    <w:rsid w:val="00136786"/>
    <w:rsid w:val="00136981"/>
    <w:rsid w:val="00136C61"/>
    <w:rsid w:val="00136CFA"/>
    <w:rsid w:val="00136DB9"/>
    <w:rsid w:val="00136DE7"/>
    <w:rsid w:val="00136E46"/>
    <w:rsid w:val="00136FA7"/>
    <w:rsid w:val="00136FA9"/>
    <w:rsid w:val="0013708D"/>
    <w:rsid w:val="001370B5"/>
    <w:rsid w:val="001372A3"/>
    <w:rsid w:val="001372FE"/>
    <w:rsid w:val="0013742B"/>
    <w:rsid w:val="0013746A"/>
    <w:rsid w:val="00137561"/>
    <w:rsid w:val="001375D2"/>
    <w:rsid w:val="0013762E"/>
    <w:rsid w:val="001376BC"/>
    <w:rsid w:val="0013779A"/>
    <w:rsid w:val="001378A2"/>
    <w:rsid w:val="001378E3"/>
    <w:rsid w:val="00137A41"/>
    <w:rsid w:val="00137A91"/>
    <w:rsid w:val="00137B03"/>
    <w:rsid w:val="00137BE5"/>
    <w:rsid w:val="00137CE6"/>
    <w:rsid w:val="00137DE3"/>
    <w:rsid w:val="001400A1"/>
    <w:rsid w:val="00140273"/>
    <w:rsid w:val="0014030C"/>
    <w:rsid w:val="001403E0"/>
    <w:rsid w:val="00140420"/>
    <w:rsid w:val="001405E7"/>
    <w:rsid w:val="001406D3"/>
    <w:rsid w:val="001407AC"/>
    <w:rsid w:val="00140825"/>
    <w:rsid w:val="00140853"/>
    <w:rsid w:val="001408C0"/>
    <w:rsid w:val="0014093C"/>
    <w:rsid w:val="00140A10"/>
    <w:rsid w:val="00140B1F"/>
    <w:rsid w:val="00140D0B"/>
    <w:rsid w:val="00140E4F"/>
    <w:rsid w:val="00140EA3"/>
    <w:rsid w:val="00140ED8"/>
    <w:rsid w:val="00140F95"/>
    <w:rsid w:val="0014114A"/>
    <w:rsid w:val="0014122B"/>
    <w:rsid w:val="001412FD"/>
    <w:rsid w:val="0014135B"/>
    <w:rsid w:val="00141390"/>
    <w:rsid w:val="0014148A"/>
    <w:rsid w:val="00141596"/>
    <w:rsid w:val="00141604"/>
    <w:rsid w:val="00141643"/>
    <w:rsid w:val="00141645"/>
    <w:rsid w:val="00141649"/>
    <w:rsid w:val="00141739"/>
    <w:rsid w:val="001417AD"/>
    <w:rsid w:val="00141880"/>
    <w:rsid w:val="001418A7"/>
    <w:rsid w:val="001418AD"/>
    <w:rsid w:val="0014193E"/>
    <w:rsid w:val="00141A92"/>
    <w:rsid w:val="00141B1F"/>
    <w:rsid w:val="00141BBD"/>
    <w:rsid w:val="00141C68"/>
    <w:rsid w:val="00141C96"/>
    <w:rsid w:val="00141CA1"/>
    <w:rsid w:val="00141E05"/>
    <w:rsid w:val="00141F44"/>
    <w:rsid w:val="00141F5B"/>
    <w:rsid w:val="00142042"/>
    <w:rsid w:val="00142043"/>
    <w:rsid w:val="001421E2"/>
    <w:rsid w:val="0014241E"/>
    <w:rsid w:val="00142448"/>
    <w:rsid w:val="001424F5"/>
    <w:rsid w:val="00142527"/>
    <w:rsid w:val="00142554"/>
    <w:rsid w:val="00142599"/>
    <w:rsid w:val="00142712"/>
    <w:rsid w:val="001428EC"/>
    <w:rsid w:val="00142937"/>
    <w:rsid w:val="001429A9"/>
    <w:rsid w:val="00142A36"/>
    <w:rsid w:val="00142A39"/>
    <w:rsid w:val="00142B25"/>
    <w:rsid w:val="00142B45"/>
    <w:rsid w:val="00142BB8"/>
    <w:rsid w:val="00142BDF"/>
    <w:rsid w:val="00142C25"/>
    <w:rsid w:val="00142C7B"/>
    <w:rsid w:val="00142D1B"/>
    <w:rsid w:val="00142DA7"/>
    <w:rsid w:val="00142E4F"/>
    <w:rsid w:val="00142EA2"/>
    <w:rsid w:val="00142F40"/>
    <w:rsid w:val="0014304E"/>
    <w:rsid w:val="00143124"/>
    <w:rsid w:val="0014330E"/>
    <w:rsid w:val="00143369"/>
    <w:rsid w:val="001433C1"/>
    <w:rsid w:val="0014340F"/>
    <w:rsid w:val="00143413"/>
    <w:rsid w:val="0014348A"/>
    <w:rsid w:val="001434E1"/>
    <w:rsid w:val="001436DC"/>
    <w:rsid w:val="0014375E"/>
    <w:rsid w:val="0014386A"/>
    <w:rsid w:val="00143AA2"/>
    <w:rsid w:val="00143B0A"/>
    <w:rsid w:val="00143B48"/>
    <w:rsid w:val="00143B7D"/>
    <w:rsid w:val="00143C71"/>
    <w:rsid w:val="00143C7D"/>
    <w:rsid w:val="00143D33"/>
    <w:rsid w:val="00143D75"/>
    <w:rsid w:val="00143D91"/>
    <w:rsid w:val="00143E73"/>
    <w:rsid w:val="00143E90"/>
    <w:rsid w:val="00143EB3"/>
    <w:rsid w:val="00143EC8"/>
    <w:rsid w:val="00143F07"/>
    <w:rsid w:val="00143F43"/>
    <w:rsid w:val="00143F4F"/>
    <w:rsid w:val="00143F9F"/>
    <w:rsid w:val="00143FCC"/>
    <w:rsid w:val="00144158"/>
    <w:rsid w:val="001441A3"/>
    <w:rsid w:val="001443AB"/>
    <w:rsid w:val="001443F4"/>
    <w:rsid w:val="001445D8"/>
    <w:rsid w:val="001445EC"/>
    <w:rsid w:val="001446B6"/>
    <w:rsid w:val="001447E2"/>
    <w:rsid w:val="00144865"/>
    <w:rsid w:val="0014486F"/>
    <w:rsid w:val="0014489B"/>
    <w:rsid w:val="00144A57"/>
    <w:rsid w:val="00144B3A"/>
    <w:rsid w:val="00144CF3"/>
    <w:rsid w:val="00144DFD"/>
    <w:rsid w:val="00144E05"/>
    <w:rsid w:val="00144EB5"/>
    <w:rsid w:val="00144F3C"/>
    <w:rsid w:val="00144FF9"/>
    <w:rsid w:val="0014508B"/>
    <w:rsid w:val="00145153"/>
    <w:rsid w:val="0014519D"/>
    <w:rsid w:val="00145250"/>
    <w:rsid w:val="0014526D"/>
    <w:rsid w:val="00145274"/>
    <w:rsid w:val="0014547E"/>
    <w:rsid w:val="00145508"/>
    <w:rsid w:val="001455E4"/>
    <w:rsid w:val="0014560E"/>
    <w:rsid w:val="00145614"/>
    <w:rsid w:val="00145686"/>
    <w:rsid w:val="00145695"/>
    <w:rsid w:val="001457B3"/>
    <w:rsid w:val="001457CC"/>
    <w:rsid w:val="001458E2"/>
    <w:rsid w:val="001459DA"/>
    <w:rsid w:val="00145B68"/>
    <w:rsid w:val="00145BBE"/>
    <w:rsid w:val="00145BC9"/>
    <w:rsid w:val="00145D07"/>
    <w:rsid w:val="00145DE6"/>
    <w:rsid w:val="00145E47"/>
    <w:rsid w:val="00145E9E"/>
    <w:rsid w:val="00145EA1"/>
    <w:rsid w:val="00145ED0"/>
    <w:rsid w:val="00145F31"/>
    <w:rsid w:val="00145FB7"/>
    <w:rsid w:val="00146091"/>
    <w:rsid w:val="00146187"/>
    <w:rsid w:val="001462C8"/>
    <w:rsid w:val="00146393"/>
    <w:rsid w:val="001463A9"/>
    <w:rsid w:val="001463D8"/>
    <w:rsid w:val="0014649C"/>
    <w:rsid w:val="001465BA"/>
    <w:rsid w:val="00146622"/>
    <w:rsid w:val="00146678"/>
    <w:rsid w:val="001466AE"/>
    <w:rsid w:val="001466D1"/>
    <w:rsid w:val="00146711"/>
    <w:rsid w:val="00146874"/>
    <w:rsid w:val="001468BF"/>
    <w:rsid w:val="0014699C"/>
    <w:rsid w:val="00146BB8"/>
    <w:rsid w:val="00146C03"/>
    <w:rsid w:val="00146C90"/>
    <w:rsid w:val="00146D4A"/>
    <w:rsid w:val="00146DAD"/>
    <w:rsid w:val="00146E2F"/>
    <w:rsid w:val="00146FBE"/>
    <w:rsid w:val="00147049"/>
    <w:rsid w:val="001470BB"/>
    <w:rsid w:val="001472CB"/>
    <w:rsid w:val="00147411"/>
    <w:rsid w:val="00147459"/>
    <w:rsid w:val="001474CF"/>
    <w:rsid w:val="00147B24"/>
    <w:rsid w:val="00147B55"/>
    <w:rsid w:val="00147B77"/>
    <w:rsid w:val="00147C74"/>
    <w:rsid w:val="00147D61"/>
    <w:rsid w:val="00150178"/>
    <w:rsid w:val="0015018C"/>
    <w:rsid w:val="00150247"/>
    <w:rsid w:val="001503AB"/>
    <w:rsid w:val="00150443"/>
    <w:rsid w:val="0015065D"/>
    <w:rsid w:val="00150678"/>
    <w:rsid w:val="001506B6"/>
    <w:rsid w:val="00150856"/>
    <w:rsid w:val="0015089D"/>
    <w:rsid w:val="00150B59"/>
    <w:rsid w:val="00150B89"/>
    <w:rsid w:val="00150BE3"/>
    <w:rsid w:val="00150C6E"/>
    <w:rsid w:val="00150D14"/>
    <w:rsid w:val="00150EB7"/>
    <w:rsid w:val="00150ECD"/>
    <w:rsid w:val="00150EF8"/>
    <w:rsid w:val="00150F19"/>
    <w:rsid w:val="00151009"/>
    <w:rsid w:val="0015100F"/>
    <w:rsid w:val="001510FE"/>
    <w:rsid w:val="0015118E"/>
    <w:rsid w:val="00151204"/>
    <w:rsid w:val="0015134C"/>
    <w:rsid w:val="001513A5"/>
    <w:rsid w:val="001516A0"/>
    <w:rsid w:val="001517C7"/>
    <w:rsid w:val="00151846"/>
    <w:rsid w:val="0015185B"/>
    <w:rsid w:val="00151867"/>
    <w:rsid w:val="00151943"/>
    <w:rsid w:val="00151995"/>
    <w:rsid w:val="001519EE"/>
    <w:rsid w:val="00151A75"/>
    <w:rsid w:val="00151B8B"/>
    <w:rsid w:val="00151CA8"/>
    <w:rsid w:val="00151CAB"/>
    <w:rsid w:val="00151E05"/>
    <w:rsid w:val="00151E7D"/>
    <w:rsid w:val="00151EE0"/>
    <w:rsid w:val="00152024"/>
    <w:rsid w:val="00152084"/>
    <w:rsid w:val="0015218D"/>
    <w:rsid w:val="001522AF"/>
    <w:rsid w:val="001523A4"/>
    <w:rsid w:val="001523C0"/>
    <w:rsid w:val="001524B0"/>
    <w:rsid w:val="00152532"/>
    <w:rsid w:val="001525DD"/>
    <w:rsid w:val="001526EE"/>
    <w:rsid w:val="0015271B"/>
    <w:rsid w:val="001527BB"/>
    <w:rsid w:val="0015289A"/>
    <w:rsid w:val="0015292A"/>
    <w:rsid w:val="00152980"/>
    <w:rsid w:val="00152B16"/>
    <w:rsid w:val="00152B37"/>
    <w:rsid w:val="00152BB8"/>
    <w:rsid w:val="00152C9C"/>
    <w:rsid w:val="00152CC5"/>
    <w:rsid w:val="00152D5B"/>
    <w:rsid w:val="00152E22"/>
    <w:rsid w:val="00152E4A"/>
    <w:rsid w:val="00152EE6"/>
    <w:rsid w:val="00152F1C"/>
    <w:rsid w:val="00152FA6"/>
    <w:rsid w:val="00153091"/>
    <w:rsid w:val="001530FF"/>
    <w:rsid w:val="0015319C"/>
    <w:rsid w:val="001531CD"/>
    <w:rsid w:val="001531D9"/>
    <w:rsid w:val="0015320B"/>
    <w:rsid w:val="0015320D"/>
    <w:rsid w:val="0015327C"/>
    <w:rsid w:val="00153291"/>
    <w:rsid w:val="00153368"/>
    <w:rsid w:val="0015349A"/>
    <w:rsid w:val="001534F5"/>
    <w:rsid w:val="0015358D"/>
    <w:rsid w:val="00153612"/>
    <w:rsid w:val="00153688"/>
    <w:rsid w:val="00153744"/>
    <w:rsid w:val="0015378C"/>
    <w:rsid w:val="001537B7"/>
    <w:rsid w:val="001538FF"/>
    <w:rsid w:val="00153971"/>
    <w:rsid w:val="001539EE"/>
    <w:rsid w:val="00153A05"/>
    <w:rsid w:val="00153EB7"/>
    <w:rsid w:val="00153F98"/>
    <w:rsid w:val="00153FCA"/>
    <w:rsid w:val="00153FE0"/>
    <w:rsid w:val="00154076"/>
    <w:rsid w:val="001540A7"/>
    <w:rsid w:val="001540D2"/>
    <w:rsid w:val="001541ED"/>
    <w:rsid w:val="0015432A"/>
    <w:rsid w:val="001543FE"/>
    <w:rsid w:val="0015440F"/>
    <w:rsid w:val="001544E1"/>
    <w:rsid w:val="001545A5"/>
    <w:rsid w:val="001545B3"/>
    <w:rsid w:val="00154619"/>
    <w:rsid w:val="001547A2"/>
    <w:rsid w:val="001548AC"/>
    <w:rsid w:val="001549FC"/>
    <w:rsid w:val="00154A2A"/>
    <w:rsid w:val="00154AC8"/>
    <w:rsid w:val="00154D78"/>
    <w:rsid w:val="00155020"/>
    <w:rsid w:val="00155092"/>
    <w:rsid w:val="001550A0"/>
    <w:rsid w:val="00155284"/>
    <w:rsid w:val="001552E3"/>
    <w:rsid w:val="00155302"/>
    <w:rsid w:val="00155305"/>
    <w:rsid w:val="00155338"/>
    <w:rsid w:val="001553CC"/>
    <w:rsid w:val="00155512"/>
    <w:rsid w:val="00155589"/>
    <w:rsid w:val="0015558A"/>
    <w:rsid w:val="0015568C"/>
    <w:rsid w:val="00155762"/>
    <w:rsid w:val="001559A8"/>
    <w:rsid w:val="00155A15"/>
    <w:rsid w:val="00155AF1"/>
    <w:rsid w:val="00155AF3"/>
    <w:rsid w:val="00155B09"/>
    <w:rsid w:val="00155BB6"/>
    <w:rsid w:val="00155C33"/>
    <w:rsid w:val="00155C6E"/>
    <w:rsid w:val="00155DC4"/>
    <w:rsid w:val="00155E41"/>
    <w:rsid w:val="00155E8B"/>
    <w:rsid w:val="00155F1E"/>
    <w:rsid w:val="00155FB0"/>
    <w:rsid w:val="001560BD"/>
    <w:rsid w:val="001561C4"/>
    <w:rsid w:val="0015633B"/>
    <w:rsid w:val="001563D5"/>
    <w:rsid w:val="00156446"/>
    <w:rsid w:val="0015646B"/>
    <w:rsid w:val="0015649D"/>
    <w:rsid w:val="001564AA"/>
    <w:rsid w:val="001564AB"/>
    <w:rsid w:val="001565FB"/>
    <w:rsid w:val="00156673"/>
    <w:rsid w:val="001566B9"/>
    <w:rsid w:val="001566E7"/>
    <w:rsid w:val="00156749"/>
    <w:rsid w:val="00156859"/>
    <w:rsid w:val="001568A7"/>
    <w:rsid w:val="001568B6"/>
    <w:rsid w:val="0015696D"/>
    <w:rsid w:val="00156BE3"/>
    <w:rsid w:val="00156C59"/>
    <w:rsid w:val="00156D1C"/>
    <w:rsid w:val="00156DB6"/>
    <w:rsid w:val="00156DCC"/>
    <w:rsid w:val="00156E15"/>
    <w:rsid w:val="00156E41"/>
    <w:rsid w:val="0015705B"/>
    <w:rsid w:val="001570DB"/>
    <w:rsid w:val="00157394"/>
    <w:rsid w:val="001573E5"/>
    <w:rsid w:val="001576A4"/>
    <w:rsid w:val="0015790C"/>
    <w:rsid w:val="00157948"/>
    <w:rsid w:val="00157A18"/>
    <w:rsid w:val="00157A1B"/>
    <w:rsid w:val="00157A9B"/>
    <w:rsid w:val="00157AEB"/>
    <w:rsid w:val="00157B02"/>
    <w:rsid w:val="00157BF0"/>
    <w:rsid w:val="00157C2B"/>
    <w:rsid w:val="00157C4D"/>
    <w:rsid w:val="00157C84"/>
    <w:rsid w:val="00157C8E"/>
    <w:rsid w:val="00157E80"/>
    <w:rsid w:val="00157ED6"/>
    <w:rsid w:val="00157F67"/>
    <w:rsid w:val="001601D8"/>
    <w:rsid w:val="00160257"/>
    <w:rsid w:val="001602F1"/>
    <w:rsid w:val="001603A3"/>
    <w:rsid w:val="00160404"/>
    <w:rsid w:val="001604B4"/>
    <w:rsid w:val="0016057A"/>
    <w:rsid w:val="001605BA"/>
    <w:rsid w:val="001606FA"/>
    <w:rsid w:val="0016073F"/>
    <w:rsid w:val="0016082E"/>
    <w:rsid w:val="00160845"/>
    <w:rsid w:val="001608BA"/>
    <w:rsid w:val="00160987"/>
    <w:rsid w:val="001609AC"/>
    <w:rsid w:val="00160BF6"/>
    <w:rsid w:val="00160C4E"/>
    <w:rsid w:val="00160C5B"/>
    <w:rsid w:val="00160CC1"/>
    <w:rsid w:val="00160CC2"/>
    <w:rsid w:val="00160D61"/>
    <w:rsid w:val="00160DA6"/>
    <w:rsid w:val="00160DDD"/>
    <w:rsid w:val="00161121"/>
    <w:rsid w:val="0016113F"/>
    <w:rsid w:val="0016129F"/>
    <w:rsid w:val="00161314"/>
    <w:rsid w:val="00161317"/>
    <w:rsid w:val="0016132D"/>
    <w:rsid w:val="001613C1"/>
    <w:rsid w:val="001613D5"/>
    <w:rsid w:val="00161491"/>
    <w:rsid w:val="001614AE"/>
    <w:rsid w:val="001617A4"/>
    <w:rsid w:val="0016192C"/>
    <w:rsid w:val="00161A83"/>
    <w:rsid w:val="00161AAC"/>
    <w:rsid w:val="00161BF7"/>
    <w:rsid w:val="00161CB5"/>
    <w:rsid w:val="00161CC1"/>
    <w:rsid w:val="00161D5E"/>
    <w:rsid w:val="00161DA0"/>
    <w:rsid w:val="00161DBF"/>
    <w:rsid w:val="00161E8B"/>
    <w:rsid w:val="00161ED2"/>
    <w:rsid w:val="00161F87"/>
    <w:rsid w:val="00162006"/>
    <w:rsid w:val="0016217A"/>
    <w:rsid w:val="00162318"/>
    <w:rsid w:val="00162372"/>
    <w:rsid w:val="001624E3"/>
    <w:rsid w:val="001624FF"/>
    <w:rsid w:val="001629F5"/>
    <w:rsid w:val="00162A69"/>
    <w:rsid w:val="00162AB9"/>
    <w:rsid w:val="00162B27"/>
    <w:rsid w:val="00162D10"/>
    <w:rsid w:val="0016300B"/>
    <w:rsid w:val="0016305E"/>
    <w:rsid w:val="00163073"/>
    <w:rsid w:val="00163137"/>
    <w:rsid w:val="001631AA"/>
    <w:rsid w:val="001631E6"/>
    <w:rsid w:val="0016339D"/>
    <w:rsid w:val="00163443"/>
    <w:rsid w:val="00163480"/>
    <w:rsid w:val="001635B8"/>
    <w:rsid w:val="0016380D"/>
    <w:rsid w:val="001638C0"/>
    <w:rsid w:val="00163912"/>
    <w:rsid w:val="0016397F"/>
    <w:rsid w:val="0016398C"/>
    <w:rsid w:val="00163B0D"/>
    <w:rsid w:val="00163BF3"/>
    <w:rsid w:val="00163D8A"/>
    <w:rsid w:val="00163ECA"/>
    <w:rsid w:val="00163F2D"/>
    <w:rsid w:val="00164215"/>
    <w:rsid w:val="0016421C"/>
    <w:rsid w:val="00164365"/>
    <w:rsid w:val="00164405"/>
    <w:rsid w:val="00164414"/>
    <w:rsid w:val="001644A3"/>
    <w:rsid w:val="00164615"/>
    <w:rsid w:val="001647B9"/>
    <w:rsid w:val="001647D1"/>
    <w:rsid w:val="001647DB"/>
    <w:rsid w:val="00164975"/>
    <w:rsid w:val="0016499A"/>
    <w:rsid w:val="00164A54"/>
    <w:rsid w:val="00164A5F"/>
    <w:rsid w:val="00164A76"/>
    <w:rsid w:val="00164B8B"/>
    <w:rsid w:val="00164CB4"/>
    <w:rsid w:val="00164CB8"/>
    <w:rsid w:val="00165025"/>
    <w:rsid w:val="0016516C"/>
    <w:rsid w:val="00165199"/>
    <w:rsid w:val="0016529A"/>
    <w:rsid w:val="001653B8"/>
    <w:rsid w:val="00165433"/>
    <w:rsid w:val="00165478"/>
    <w:rsid w:val="00165483"/>
    <w:rsid w:val="001655E5"/>
    <w:rsid w:val="0016564C"/>
    <w:rsid w:val="00165726"/>
    <w:rsid w:val="001657C2"/>
    <w:rsid w:val="001657E9"/>
    <w:rsid w:val="001659D0"/>
    <w:rsid w:val="00165A28"/>
    <w:rsid w:val="00165A94"/>
    <w:rsid w:val="00165B07"/>
    <w:rsid w:val="00165B72"/>
    <w:rsid w:val="00165B8B"/>
    <w:rsid w:val="00165B9D"/>
    <w:rsid w:val="00165BA0"/>
    <w:rsid w:val="00165CA1"/>
    <w:rsid w:val="00165CA7"/>
    <w:rsid w:val="00165CDF"/>
    <w:rsid w:val="00165EB8"/>
    <w:rsid w:val="00165FBA"/>
    <w:rsid w:val="0016602D"/>
    <w:rsid w:val="00166090"/>
    <w:rsid w:val="00166112"/>
    <w:rsid w:val="00166140"/>
    <w:rsid w:val="00166170"/>
    <w:rsid w:val="00166181"/>
    <w:rsid w:val="00166262"/>
    <w:rsid w:val="001662A3"/>
    <w:rsid w:val="001662E0"/>
    <w:rsid w:val="001663A1"/>
    <w:rsid w:val="001663AC"/>
    <w:rsid w:val="001664A6"/>
    <w:rsid w:val="001664BA"/>
    <w:rsid w:val="00166541"/>
    <w:rsid w:val="00166AC6"/>
    <w:rsid w:val="00166B94"/>
    <w:rsid w:val="00166C9B"/>
    <w:rsid w:val="00166CE5"/>
    <w:rsid w:val="00166D6E"/>
    <w:rsid w:val="00166DA0"/>
    <w:rsid w:val="00166F92"/>
    <w:rsid w:val="00167088"/>
    <w:rsid w:val="00167184"/>
    <w:rsid w:val="001673A6"/>
    <w:rsid w:val="001673DC"/>
    <w:rsid w:val="00167614"/>
    <w:rsid w:val="001676AF"/>
    <w:rsid w:val="0016784C"/>
    <w:rsid w:val="00167942"/>
    <w:rsid w:val="001679C6"/>
    <w:rsid w:val="001679D9"/>
    <w:rsid w:val="00167AF8"/>
    <w:rsid w:val="00167B6A"/>
    <w:rsid w:val="00167C22"/>
    <w:rsid w:val="00167C23"/>
    <w:rsid w:val="00167CFE"/>
    <w:rsid w:val="00167E8B"/>
    <w:rsid w:val="00170046"/>
    <w:rsid w:val="001700C3"/>
    <w:rsid w:val="00170190"/>
    <w:rsid w:val="00170309"/>
    <w:rsid w:val="00170495"/>
    <w:rsid w:val="0017051E"/>
    <w:rsid w:val="00170565"/>
    <w:rsid w:val="0017058A"/>
    <w:rsid w:val="001705BD"/>
    <w:rsid w:val="0017070A"/>
    <w:rsid w:val="00170722"/>
    <w:rsid w:val="001707BF"/>
    <w:rsid w:val="001707C5"/>
    <w:rsid w:val="00170938"/>
    <w:rsid w:val="00170A55"/>
    <w:rsid w:val="00170AE3"/>
    <w:rsid w:val="00170AF5"/>
    <w:rsid w:val="00170B72"/>
    <w:rsid w:val="00170BAE"/>
    <w:rsid w:val="00170CCF"/>
    <w:rsid w:val="00170F13"/>
    <w:rsid w:val="001711A4"/>
    <w:rsid w:val="00171298"/>
    <w:rsid w:val="001712BE"/>
    <w:rsid w:val="00171345"/>
    <w:rsid w:val="00171357"/>
    <w:rsid w:val="001713EF"/>
    <w:rsid w:val="001713FA"/>
    <w:rsid w:val="0017149E"/>
    <w:rsid w:val="00171562"/>
    <w:rsid w:val="0017164C"/>
    <w:rsid w:val="00171689"/>
    <w:rsid w:val="00171811"/>
    <w:rsid w:val="0017181F"/>
    <w:rsid w:val="001718B7"/>
    <w:rsid w:val="001719AF"/>
    <w:rsid w:val="00171A0F"/>
    <w:rsid w:val="00171A74"/>
    <w:rsid w:val="00171B0D"/>
    <w:rsid w:val="00171C66"/>
    <w:rsid w:val="00171CFD"/>
    <w:rsid w:val="00171D0E"/>
    <w:rsid w:val="00171D1B"/>
    <w:rsid w:val="00171D34"/>
    <w:rsid w:val="00171D96"/>
    <w:rsid w:val="00171DCC"/>
    <w:rsid w:val="00171EFF"/>
    <w:rsid w:val="00171F76"/>
    <w:rsid w:val="00171FEE"/>
    <w:rsid w:val="00172016"/>
    <w:rsid w:val="001721C8"/>
    <w:rsid w:val="001721F7"/>
    <w:rsid w:val="0017226E"/>
    <w:rsid w:val="001722B3"/>
    <w:rsid w:val="0017232D"/>
    <w:rsid w:val="0017233A"/>
    <w:rsid w:val="0017246E"/>
    <w:rsid w:val="00172532"/>
    <w:rsid w:val="0017257D"/>
    <w:rsid w:val="001725F9"/>
    <w:rsid w:val="00172741"/>
    <w:rsid w:val="0017279E"/>
    <w:rsid w:val="0017289A"/>
    <w:rsid w:val="001728BA"/>
    <w:rsid w:val="00172A00"/>
    <w:rsid w:val="00172A55"/>
    <w:rsid w:val="00172B54"/>
    <w:rsid w:val="00172BDF"/>
    <w:rsid w:val="00172BF1"/>
    <w:rsid w:val="00172CFB"/>
    <w:rsid w:val="00172E08"/>
    <w:rsid w:val="00172F31"/>
    <w:rsid w:val="00172F62"/>
    <w:rsid w:val="0017303B"/>
    <w:rsid w:val="001731DB"/>
    <w:rsid w:val="00173286"/>
    <w:rsid w:val="00173304"/>
    <w:rsid w:val="0017334D"/>
    <w:rsid w:val="0017334E"/>
    <w:rsid w:val="001733D8"/>
    <w:rsid w:val="00173600"/>
    <w:rsid w:val="00173751"/>
    <w:rsid w:val="001737C7"/>
    <w:rsid w:val="00173837"/>
    <w:rsid w:val="00173866"/>
    <w:rsid w:val="001738F3"/>
    <w:rsid w:val="00173957"/>
    <w:rsid w:val="00173A4E"/>
    <w:rsid w:val="00173B2A"/>
    <w:rsid w:val="00173B9D"/>
    <w:rsid w:val="00173C4B"/>
    <w:rsid w:val="00173EA5"/>
    <w:rsid w:val="00173EF7"/>
    <w:rsid w:val="00173F1B"/>
    <w:rsid w:val="00173FEF"/>
    <w:rsid w:val="00174060"/>
    <w:rsid w:val="001741F1"/>
    <w:rsid w:val="00174242"/>
    <w:rsid w:val="0017427D"/>
    <w:rsid w:val="0017446A"/>
    <w:rsid w:val="00174600"/>
    <w:rsid w:val="00174626"/>
    <w:rsid w:val="001746EB"/>
    <w:rsid w:val="00174926"/>
    <w:rsid w:val="00174A33"/>
    <w:rsid w:val="00174BDF"/>
    <w:rsid w:val="00174D6E"/>
    <w:rsid w:val="00174FAD"/>
    <w:rsid w:val="00174FE5"/>
    <w:rsid w:val="00175179"/>
    <w:rsid w:val="00175221"/>
    <w:rsid w:val="001752F2"/>
    <w:rsid w:val="0017531D"/>
    <w:rsid w:val="00175368"/>
    <w:rsid w:val="001753D1"/>
    <w:rsid w:val="00175473"/>
    <w:rsid w:val="001754CE"/>
    <w:rsid w:val="001755DF"/>
    <w:rsid w:val="001755E2"/>
    <w:rsid w:val="00175631"/>
    <w:rsid w:val="00175866"/>
    <w:rsid w:val="001758E9"/>
    <w:rsid w:val="00175978"/>
    <w:rsid w:val="00175A38"/>
    <w:rsid w:val="00175AFF"/>
    <w:rsid w:val="00175B44"/>
    <w:rsid w:val="00175C5D"/>
    <w:rsid w:val="00175CD2"/>
    <w:rsid w:val="00175CD4"/>
    <w:rsid w:val="00175D46"/>
    <w:rsid w:val="00175EFD"/>
    <w:rsid w:val="00175F36"/>
    <w:rsid w:val="0017600A"/>
    <w:rsid w:val="0017609F"/>
    <w:rsid w:val="001762B1"/>
    <w:rsid w:val="00176405"/>
    <w:rsid w:val="0017655E"/>
    <w:rsid w:val="00176593"/>
    <w:rsid w:val="0017661E"/>
    <w:rsid w:val="0017668A"/>
    <w:rsid w:val="00176978"/>
    <w:rsid w:val="00176A7E"/>
    <w:rsid w:val="00176C67"/>
    <w:rsid w:val="00176CA4"/>
    <w:rsid w:val="00176D03"/>
    <w:rsid w:val="00176E77"/>
    <w:rsid w:val="00176E9F"/>
    <w:rsid w:val="00176FE2"/>
    <w:rsid w:val="0017710E"/>
    <w:rsid w:val="00177266"/>
    <w:rsid w:val="00177410"/>
    <w:rsid w:val="00177616"/>
    <w:rsid w:val="0017766C"/>
    <w:rsid w:val="001776A6"/>
    <w:rsid w:val="001776B3"/>
    <w:rsid w:val="001776DE"/>
    <w:rsid w:val="00177828"/>
    <w:rsid w:val="00177879"/>
    <w:rsid w:val="001778EC"/>
    <w:rsid w:val="00177996"/>
    <w:rsid w:val="00177A95"/>
    <w:rsid w:val="00177AA7"/>
    <w:rsid w:val="00177D0E"/>
    <w:rsid w:val="00177D36"/>
    <w:rsid w:val="00177DA1"/>
    <w:rsid w:val="00177DC9"/>
    <w:rsid w:val="00177E4B"/>
    <w:rsid w:val="00177F1A"/>
    <w:rsid w:val="00177F3C"/>
    <w:rsid w:val="0018000F"/>
    <w:rsid w:val="0018007B"/>
    <w:rsid w:val="001801DB"/>
    <w:rsid w:val="0018028C"/>
    <w:rsid w:val="001802CE"/>
    <w:rsid w:val="0018042F"/>
    <w:rsid w:val="00180476"/>
    <w:rsid w:val="001804F2"/>
    <w:rsid w:val="00180651"/>
    <w:rsid w:val="00180670"/>
    <w:rsid w:val="00180776"/>
    <w:rsid w:val="00180787"/>
    <w:rsid w:val="001807B0"/>
    <w:rsid w:val="00180936"/>
    <w:rsid w:val="00180A7C"/>
    <w:rsid w:val="00180CC8"/>
    <w:rsid w:val="00180D22"/>
    <w:rsid w:val="00180D6B"/>
    <w:rsid w:val="00180EA9"/>
    <w:rsid w:val="00180F23"/>
    <w:rsid w:val="00180F43"/>
    <w:rsid w:val="00180F9A"/>
    <w:rsid w:val="00180F9C"/>
    <w:rsid w:val="00180FD3"/>
    <w:rsid w:val="00180FE8"/>
    <w:rsid w:val="001812EE"/>
    <w:rsid w:val="001817A6"/>
    <w:rsid w:val="001817BA"/>
    <w:rsid w:val="00181833"/>
    <w:rsid w:val="001819C1"/>
    <w:rsid w:val="001819CF"/>
    <w:rsid w:val="00181A84"/>
    <w:rsid w:val="00181B64"/>
    <w:rsid w:val="00181D2A"/>
    <w:rsid w:val="00181E22"/>
    <w:rsid w:val="00181FAF"/>
    <w:rsid w:val="0018202D"/>
    <w:rsid w:val="00182079"/>
    <w:rsid w:val="001821A9"/>
    <w:rsid w:val="001821D3"/>
    <w:rsid w:val="001824AD"/>
    <w:rsid w:val="001824BE"/>
    <w:rsid w:val="00182534"/>
    <w:rsid w:val="001825D6"/>
    <w:rsid w:val="0018262F"/>
    <w:rsid w:val="00182655"/>
    <w:rsid w:val="001826CE"/>
    <w:rsid w:val="00182781"/>
    <w:rsid w:val="001827A1"/>
    <w:rsid w:val="0018280A"/>
    <w:rsid w:val="0018280F"/>
    <w:rsid w:val="001828D5"/>
    <w:rsid w:val="001829EA"/>
    <w:rsid w:val="00182AEE"/>
    <w:rsid w:val="00182C90"/>
    <w:rsid w:val="00182CFF"/>
    <w:rsid w:val="00182E86"/>
    <w:rsid w:val="00182F42"/>
    <w:rsid w:val="0018308E"/>
    <w:rsid w:val="001831A0"/>
    <w:rsid w:val="0018328B"/>
    <w:rsid w:val="00183353"/>
    <w:rsid w:val="0018349E"/>
    <w:rsid w:val="0018350C"/>
    <w:rsid w:val="001835F9"/>
    <w:rsid w:val="00183618"/>
    <w:rsid w:val="00183679"/>
    <w:rsid w:val="001836C3"/>
    <w:rsid w:val="001836D8"/>
    <w:rsid w:val="001838D6"/>
    <w:rsid w:val="001838FE"/>
    <w:rsid w:val="00183997"/>
    <w:rsid w:val="001839D2"/>
    <w:rsid w:val="00183A38"/>
    <w:rsid w:val="00183D45"/>
    <w:rsid w:val="0018418D"/>
    <w:rsid w:val="001842B6"/>
    <w:rsid w:val="00184459"/>
    <w:rsid w:val="0018451D"/>
    <w:rsid w:val="0018455A"/>
    <w:rsid w:val="00184573"/>
    <w:rsid w:val="001846C4"/>
    <w:rsid w:val="001847C5"/>
    <w:rsid w:val="001847EF"/>
    <w:rsid w:val="00184816"/>
    <w:rsid w:val="00184938"/>
    <w:rsid w:val="0018494F"/>
    <w:rsid w:val="00184B40"/>
    <w:rsid w:val="00184B5B"/>
    <w:rsid w:val="00184D2C"/>
    <w:rsid w:val="00184EE2"/>
    <w:rsid w:val="00184EFA"/>
    <w:rsid w:val="00184FD4"/>
    <w:rsid w:val="00185038"/>
    <w:rsid w:val="001850BF"/>
    <w:rsid w:val="00185148"/>
    <w:rsid w:val="0018517E"/>
    <w:rsid w:val="0018523C"/>
    <w:rsid w:val="001853EC"/>
    <w:rsid w:val="00185413"/>
    <w:rsid w:val="0018553F"/>
    <w:rsid w:val="00185557"/>
    <w:rsid w:val="001855F5"/>
    <w:rsid w:val="001856DC"/>
    <w:rsid w:val="0018578F"/>
    <w:rsid w:val="001857A8"/>
    <w:rsid w:val="001857AC"/>
    <w:rsid w:val="00185869"/>
    <w:rsid w:val="00185A76"/>
    <w:rsid w:val="00185A92"/>
    <w:rsid w:val="00185A9C"/>
    <w:rsid w:val="00185B3D"/>
    <w:rsid w:val="00185D10"/>
    <w:rsid w:val="00185D63"/>
    <w:rsid w:val="00185E14"/>
    <w:rsid w:val="00185E67"/>
    <w:rsid w:val="00185EFA"/>
    <w:rsid w:val="00185EFC"/>
    <w:rsid w:val="00186033"/>
    <w:rsid w:val="001860D8"/>
    <w:rsid w:val="00186113"/>
    <w:rsid w:val="00186350"/>
    <w:rsid w:val="001863F3"/>
    <w:rsid w:val="0018668B"/>
    <w:rsid w:val="0018668C"/>
    <w:rsid w:val="001866C1"/>
    <w:rsid w:val="00186715"/>
    <w:rsid w:val="0018671A"/>
    <w:rsid w:val="0018676E"/>
    <w:rsid w:val="001868E8"/>
    <w:rsid w:val="0018691E"/>
    <w:rsid w:val="001869D0"/>
    <w:rsid w:val="00186BCD"/>
    <w:rsid w:val="00186BDE"/>
    <w:rsid w:val="00186C96"/>
    <w:rsid w:val="00186D35"/>
    <w:rsid w:val="00186D4F"/>
    <w:rsid w:val="00186E92"/>
    <w:rsid w:val="00186F2A"/>
    <w:rsid w:val="001873DF"/>
    <w:rsid w:val="001874AE"/>
    <w:rsid w:val="001874E3"/>
    <w:rsid w:val="001875F7"/>
    <w:rsid w:val="0018760B"/>
    <w:rsid w:val="00187653"/>
    <w:rsid w:val="0018782C"/>
    <w:rsid w:val="00187850"/>
    <w:rsid w:val="001878AC"/>
    <w:rsid w:val="00187918"/>
    <w:rsid w:val="0018799F"/>
    <w:rsid w:val="00187ABC"/>
    <w:rsid w:val="00187B49"/>
    <w:rsid w:val="00187BAA"/>
    <w:rsid w:val="00187C4D"/>
    <w:rsid w:val="00187D2D"/>
    <w:rsid w:val="00187D56"/>
    <w:rsid w:val="00187D67"/>
    <w:rsid w:val="00187D7C"/>
    <w:rsid w:val="00187E55"/>
    <w:rsid w:val="00190014"/>
    <w:rsid w:val="00190173"/>
    <w:rsid w:val="00190190"/>
    <w:rsid w:val="00190302"/>
    <w:rsid w:val="0019036D"/>
    <w:rsid w:val="00190393"/>
    <w:rsid w:val="001903B8"/>
    <w:rsid w:val="001904C5"/>
    <w:rsid w:val="001904E8"/>
    <w:rsid w:val="00190624"/>
    <w:rsid w:val="0019065E"/>
    <w:rsid w:val="00190756"/>
    <w:rsid w:val="001907AA"/>
    <w:rsid w:val="001907B9"/>
    <w:rsid w:val="00190C2F"/>
    <w:rsid w:val="00190D55"/>
    <w:rsid w:val="00190DA7"/>
    <w:rsid w:val="00190DC1"/>
    <w:rsid w:val="00190FBA"/>
    <w:rsid w:val="001910AB"/>
    <w:rsid w:val="001910EF"/>
    <w:rsid w:val="001911BE"/>
    <w:rsid w:val="00191283"/>
    <w:rsid w:val="001912CA"/>
    <w:rsid w:val="00191368"/>
    <w:rsid w:val="00191501"/>
    <w:rsid w:val="00191954"/>
    <w:rsid w:val="0019195C"/>
    <w:rsid w:val="00191966"/>
    <w:rsid w:val="0019197C"/>
    <w:rsid w:val="001919AB"/>
    <w:rsid w:val="001919D8"/>
    <w:rsid w:val="00191D76"/>
    <w:rsid w:val="00191FF5"/>
    <w:rsid w:val="001921BF"/>
    <w:rsid w:val="0019228A"/>
    <w:rsid w:val="001922C8"/>
    <w:rsid w:val="001923CE"/>
    <w:rsid w:val="001923E2"/>
    <w:rsid w:val="00192527"/>
    <w:rsid w:val="00192690"/>
    <w:rsid w:val="00192779"/>
    <w:rsid w:val="00192A01"/>
    <w:rsid w:val="00192A08"/>
    <w:rsid w:val="00192A41"/>
    <w:rsid w:val="00192B7A"/>
    <w:rsid w:val="00192BAC"/>
    <w:rsid w:val="00192C4F"/>
    <w:rsid w:val="00192D7D"/>
    <w:rsid w:val="00192DA9"/>
    <w:rsid w:val="00192E70"/>
    <w:rsid w:val="00192FCE"/>
    <w:rsid w:val="00192FE7"/>
    <w:rsid w:val="0019308C"/>
    <w:rsid w:val="001930D0"/>
    <w:rsid w:val="00193182"/>
    <w:rsid w:val="0019319E"/>
    <w:rsid w:val="00193313"/>
    <w:rsid w:val="00193314"/>
    <w:rsid w:val="0019336A"/>
    <w:rsid w:val="0019352D"/>
    <w:rsid w:val="00193676"/>
    <w:rsid w:val="001936C4"/>
    <w:rsid w:val="001936E1"/>
    <w:rsid w:val="0019379B"/>
    <w:rsid w:val="00193838"/>
    <w:rsid w:val="001938A6"/>
    <w:rsid w:val="001938D6"/>
    <w:rsid w:val="00193A8E"/>
    <w:rsid w:val="00193B24"/>
    <w:rsid w:val="00193B66"/>
    <w:rsid w:val="00193B68"/>
    <w:rsid w:val="00193BB0"/>
    <w:rsid w:val="00193C66"/>
    <w:rsid w:val="00193C9E"/>
    <w:rsid w:val="00193D32"/>
    <w:rsid w:val="00193E4D"/>
    <w:rsid w:val="00193F7B"/>
    <w:rsid w:val="0019402F"/>
    <w:rsid w:val="001940C9"/>
    <w:rsid w:val="0019416A"/>
    <w:rsid w:val="00194244"/>
    <w:rsid w:val="00194289"/>
    <w:rsid w:val="0019428C"/>
    <w:rsid w:val="00194353"/>
    <w:rsid w:val="00194362"/>
    <w:rsid w:val="00194384"/>
    <w:rsid w:val="00194404"/>
    <w:rsid w:val="0019447F"/>
    <w:rsid w:val="00194542"/>
    <w:rsid w:val="001948D8"/>
    <w:rsid w:val="001949D3"/>
    <w:rsid w:val="001949EA"/>
    <w:rsid w:val="00194A60"/>
    <w:rsid w:val="00194B97"/>
    <w:rsid w:val="00194C08"/>
    <w:rsid w:val="00194C1A"/>
    <w:rsid w:val="00194DFD"/>
    <w:rsid w:val="00194F97"/>
    <w:rsid w:val="00194F9E"/>
    <w:rsid w:val="00194FB8"/>
    <w:rsid w:val="0019514A"/>
    <w:rsid w:val="0019522E"/>
    <w:rsid w:val="00195344"/>
    <w:rsid w:val="001953D7"/>
    <w:rsid w:val="001955BA"/>
    <w:rsid w:val="00195849"/>
    <w:rsid w:val="001958CB"/>
    <w:rsid w:val="001959A7"/>
    <w:rsid w:val="001959F8"/>
    <w:rsid w:val="00195A21"/>
    <w:rsid w:val="00195A45"/>
    <w:rsid w:val="00195AFD"/>
    <w:rsid w:val="00195B12"/>
    <w:rsid w:val="00195BC5"/>
    <w:rsid w:val="00195BD3"/>
    <w:rsid w:val="00195C33"/>
    <w:rsid w:val="00195CB0"/>
    <w:rsid w:val="00195CC0"/>
    <w:rsid w:val="00195D58"/>
    <w:rsid w:val="00195D67"/>
    <w:rsid w:val="00195D6E"/>
    <w:rsid w:val="00195E24"/>
    <w:rsid w:val="00195FAA"/>
    <w:rsid w:val="00196057"/>
    <w:rsid w:val="0019612E"/>
    <w:rsid w:val="001961A6"/>
    <w:rsid w:val="0019624B"/>
    <w:rsid w:val="00196282"/>
    <w:rsid w:val="001962FC"/>
    <w:rsid w:val="001963C2"/>
    <w:rsid w:val="001964F8"/>
    <w:rsid w:val="00196502"/>
    <w:rsid w:val="0019651C"/>
    <w:rsid w:val="001965A7"/>
    <w:rsid w:val="00196688"/>
    <w:rsid w:val="00196695"/>
    <w:rsid w:val="0019677B"/>
    <w:rsid w:val="00196804"/>
    <w:rsid w:val="001968D7"/>
    <w:rsid w:val="00196A55"/>
    <w:rsid w:val="00196B98"/>
    <w:rsid w:val="00196BB7"/>
    <w:rsid w:val="00196DA8"/>
    <w:rsid w:val="00196E3A"/>
    <w:rsid w:val="00196EBD"/>
    <w:rsid w:val="00196F24"/>
    <w:rsid w:val="00196FAE"/>
    <w:rsid w:val="00196FF9"/>
    <w:rsid w:val="00197030"/>
    <w:rsid w:val="00197128"/>
    <w:rsid w:val="00197209"/>
    <w:rsid w:val="00197294"/>
    <w:rsid w:val="001973E6"/>
    <w:rsid w:val="0019744B"/>
    <w:rsid w:val="00197628"/>
    <w:rsid w:val="0019764E"/>
    <w:rsid w:val="00197759"/>
    <w:rsid w:val="001978B3"/>
    <w:rsid w:val="00197996"/>
    <w:rsid w:val="001979E4"/>
    <w:rsid w:val="00197BA6"/>
    <w:rsid w:val="00197D61"/>
    <w:rsid w:val="00197D7F"/>
    <w:rsid w:val="001A0140"/>
    <w:rsid w:val="001A017A"/>
    <w:rsid w:val="001A01B5"/>
    <w:rsid w:val="001A01E4"/>
    <w:rsid w:val="001A0256"/>
    <w:rsid w:val="001A02AE"/>
    <w:rsid w:val="001A02DC"/>
    <w:rsid w:val="001A02DD"/>
    <w:rsid w:val="001A0339"/>
    <w:rsid w:val="001A039B"/>
    <w:rsid w:val="001A03AB"/>
    <w:rsid w:val="001A03C0"/>
    <w:rsid w:val="001A047B"/>
    <w:rsid w:val="001A0627"/>
    <w:rsid w:val="001A0774"/>
    <w:rsid w:val="001A08E9"/>
    <w:rsid w:val="001A08ED"/>
    <w:rsid w:val="001A0987"/>
    <w:rsid w:val="001A0AA5"/>
    <w:rsid w:val="001A0BA7"/>
    <w:rsid w:val="001A0BEA"/>
    <w:rsid w:val="001A0CD4"/>
    <w:rsid w:val="001A0D10"/>
    <w:rsid w:val="001A0D61"/>
    <w:rsid w:val="001A0D95"/>
    <w:rsid w:val="001A0E23"/>
    <w:rsid w:val="001A0E98"/>
    <w:rsid w:val="001A0ED9"/>
    <w:rsid w:val="001A1244"/>
    <w:rsid w:val="001A124F"/>
    <w:rsid w:val="001A12AA"/>
    <w:rsid w:val="001A12CD"/>
    <w:rsid w:val="001A135E"/>
    <w:rsid w:val="001A13AC"/>
    <w:rsid w:val="001A1549"/>
    <w:rsid w:val="001A154A"/>
    <w:rsid w:val="001A160F"/>
    <w:rsid w:val="001A1611"/>
    <w:rsid w:val="001A1612"/>
    <w:rsid w:val="001A162F"/>
    <w:rsid w:val="001A17C9"/>
    <w:rsid w:val="001A1839"/>
    <w:rsid w:val="001A1971"/>
    <w:rsid w:val="001A1993"/>
    <w:rsid w:val="001A1A5C"/>
    <w:rsid w:val="001A1AB3"/>
    <w:rsid w:val="001A1AE2"/>
    <w:rsid w:val="001A1C9E"/>
    <w:rsid w:val="001A1CEF"/>
    <w:rsid w:val="001A1DBE"/>
    <w:rsid w:val="001A1DCD"/>
    <w:rsid w:val="001A1E11"/>
    <w:rsid w:val="001A1FB0"/>
    <w:rsid w:val="001A2021"/>
    <w:rsid w:val="001A21FF"/>
    <w:rsid w:val="001A22FB"/>
    <w:rsid w:val="001A2365"/>
    <w:rsid w:val="001A23C2"/>
    <w:rsid w:val="001A2439"/>
    <w:rsid w:val="001A2468"/>
    <w:rsid w:val="001A25FC"/>
    <w:rsid w:val="001A2683"/>
    <w:rsid w:val="001A26BB"/>
    <w:rsid w:val="001A27D8"/>
    <w:rsid w:val="001A28B7"/>
    <w:rsid w:val="001A28DD"/>
    <w:rsid w:val="001A29D0"/>
    <w:rsid w:val="001A2A0E"/>
    <w:rsid w:val="001A2A3D"/>
    <w:rsid w:val="001A2C17"/>
    <w:rsid w:val="001A2C38"/>
    <w:rsid w:val="001A2C93"/>
    <w:rsid w:val="001A2D4A"/>
    <w:rsid w:val="001A2EAB"/>
    <w:rsid w:val="001A2EC5"/>
    <w:rsid w:val="001A2FEA"/>
    <w:rsid w:val="001A301B"/>
    <w:rsid w:val="001A308D"/>
    <w:rsid w:val="001A309E"/>
    <w:rsid w:val="001A310A"/>
    <w:rsid w:val="001A31C5"/>
    <w:rsid w:val="001A31D1"/>
    <w:rsid w:val="001A323C"/>
    <w:rsid w:val="001A342B"/>
    <w:rsid w:val="001A34DD"/>
    <w:rsid w:val="001A35AE"/>
    <w:rsid w:val="001A3670"/>
    <w:rsid w:val="001A384A"/>
    <w:rsid w:val="001A3950"/>
    <w:rsid w:val="001A3986"/>
    <w:rsid w:val="001A3A52"/>
    <w:rsid w:val="001A3C9E"/>
    <w:rsid w:val="001A3D7C"/>
    <w:rsid w:val="001A3D96"/>
    <w:rsid w:val="001A3DA4"/>
    <w:rsid w:val="001A3F06"/>
    <w:rsid w:val="001A4005"/>
    <w:rsid w:val="001A416B"/>
    <w:rsid w:val="001A4274"/>
    <w:rsid w:val="001A4382"/>
    <w:rsid w:val="001A4430"/>
    <w:rsid w:val="001A449F"/>
    <w:rsid w:val="001A4506"/>
    <w:rsid w:val="001A4598"/>
    <w:rsid w:val="001A46BC"/>
    <w:rsid w:val="001A47F8"/>
    <w:rsid w:val="001A483A"/>
    <w:rsid w:val="001A4AD3"/>
    <w:rsid w:val="001A4C0E"/>
    <w:rsid w:val="001A4C4B"/>
    <w:rsid w:val="001A4C6D"/>
    <w:rsid w:val="001A4DC7"/>
    <w:rsid w:val="001A4E59"/>
    <w:rsid w:val="001A5005"/>
    <w:rsid w:val="001A501B"/>
    <w:rsid w:val="001A5172"/>
    <w:rsid w:val="001A540E"/>
    <w:rsid w:val="001A54E4"/>
    <w:rsid w:val="001A54EB"/>
    <w:rsid w:val="001A552E"/>
    <w:rsid w:val="001A55AC"/>
    <w:rsid w:val="001A55F0"/>
    <w:rsid w:val="001A576D"/>
    <w:rsid w:val="001A588F"/>
    <w:rsid w:val="001A5931"/>
    <w:rsid w:val="001A5951"/>
    <w:rsid w:val="001A595F"/>
    <w:rsid w:val="001A5A17"/>
    <w:rsid w:val="001A5B00"/>
    <w:rsid w:val="001A5B36"/>
    <w:rsid w:val="001A5BF4"/>
    <w:rsid w:val="001A5EB6"/>
    <w:rsid w:val="001A6088"/>
    <w:rsid w:val="001A609A"/>
    <w:rsid w:val="001A6118"/>
    <w:rsid w:val="001A6160"/>
    <w:rsid w:val="001A6182"/>
    <w:rsid w:val="001A65A1"/>
    <w:rsid w:val="001A65E3"/>
    <w:rsid w:val="001A6605"/>
    <w:rsid w:val="001A6614"/>
    <w:rsid w:val="001A66B9"/>
    <w:rsid w:val="001A6702"/>
    <w:rsid w:val="001A682D"/>
    <w:rsid w:val="001A68B9"/>
    <w:rsid w:val="001A6969"/>
    <w:rsid w:val="001A69C2"/>
    <w:rsid w:val="001A69C6"/>
    <w:rsid w:val="001A6A06"/>
    <w:rsid w:val="001A6ACE"/>
    <w:rsid w:val="001A6B8D"/>
    <w:rsid w:val="001A6CAA"/>
    <w:rsid w:val="001A6D7E"/>
    <w:rsid w:val="001A6DFE"/>
    <w:rsid w:val="001A6E41"/>
    <w:rsid w:val="001A6F56"/>
    <w:rsid w:val="001A6F71"/>
    <w:rsid w:val="001A6F82"/>
    <w:rsid w:val="001A6FDC"/>
    <w:rsid w:val="001A701C"/>
    <w:rsid w:val="001A7100"/>
    <w:rsid w:val="001A72E5"/>
    <w:rsid w:val="001A7323"/>
    <w:rsid w:val="001A732E"/>
    <w:rsid w:val="001A7486"/>
    <w:rsid w:val="001A74AD"/>
    <w:rsid w:val="001A7512"/>
    <w:rsid w:val="001A75BC"/>
    <w:rsid w:val="001A75FE"/>
    <w:rsid w:val="001A7707"/>
    <w:rsid w:val="001A7749"/>
    <w:rsid w:val="001A7762"/>
    <w:rsid w:val="001A782C"/>
    <w:rsid w:val="001A7840"/>
    <w:rsid w:val="001A7896"/>
    <w:rsid w:val="001A79C8"/>
    <w:rsid w:val="001A7A24"/>
    <w:rsid w:val="001A7A39"/>
    <w:rsid w:val="001A7B07"/>
    <w:rsid w:val="001A7BBE"/>
    <w:rsid w:val="001A7C3A"/>
    <w:rsid w:val="001A7CFC"/>
    <w:rsid w:val="001A7D07"/>
    <w:rsid w:val="001A7D63"/>
    <w:rsid w:val="001A7D7C"/>
    <w:rsid w:val="001A7E9E"/>
    <w:rsid w:val="001A7EE9"/>
    <w:rsid w:val="001A7F3C"/>
    <w:rsid w:val="001B0059"/>
    <w:rsid w:val="001B01C1"/>
    <w:rsid w:val="001B0297"/>
    <w:rsid w:val="001B0348"/>
    <w:rsid w:val="001B050D"/>
    <w:rsid w:val="001B0629"/>
    <w:rsid w:val="001B06C3"/>
    <w:rsid w:val="001B06FE"/>
    <w:rsid w:val="001B0889"/>
    <w:rsid w:val="001B08B5"/>
    <w:rsid w:val="001B0910"/>
    <w:rsid w:val="001B0B93"/>
    <w:rsid w:val="001B0C20"/>
    <w:rsid w:val="001B0F14"/>
    <w:rsid w:val="001B0F78"/>
    <w:rsid w:val="001B1066"/>
    <w:rsid w:val="001B107C"/>
    <w:rsid w:val="001B10B3"/>
    <w:rsid w:val="001B10CB"/>
    <w:rsid w:val="001B11DA"/>
    <w:rsid w:val="001B13AB"/>
    <w:rsid w:val="001B13BD"/>
    <w:rsid w:val="001B14EF"/>
    <w:rsid w:val="001B14FD"/>
    <w:rsid w:val="001B1562"/>
    <w:rsid w:val="001B15F2"/>
    <w:rsid w:val="001B16A1"/>
    <w:rsid w:val="001B16E2"/>
    <w:rsid w:val="001B1932"/>
    <w:rsid w:val="001B1946"/>
    <w:rsid w:val="001B1B02"/>
    <w:rsid w:val="001B1B50"/>
    <w:rsid w:val="001B1BD2"/>
    <w:rsid w:val="001B1BDE"/>
    <w:rsid w:val="001B1CDB"/>
    <w:rsid w:val="001B1D9D"/>
    <w:rsid w:val="001B1DE9"/>
    <w:rsid w:val="001B1E05"/>
    <w:rsid w:val="001B1E43"/>
    <w:rsid w:val="001B1F06"/>
    <w:rsid w:val="001B1F1B"/>
    <w:rsid w:val="001B1F7F"/>
    <w:rsid w:val="001B1FEC"/>
    <w:rsid w:val="001B202F"/>
    <w:rsid w:val="001B207B"/>
    <w:rsid w:val="001B2158"/>
    <w:rsid w:val="001B23CB"/>
    <w:rsid w:val="001B23EC"/>
    <w:rsid w:val="001B2470"/>
    <w:rsid w:val="001B2588"/>
    <w:rsid w:val="001B2731"/>
    <w:rsid w:val="001B276B"/>
    <w:rsid w:val="001B280A"/>
    <w:rsid w:val="001B290B"/>
    <w:rsid w:val="001B2912"/>
    <w:rsid w:val="001B2959"/>
    <w:rsid w:val="001B2A7F"/>
    <w:rsid w:val="001B2A99"/>
    <w:rsid w:val="001B2B83"/>
    <w:rsid w:val="001B2BE2"/>
    <w:rsid w:val="001B2C45"/>
    <w:rsid w:val="001B2E18"/>
    <w:rsid w:val="001B2F2F"/>
    <w:rsid w:val="001B2FEC"/>
    <w:rsid w:val="001B3026"/>
    <w:rsid w:val="001B3168"/>
    <w:rsid w:val="001B31C9"/>
    <w:rsid w:val="001B33C1"/>
    <w:rsid w:val="001B33FD"/>
    <w:rsid w:val="001B3409"/>
    <w:rsid w:val="001B3468"/>
    <w:rsid w:val="001B3593"/>
    <w:rsid w:val="001B35AB"/>
    <w:rsid w:val="001B3640"/>
    <w:rsid w:val="001B381A"/>
    <w:rsid w:val="001B38BE"/>
    <w:rsid w:val="001B3962"/>
    <w:rsid w:val="001B39F1"/>
    <w:rsid w:val="001B3AB2"/>
    <w:rsid w:val="001B3BC2"/>
    <w:rsid w:val="001B3C8C"/>
    <w:rsid w:val="001B3C9C"/>
    <w:rsid w:val="001B3D3D"/>
    <w:rsid w:val="001B3D56"/>
    <w:rsid w:val="001B3E5B"/>
    <w:rsid w:val="001B3F12"/>
    <w:rsid w:val="001B3FBC"/>
    <w:rsid w:val="001B3FEE"/>
    <w:rsid w:val="001B4028"/>
    <w:rsid w:val="001B410E"/>
    <w:rsid w:val="001B41A6"/>
    <w:rsid w:val="001B43B0"/>
    <w:rsid w:val="001B4439"/>
    <w:rsid w:val="001B4723"/>
    <w:rsid w:val="001B4741"/>
    <w:rsid w:val="001B47F4"/>
    <w:rsid w:val="001B490A"/>
    <w:rsid w:val="001B4B43"/>
    <w:rsid w:val="001B4B48"/>
    <w:rsid w:val="001B4B91"/>
    <w:rsid w:val="001B4D48"/>
    <w:rsid w:val="001B4F57"/>
    <w:rsid w:val="001B502F"/>
    <w:rsid w:val="001B517E"/>
    <w:rsid w:val="001B518A"/>
    <w:rsid w:val="001B525D"/>
    <w:rsid w:val="001B5264"/>
    <w:rsid w:val="001B53B6"/>
    <w:rsid w:val="001B55C5"/>
    <w:rsid w:val="001B561D"/>
    <w:rsid w:val="001B576C"/>
    <w:rsid w:val="001B5796"/>
    <w:rsid w:val="001B57C2"/>
    <w:rsid w:val="001B58C4"/>
    <w:rsid w:val="001B5B49"/>
    <w:rsid w:val="001B5B9B"/>
    <w:rsid w:val="001B5BC3"/>
    <w:rsid w:val="001B5C31"/>
    <w:rsid w:val="001B5D2A"/>
    <w:rsid w:val="001B5DB9"/>
    <w:rsid w:val="001B5E14"/>
    <w:rsid w:val="001B5E44"/>
    <w:rsid w:val="001B5E7F"/>
    <w:rsid w:val="001B5ECD"/>
    <w:rsid w:val="001B5F73"/>
    <w:rsid w:val="001B6014"/>
    <w:rsid w:val="001B60A0"/>
    <w:rsid w:val="001B60BA"/>
    <w:rsid w:val="001B6190"/>
    <w:rsid w:val="001B61BC"/>
    <w:rsid w:val="001B6255"/>
    <w:rsid w:val="001B646F"/>
    <w:rsid w:val="001B64F3"/>
    <w:rsid w:val="001B652D"/>
    <w:rsid w:val="001B675E"/>
    <w:rsid w:val="001B679D"/>
    <w:rsid w:val="001B6892"/>
    <w:rsid w:val="001B68AA"/>
    <w:rsid w:val="001B6A12"/>
    <w:rsid w:val="001B6A5A"/>
    <w:rsid w:val="001B6B8D"/>
    <w:rsid w:val="001B6C49"/>
    <w:rsid w:val="001B6CC1"/>
    <w:rsid w:val="001B6D27"/>
    <w:rsid w:val="001B6E78"/>
    <w:rsid w:val="001B6EEA"/>
    <w:rsid w:val="001B6FCD"/>
    <w:rsid w:val="001B705A"/>
    <w:rsid w:val="001B71E1"/>
    <w:rsid w:val="001B72C5"/>
    <w:rsid w:val="001B72FF"/>
    <w:rsid w:val="001B736C"/>
    <w:rsid w:val="001B73FE"/>
    <w:rsid w:val="001B7468"/>
    <w:rsid w:val="001B7487"/>
    <w:rsid w:val="001B74D1"/>
    <w:rsid w:val="001B7554"/>
    <w:rsid w:val="001B7563"/>
    <w:rsid w:val="001B761D"/>
    <w:rsid w:val="001B777B"/>
    <w:rsid w:val="001B777F"/>
    <w:rsid w:val="001B77D2"/>
    <w:rsid w:val="001B7810"/>
    <w:rsid w:val="001B78AD"/>
    <w:rsid w:val="001B7907"/>
    <w:rsid w:val="001B790C"/>
    <w:rsid w:val="001B7A02"/>
    <w:rsid w:val="001B7B22"/>
    <w:rsid w:val="001B7B47"/>
    <w:rsid w:val="001B7BD0"/>
    <w:rsid w:val="001B7BF0"/>
    <w:rsid w:val="001B7E22"/>
    <w:rsid w:val="001B7E35"/>
    <w:rsid w:val="001B7F5B"/>
    <w:rsid w:val="001B7FD5"/>
    <w:rsid w:val="001B7FE7"/>
    <w:rsid w:val="001C000F"/>
    <w:rsid w:val="001C0051"/>
    <w:rsid w:val="001C0137"/>
    <w:rsid w:val="001C014A"/>
    <w:rsid w:val="001C0166"/>
    <w:rsid w:val="001C03FC"/>
    <w:rsid w:val="001C0476"/>
    <w:rsid w:val="001C06FD"/>
    <w:rsid w:val="001C071B"/>
    <w:rsid w:val="001C0851"/>
    <w:rsid w:val="001C08C9"/>
    <w:rsid w:val="001C099C"/>
    <w:rsid w:val="001C09F2"/>
    <w:rsid w:val="001C0BA5"/>
    <w:rsid w:val="001C0BB8"/>
    <w:rsid w:val="001C0C47"/>
    <w:rsid w:val="001C0CBD"/>
    <w:rsid w:val="001C0D38"/>
    <w:rsid w:val="001C0E7C"/>
    <w:rsid w:val="001C114B"/>
    <w:rsid w:val="001C118A"/>
    <w:rsid w:val="001C123B"/>
    <w:rsid w:val="001C124C"/>
    <w:rsid w:val="001C1258"/>
    <w:rsid w:val="001C127D"/>
    <w:rsid w:val="001C12E0"/>
    <w:rsid w:val="001C140E"/>
    <w:rsid w:val="001C142D"/>
    <w:rsid w:val="001C14F0"/>
    <w:rsid w:val="001C1515"/>
    <w:rsid w:val="001C156F"/>
    <w:rsid w:val="001C1753"/>
    <w:rsid w:val="001C177B"/>
    <w:rsid w:val="001C17DC"/>
    <w:rsid w:val="001C18AB"/>
    <w:rsid w:val="001C1999"/>
    <w:rsid w:val="001C1A6E"/>
    <w:rsid w:val="001C1B84"/>
    <w:rsid w:val="001C1D6B"/>
    <w:rsid w:val="001C1DDE"/>
    <w:rsid w:val="001C1FF2"/>
    <w:rsid w:val="001C2100"/>
    <w:rsid w:val="001C2161"/>
    <w:rsid w:val="001C21A4"/>
    <w:rsid w:val="001C21E7"/>
    <w:rsid w:val="001C222C"/>
    <w:rsid w:val="001C2391"/>
    <w:rsid w:val="001C2445"/>
    <w:rsid w:val="001C24B6"/>
    <w:rsid w:val="001C255F"/>
    <w:rsid w:val="001C26F0"/>
    <w:rsid w:val="001C2710"/>
    <w:rsid w:val="001C299E"/>
    <w:rsid w:val="001C2B55"/>
    <w:rsid w:val="001C2C5A"/>
    <w:rsid w:val="001C2C5D"/>
    <w:rsid w:val="001C2D46"/>
    <w:rsid w:val="001C2D9B"/>
    <w:rsid w:val="001C2EFE"/>
    <w:rsid w:val="001C305D"/>
    <w:rsid w:val="001C30B7"/>
    <w:rsid w:val="001C312C"/>
    <w:rsid w:val="001C3222"/>
    <w:rsid w:val="001C32EE"/>
    <w:rsid w:val="001C3469"/>
    <w:rsid w:val="001C3508"/>
    <w:rsid w:val="001C3533"/>
    <w:rsid w:val="001C361D"/>
    <w:rsid w:val="001C3695"/>
    <w:rsid w:val="001C37EB"/>
    <w:rsid w:val="001C38AC"/>
    <w:rsid w:val="001C397F"/>
    <w:rsid w:val="001C39A1"/>
    <w:rsid w:val="001C3BB6"/>
    <w:rsid w:val="001C3C50"/>
    <w:rsid w:val="001C3C7B"/>
    <w:rsid w:val="001C3C7C"/>
    <w:rsid w:val="001C3C96"/>
    <w:rsid w:val="001C3CA5"/>
    <w:rsid w:val="001C3CA9"/>
    <w:rsid w:val="001C3D9D"/>
    <w:rsid w:val="001C3F08"/>
    <w:rsid w:val="001C3F4B"/>
    <w:rsid w:val="001C3F6C"/>
    <w:rsid w:val="001C3F76"/>
    <w:rsid w:val="001C4014"/>
    <w:rsid w:val="001C4093"/>
    <w:rsid w:val="001C4695"/>
    <w:rsid w:val="001C48F4"/>
    <w:rsid w:val="001C4A40"/>
    <w:rsid w:val="001C4A90"/>
    <w:rsid w:val="001C4A94"/>
    <w:rsid w:val="001C4BFA"/>
    <w:rsid w:val="001C4E7A"/>
    <w:rsid w:val="001C4E8D"/>
    <w:rsid w:val="001C507D"/>
    <w:rsid w:val="001C5199"/>
    <w:rsid w:val="001C51A0"/>
    <w:rsid w:val="001C520D"/>
    <w:rsid w:val="001C52E2"/>
    <w:rsid w:val="001C5338"/>
    <w:rsid w:val="001C5503"/>
    <w:rsid w:val="001C550D"/>
    <w:rsid w:val="001C555C"/>
    <w:rsid w:val="001C5642"/>
    <w:rsid w:val="001C56EE"/>
    <w:rsid w:val="001C5817"/>
    <w:rsid w:val="001C5896"/>
    <w:rsid w:val="001C5901"/>
    <w:rsid w:val="001C59A0"/>
    <w:rsid w:val="001C59AD"/>
    <w:rsid w:val="001C59F1"/>
    <w:rsid w:val="001C5A1D"/>
    <w:rsid w:val="001C5ABF"/>
    <w:rsid w:val="001C5AD3"/>
    <w:rsid w:val="001C5BF1"/>
    <w:rsid w:val="001C5E31"/>
    <w:rsid w:val="001C5EEA"/>
    <w:rsid w:val="001C5EEF"/>
    <w:rsid w:val="001C5F60"/>
    <w:rsid w:val="001C6024"/>
    <w:rsid w:val="001C60DA"/>
    <w:rsid w:val="001C6108"/>
    <w:rsid w:val="001C611A"/>
    <w:rsid w:val="001C61C3"/>
    <w:rsid w:val="001C6246"/>
    <w:rsid w:val="001C6263"/>
    <w:rsid w:val="001C63D3"/>
    <w:rsid w:val="001C652B"/>
    <w:rsid w:val="001C653A"/>
    <w:rsid w:val="001C657B"/>
    <w:rsid w:val="001C660B"/>
    <w:rsid w:val="001C6641"/>
    <w:rsid w:val="001C670C"/>
    <w:rsid w:val="001C6785"/>
    <w:rsid w:val="001C6B24"/>
    <w:rsid w:val="001C6B44"/>
    <w:rsid w:val="001C6C41"/>
    <w:rsid w:val="001C6DD9"/>
    <w:rsid w:val="001C6DFF"/>
    <w:rsid w:val="001C6E3A"/>
    <w:rsid w:val="001C6F5E"/>
    <w:rsid w:val="001C6FAD"/>
    <w:rsid w:val="001C7261"/>
    <w:rsid w:val="001C72B2"/>
    <w:rsid w:val="001C72E0"/>
    <w:rsid w:val="001C7342"/>
    <w:rsid w:val="001C7370"/>
    <w:rsid w:val="001C7466"/>
    <w:rsid w:val="001C7553"/>
    <w:rsid w:val="001C768B"/>
    <w:rsid w:val="001C76E1"/>
    <w:rsid w:val="001C7768"/>
    <w:rsid w:val="001C7855"/>
    <w:rsid w:val="001C79CA"/>
    <w:rsid w:val="001C7AEA"/>
    <w:rsid w:val="001C7BA8"/>
    <w:rsid w:val="001C7BDA"/>
    <w:rsid w:val="001C7D18"/>
    <w:rsid w:val="001C7EAA"/>
    <w:rsid w:val="001C7F74"/>
    <w:rsid w:val="001D00C2"/>
    <w:rsid w:val="001D028B"/>
    <w:rsid w:val="001D03BF"/>
    <w:rsid w:val="001D0525"/>
    <w:rsid w:val="001D054D"/>
    <w:rsid w:val="001D05B6"/>
    <w:rsid w:val="001D0603"/>
    <w:rsid w:val="001D0633"/>
    <w:rsid w:val="001D0699"/>
    <w:rsid w:val="001D070A"/>
    <w:rsid w:val="001D0733"/>
    <w:rsid w:val="001D07AE"/>
    <w:rsid w:val="001D091F"/>
    <w:rsid w:val="001D095B"/>
    <w:rsid w:val="001D0A8E"/>
    <w:rsid w:val="001D0D5F"/>
    <w:rsid w:val="001D0E8F"/>
    <w:rsid w:val="001D0ED0"/>
    <w:rsid w:val="001D0F60"/>
    <w:rsid w:val="001D1096"/>
    <w:rsid w:val="001D122F"/>
    <w:rsid w:val="001D12C2"/>
    <w:rsid w:val="001D146C"/>
    <w:rsid w:val="001D14DF"/>
    <w:rsid w:val="001D166B"/>
    <w:rsid w:val="001D1725"/>
    <w:rsid w:val="001D1769"/>
    <w:rsid w:val="001D17B6"/>
    <w:rsid w:val="001D17EF"/>
    <w:rsid w:val="001D17F1"/>
    <w:rsid w:val="001D1819"/>
    <w:rsid w:val="001D1867"/>
    <w:rsid w:val="001D18E4"/>
    <w:rsid w:val="001D1912"/>
    <w:rsid w:val="001D1922"/>
    <w:rsid w:val="001D1CA2"/>
    <w:rsid w:val="001D1D86"/>
    <w:rsid w:val="001D1DAB"/>
    <w:rsid w:val="001D1DF7"/>
    <w:rsid w:val="001D1E6D"/>
    <w:rsid w:val="001D1E77"/>
    <w:rsid w:val="001D1ECB"/>
    <w:rsid w:val="001D2024"/>
    <w:rsid w:val="001D2083"/>
    <w:rsid w:val="001D20C5"/>
    <w:rsid w:val="001D20E1"/>
    <w:rsid w:val="001D216A"/>
    <w:rsid w:val="001D21A6"/>
    <w:rsid w:val="001D22F6"/>
    <w:rsid w:val="001D26CF"/>
    <w:rsid w:val="001D26F1"/>
    <w:rsid w:val="001D27BC"/>
    <w:rsid w:val="001D2844"/>
    <w:rsid w:val="001D28E1"/>
    <w:rsid w:val="001D299A"/>
    <w:rsid w:val="001D29A6"/>
    <w:rsid w:val="001D29DA"/>
    <w:rsid w:val="001D2AC4"/>
    <w:rsid w:val="001D2BB1"/>
    <w:rsid w:val="001D2D5D"/>
    <w:rsid w:val="001D2D91"/>
    <w:rsid w:val="001D2DFF"/>
    <w:rsid w:val="001D2EBB"/>
    <w:rsid w:val="001D3070"/>
    <w:rsid w:val="001D313D"/>
    <w:rsid w:val="001D3341"/>
    <w:rsid w:val="001D3394"/>
    <w:rsid w:val="001D33D4"/>
    <w:rsid w:val="001D35BA"/>
    <w:rsid w:val="001D37F0"/>
    <w:rsid w:val="001D3829"/>
    <w:rsid w:val="001D38C6"/>
    <w:rsid w:val="001D3902"/>
    <w:rsid w:val="001D3A98"/>
    <w:rsid w:val="001D3D49"/>
    <w:rsid w:val="001D3D5E"/>
    <w:rsid w:val="001D3DA3"/>
    <w:rsid w:val="001D3E73"/>
    <w:rsid w:val="001D3EA8"/>
    <w:rsid w:val="001D41C1"/>
    <w:rsid w:val="001D41C9"/>
    <w:rsid w:val="001D424A"/>
    <w:rsid w:val="001D42D5"/>
    <w:rsid w:val="001D4350"/>
    <w:rsid w:val="001D4417"/>
    <w:rsid w:val="001D441D"/>
    <w:rsid w:val="001D4511"/>
    <w:rsid w:val="001D46F1"/>
    <w:rsid w:val="001D4860"/>
    <w:rsid w:val="001D4924"/>
    <w:rsid w:val="001D49F9"/>
    <w:rsid w:val="001D49FB"/>
    <w:rsid w:val="001D4A39"/>
    <w:rsid w:val="001D4A3C"/>
    <w:rsid w:val="001D4A3E"/>
    <w:rsid w:val="001D4A88"/>
    <w:rsid w:val="001D4B06"/>
    <w:rsid w:val="001D4B2B"/>
    <w:rsid w:val="001D4C63"/>
    <w:rsid w:val="001D4CBC"/>
    <w:rsid w:val="001D4CF3"/>
    <w:rsid w:val="001D4DAD"/>
    <w:rsid w:val="001D4DEB"/>
    <w:rsid w:val="001D4E12"/>
    <w:rsid w:val="001D4F3C"/>
    <w:rsid w:val="001D502B"/>
    <w:rsid w:val="001D50FF"/>
    <w:rsid w:val="001D513A"/>
    <w:rsid w:val="001D517B"/>
    <w:rsid w:val="001D52A9"/>
    <w:rsid w:val="001D5325"/>
    <w:rsid w:val="001D5360"/>
    <w:rsid w:val="001D5442"/>
    <w:rsid w:val="001D54D3"/>
    <w:rsid w:val="001D552B"/>
    <w:rsid w:val="001D55FE"/>
    <w:rsid w:val="001D56E4"/>
    <w:rsid w:val="001D5723"/>
    <w:rsid w:val="001D5765"/>
    <w:rsid w:val="001D57E3"/>
    <w:rsid w:val="001D5860"/>
    <w:rsid w:val="001D5B34"/>
    <w:rsid w:val="001D5BF1"/>
    <w:rsid w:val="001D5C34"/>
    <w:rsid w:val="001D5C6F"/>
    <w:rsid w:val="001D5E4F"/>
    <w:rsid w:val="001D5F16"/>
    <w:rsid w:val="001D5F47"/>
    <w:rsid w:val="001D5FCA"/>
    <w:rsid w:val="001D6042"/>
    <w:rsid w:val="001D60CE"/>
    <w:rsid w:val="001D60F6"/>
    <w:rsid w:val="001D61B4"/>
    <w:rsid w:val="001D62C0"/>
    <w:rsid w:val="001D6381"/>
    <w:rsid w:val="001D63B1"/>
    <w:rsid w:val="001D63D3"/>
    <w:rsid w:val="001D6445"/>
    <w:rsid w:val="001D6537"/>
    <w:rsid w:val="001D658C"/>
    <w:rsid w:val="001D67AC"/>
    <w:rsid w:val="001D6A71"/>
    <w:rsid w:val="001D6B31"/>
    <w:rsid w:val="001D6D54"/>
    <w:rsid w:val="001D6DA2"/>
    <w:rsid w:val="001D6E03"/>
    <w:rsid w:val="001D6E15"/>
    <w:rsid w:val="001D6EB1"/>
    <w:rsid w:val="001D6F1E"/>
    <w:rsid w:val="001D7125"/>
    <w:rsid w:val="001D7143"/>
    <w:rsid w:val="001D7176"/>
    <w:rsid w:val="001D7271"/>
    <w:rsid w:val="001D72DE"/>
    <w:rsid w:val="001D735B"/>
    <w:rsid w:val="001D73CA"/>
    <w:rsid w:val="001D73DC"/>
    <w:rsid w:val="001D7521"/>
    <w:rsid w:val="001D75F7"/>
    <w:rsid w:val="001D76B1"/>
    <w:rsid w:val="001D77B0"/>
    <w:rsid w:val="001D7844"/>
    <w:rsid w:val="001D7925"/>
    <w:rsid w:val="001D7C7D"/>
    <w:rsid w:val="001D7D14"/>
    <w:rsid w:val="001D7D40"/>
    <w:rsid w:val="001D7D43"/>
    <w:rsid w:val="001D7F81"/>
    <w:rsid w:val="001D7F8F"/>
    <w:rsid w:val="001E00F4"/>
    <w:rsid w:val="001E0131"/>
    <w:rsid w:val="001E01EA"/>
    <w:rsid w:val="001E0344"/>
    <w:rsid w:val="001E04BE"/>
    <w:rsid w:val="001E05CC"/>
    <w:rsid w:val="001E05E4"/>
    <w:rsid w:val="001E067E"/>
    <w:rsid w:val="001E0689"/>
    <w:rsid w:val="001E070A"/>
    <w:rsid w:val="001E0777"/>
    <w:rsid w:val="001E07B2"/>
    <w:rsid w:val="001E07C7"/>
    <w:rsid w:val="001E097C"/>
    <w:rsid w:val="001E0980"/>
    <w:rsid w:val="001E09BC"/>
    <w:rsid w:val="001E09F9"/>
    <w:rsid w:val="001E0A4F"/>
    <w:rsid w:val="001E0B01"/>
    <w:rsid w:val="001E0B35"/>
    <w:rsid w:val="001E0BE1"/>
    <w:rsid w:val="001E0C4B"/>
    <w:rsid w:val="001E0D3D"/>
    <w:rsid w:val="001E0D7E"/>
    <w:rsid w:val="001E0F4B"/>
    <w:rsid w:val="001E0FDD"/>
    <w:rsid w:val="001E1039"/>
    <w:rsid w:val="001E1082"/>
    <w:rsid w:val="001E10BA"/>
    <w:rsid w:val="001E12BF"/>
    <w:rsid w:val="001E12C3"/>
    <w:rsid w:val="001E12CD"/>
    <w:rsid w:val="001E1401"/>
    <w:rsid w:val="001E14BF"/>
    <w:rsid w:val="001E1515"/>
    <w:rsid w:val="001E1531"/>
    <w:rsid w:val="001E15FA"/>
    <w:rsid w:val="001E1623"/>
    <w:rsid w:val="001E1673"/>
    <w:rsid w:val="001E172E"/>
    <w:rsid w:val="001E17C5"/>
    <w:rsid w:val="001E1865"/>
    <w:rsid w:val="001E18B9"/>
    <w:rsid w:val="001E1931"/>
    <w:rsid w:val="001E1954"/>
    <w:rsid w:val="001E19CD"/>
    <w:rsid w:val="001E1AB0"/>
    <w:rsid w:val="001E1B92"/>
    <w:rsid w:val="001E1BD2"/>
    <w:rsid w:val="001E1C54"/>
    <w:rsid w:val="001E1E1C"/>
    <w:rsid w:val="001E1E27"/>
    <w:rsid w:val="001E1ED5"/>
    <w:rsid w:val="001E1FC8"/>
    <w:rsid w:val="001E2138"/>
    <w:rsid w:val="001E220F"/>
    <w:rsid w:val="001E229E"/>
    <w:rsid w:val="001E233B"/>
    <w:rsid w:val="001E24E9"/>
    <w:rsid w:val="001E2571"/>
    <w:rsid w:val="001E26BC"/>
    <w:rsid w:val="001E2724"/>
    <w:rsid w:val="001E2919"/>
    <w:rsid w:val="001E2990"/>
    <w:rsid w:val="001E2C09"/>
    <w:rsid w:val="001E2CD8"/>
    <w:rsid w:val="001E2D2B"/>
    <w:rsid w:val="001E2D6F"/>
    <w:rsid w:val="001E2F7B"/>
    <w:rsid w:val="001E3109"/>
    <w:rsid w:val="001E31D2"/>
    <w:rsid w:val="001E342F"/>
    <w:rsid w:val="001E34F8"/>
    <w:rsid w:val="001E355B"/>
    <w:rsid w:val="001E355D"/>
    <w:rsid w:val="001E358E"/>
    <w:rsid w:val="001E35C7"/>
    <w:rsid w:val="001E3661"/>
    <w:rsid w:val="001E36FA"/>
    <w:rsid w:val="001E370A"/>
    <w:rsid w:val="001E3838"/>
    <w:rsid w:val="001E3971"/>
    <w:rsid w:val="001E3991"/>
    <w:rsid w:val="001E39A4"/>
    <w:rsid w:val="001E3C23"/>
    <w:rsid w:val="001E3C89"/>
    <w:rsid w:val="001E3CAC"/>
    <w:rsid w:val="001E3D94"/>
    <w:rsid w:val="001E3DE0"/>
    <w:rsid w:val="001E4032"/>
    <w:rsid w:val="001E40AA"/>
    <w:rsid w:val="001E429B"/>
    <w:rsid w:val="001E4367"/>
    <w:rsid w:val="001E44F2"/>
    <w:rsid w:val="001E4691"/>
    <w:rsid w:val="001E4770"/>
    <w:rsid w:val="001E48B1"/>
    <w:rsid w:val="001E4995"/>
    <w:rsid w:val="001E49F0"/>
    <w:rsid w:val="001E4D27"/>
    <w:rsid w:val="001E4ED1"/>
    <w:rsid w:val="001E5075"/>
    <w:rsid w:val="001E51FB"/>
    <w:rsid w:val="001E52C1"/>
    <w:rsid w:val="001E52C8"/>
    <w:rsid w:val="001E5360"/>
    <w:rsid w:val="001E54BB"/>
    <w:rsid w:val="001E5568"/>
    <w:rsid w:val="001E5619"/>
    <w:rsid w:val="001E5642"/>
    <w:rsid w:val="001E56A9"/>
    <w:rsid w:val="001E57FE"/>
    <w:rsid w:val="001E5897"/>
    <w:rsid w:val="001E5915"/>
    <w:rsid w:val="001E5954"/>
    <w:rsid w:val="001E5B3E"/>
    <w:rsid w:val="001E5BDA"/>
    <w:rsid w:val="001E5CD7"/>
    <w:rsid w:val="001E5E0B"/>
    <w:rsid w:val="001E5E59"/>
    <w:rsid w:val="001E5ED8"/>
    <w:rsid w:val="001E5F46"/>
    <w:rsid w:val="001E5FF3"/>
    <w:rsid w:val="001E606A"/>
    <w:rsid w:val="001E6232"/>
    <w:rsid w:val="001E62B1"/>
    <w:rsid w:val="001E6361"/>
    <w:rsid w:val="001E6482"/>
    <w:rsid w:val="001E67BD"/>
    <w:rsid w:val="001E686F"/>
    <w:rsid w:val="001E688B"/>
    <w:rsid w:val="001E6915"/>
    <w:rsid w:val="001E69AE"/>
    <w:rsid w:val="001E69F5"/>
    <w:rsid w:val="001E6A78"/>
    <w:rsid w:val="001E6AFD"/>
    <w:rsid w:val="001E6B00"/>
    <w:rsid w:val="001E6B09"/>
    <w:rsid w:val="001E6B2B"/>
    <w:rsid w:val="001E6B9F"/>
    <w:rsid w:val="001E6BB9"/>
    <w:rsid w:val="001E6CAC"/>
    <w:rsid w:val="001E6D7F"/>
    <w:rsid w:val="001E6DE2"/>
    <w:rsid w:val="001E6E5C"/>
    <w:rsid w:val="001E6E76"/>
    <w:rsid w:val="001E6EE3"/>
    <w:rsid w:val="001E6EF9"/>
    <w:rsid w:val="001E7089"/>
    <w:rsid w:val="001E70F9"/>
    <w:rsid w:val="001E710B"/>
    <w:rsid w:val="001E7180"/>
    <w:rsid w:val="001E7473"/>
    <w:rsid w:val="001E7497"/>
    <w:rsid w:val="001E76C4"/>
    <w:rsid w:val="001E77DD"/>
    <w:rsid w:val="001E78F7"/>
    <w:rsid w:val="001E794B"/>
    <w:rsid w:val="001E79A3"/>
    <w:rsid w:val="001E7A99"/>
    <w:rsid w:val="001E7AB2"/>
    <w:rsid w:val="001E7B8F"/>
    <w:rsid w:val="001E7C5A"/>
    <w:rsid w:val="001E7C7E"/>
    <w:rsid w:val="001E7CC0"/>
    <w:rsid w:val="001E7D43"/>
    <w:rsid w:val="001E7DC6"/>
    <w:rsid w:val="001E7DF6"/>
    <w:rsid w:val="001E7E05"/>
    <w:rsid w:val="001E7E4A"/>
    <w:rsid w:val="001E7E51"/>
    <w:rsid w:val="001E7E57"/>
    <w:rsid w:val="001E7E6A"/>
    <w:rsid w:val="001E7EED"/>
    <w:rsid w:val="001E7F8C"/>
    <w:rsid w:val="001E7FA1"/>
    <w:rsid w:val="001F0019"/>
    <w:rsid w:val="001F003D"/>
    <w:rsid w:val="001F007E"/>
    <w:rsid w:val="001F0166"/>
    <w:rsid w:val="001F0186"/>
    <w:rsid w:val="001F0189"/>
    <w:rsid w:val="001F019E"/>
    <w:rsid w:val="001F01EA"/>
    <w:rsid w:val="001F0224"/>
    <w:rsid w:val="001F02FC"/>
    <w:rsid w:val="001F03A8"/>
    <w:rsid w:val="001F03E3"/>
    <w:rsid w:val="001F03F7"/>
    <w:rsid w:val="001F0417"/>
    <w:rsid w:val="001F0495"/>
    <w:rsid w:val="001F0528"/>
    <w:rsid w:val="001F0577"/>
    <w:rsid w:val="001F05A3"/>
    <w:rsid w:val="001F05D6"/>
    <w:rsid w:val="001F0722"/>
    <w:rsid w:val="001F07E1"/>
    <w:rsid w:val="001F08F9"/>
    <w:rsid w:val="001F09A6"/>
    <w:rsid w:val="001F0BBE"/>
    <w:rsid w:val="001F0CE5"/>
    <w:rsid w:val="001F0DAA"/>
    <w:rsid w:val="001F0DDD"/>
    <w:rsid w:val="001F0E86"/>
    <w:rsid w:val="001F0ECE"/>
    <w:rsid w:val="001F104C"/>
    <w:rsid w:val="001F10F8"/>
    <w:rsid w:val="001F1101"/>
    <w:rsid w:val="001F11A3"/>
    <w:rsid w:val="001F1320"/>
    <w:rsid w:val="001F137E"/>
    <w:rsid w:val="001F13B2"/>
    <w:rsid w:val="001F1441"/>
    <w:rsid w:val="001F14D2"/>
    <w:rsid w:val="001F14FE"/>
    <w:rsid w:val="001F1552"/>
    <w:rsid w:val="001F15EF"/>
    <w:rsid w:val="001F19BA"/>
    <w:rsid w:val="001F1B2A"/>
    <w:rsid w:val="001F1C33"/>
    <w:rsid w:val="001F1C41"/>
    <w:rsid w:val="001F1C63"/>
    <w:rsid w:val="001F1CDC"/>
    <w:rsid w:val="001F1CFE"/>
    <w:rsid w:val="001F1DE3"/>
    <w:rsid w:val="001F1E5F"/>
    <w:rsid w:val="001F1E9A"/>
    <w:rsid w:val="001F201A"/>
    <w:rsid w:val="001F2037"/>
    <w:rsid w:val="001F203D"/>
    <w:rsid w:val="001F2164"/>
    <w:rsid w:val="001F2213"/>
    <w:rsid w:val="001F241A"/>
    <w:rsid w:val="001F24B0"/>
    <w:rsid w:val="001F24BB"/>
    <w:rsid w:val="001F2629"/>
    <w:rsid w:val="001F269A"/>
    <w:rsid w:val="001F27B0"/>
    <w:rsid w:val="001F2A18"/>
    <w:rsid w:val="001F2AC7"/>
    <w:rsid w:val="001F2B31"/>
    <w:rsid w:val="001F2B57"/>
    <w:rsid w:val="001F2BC4"/>
    <w:rsid w:val="001F2C14"/>
    <w:rsid w:val="001F2DB0"/>
    <w:rsid w:val="001F2ED8"/>
    <w:rsid w:val="001F2EE0"/>
    <w:rsid w:val="001F2F20"/>
    <w:rsid w:val="001F2F2A"/>
    <w:rsid w:val="001F2F3F"/>
    <w:rsid w:val="001F2F51"/>
    <w:rsid w:val="001F300B"/>
    <w:rsid w:val="001F3012"/>
    <w:rsid w:val="001F3122"/>
    <w:rsid w:val="001F31CF"/>
    <w:rsid w:val="001F3279"/>
    <w:rsid w:val="001F32D1"/>
    <w:rsid w:val="001F338B"/>
    <w:rsid w:val="001F33B6"/>
    <w:rsid w:val="001F33D0"/>
    <w:rsid w:val="001F3457"/>
    <w:rsid w:val="001F34BF"/>
    <w:rsid w:val="001F3537"/>
    <w:rsid w:val="001F35B5"/>
    <w:rsid w:val="001F3706"/>
    <w:rsid w:val="001F377E"/>
    <w:rsid w:val="001F3829"/>
    <w:rsid w:val="001F39B0"/>
    <w:rsid w:val="001F3BC9"/>
    <w:rsid w:val="001F3BE4"/>
    <w:rsid w:val="001F3C01"/>
    <w:rsid w:val="001F3C62"/>
    <w:rsid w:val="001F3D3A"/>
    <w:rsid w:val="001F3DF1"/>
    <w:rsid w:val="001F3E05"/>
    <w:rsid w:val="001F3EED"/>
    <w:rsid w:val="001F41E4"/>
    <w:rsid w:val="001F41EE"/>
    <w:rsid w:val="001F4437"/>
    <w:rsid w:val="001F447F"/>
    <w:rsid w:val="001F44D3"/>
    <w:rsid w:val="001F4606"/>
    <w:rsid w:val="001F47BB"/>
    <w:rsid w:val="001F483F"/>
    <w:rsid w:val="001F4A46"/>
    <w:rsid w:val="001F4AD6"/>
    <w:rsid w:val="001F4B88"/>
    <w:rsid w:val="001F4BD7"/>
    <w:rsid w:val="001F4BE0"/>
    <w:rsid w:val="001F4C19"/>
    <w:rsid w:val="001F4CFF"/>
    <w:rsid w:val="001F4DDB"/>
    <w:rsid w:val="001F502F"/>
    <w:rsid w:val="001F5126"/>
    <w:rsid w:val="001F5217"/>
    <w:rsid w:val="001F5227"/>
    <w:rsid w:val="001F5231"/>
    <w:rsid w:val="001F53C9"/>
    <w:rsid w:val="001F549A"/>
    <w:rsid w:val="001F5560"/>
    <w:rsid w:val="001F55E8"/>
    <w:rsid w:val="001F5842"/>
    <w:rsid w:val="001F5997"/>
    <w:rsid w:val="001F5ADA"/>
    <w:rsid w:val="001F5B22"/>
    <w:rsid w:val="001F5BB1"/>
    <w:rsid w:val="001F5BB7"/>
    <w:rsid w:val="001F5C30"/>
    <w:rsid w:val="001F5EB6"/>
    <w:rsid w:val="001F5F3A"/>
    <w:rsid w:val="001F62E0"/>
    <w:rsid w:val="001F63A2"/>
    <w:rsid w:val="001F653C"/>
    <w:rsid w:val="001F65CB"/>
    <w:rsid w:val="001F65E4"/>
    <w:rsid w:val="001F667C"/>
    <w:rsid w:val="001F672B"/>
    <w:rsid w:val="001F672C"/>
    <w:rsid w:val="001F675D"/>
    <w:rsid w:val="001F68F3"/>
    <w:rsid w:val="001F692E"/>
    <w:rsid w:val="001F69C2"/>
    <w:rsid w:val="001F6A0A"/>
    <w:rsid w:val="001F6AB5"/>
    <w:rsid w:val="001F6B16"/>
    <w:rsid w:val="001F6B20"/>
    <w:rsid w:val="001F6C18"/>
    <w:rsid w:val="001F6C91"/>
    <w:rsid w:val="001F6CBB"/>
    <w:rsid w:val="001F6D61"/>
    <w:rsid w:val="001F7050"/>
    <w:rsid w:val="001F7082"/>
    <w:rsid w:val="001F70A0"/>
    <w:rsid w:val="001F7292"/>
    <w:rsid w:val="001F72B8"/>
    <w:rsid w:val="001F72F6"/>
    <w:rsid w:val="001F7482"/>
    <w:rsid w:val="001F7546"/>
    <w:rsid w:val="001F7576"/>
    <w:rsid w:val="001F757A"/>
    <w:rsid w:val="001F76BC"/>
    <w:rsid w:val="001F7853"/>
    <w:rsid w:val="001F789A"/>
    <w:rsid w:val="001F7AF0"/>
    <w:rsid w:val="001F7C51"/>
    <w:rsid w:val="001F7D66"/>
    <w:rsid w:val="001F7D7D"/>
    <w:rsid w:val="00200029"/>
    <w:rsid w:val="00200110"/>
    <w:rsid w:val="0020019A"/>
    <w:rsid w:val="002001AA"/>
    <w:rsid w:val="00200271"/>
    <w:rsid w:val="002002C8"/>
    <w:rsid w:val="002002E0"/>
    <w:rsid w:val="0020037C"/>
    <w:rsid w:val="002004E6"/>
    <w:rsid w:val="00200538"/>
    <w:rsid w:val="002005CF"/>
    <w:rsid w:val="0020061B"/>
    <w:rsid w:val="00200666"/>
    <w:rsid w:val="00200850"/>
    <w:rsid w:val="00200868"/>
    <w:rsid w:val="0020086C"/>
    <w:rsid w:val="0020091B"/>
    <w:rsid w:val="00200933"/>
    <w:rsid w:val="00200972"/>
    <w:rsid w:val="00200A2A"/>
    <w:rsid w:val="00200AD0"/>
    <w:rsid w:val="00200D32"/>
    <w:rsid w:val="00200D69"/>
    <w:rsid w:val="00200ECD"/>
    <w:rsid w:val="00201005"/>
    <w:rsid w:val="00201166"/>
    <w:rsid w:val="002011AE"/>
    <w:rsid w:val="002011D3"/>
    <w:rsid w:val="00201565"/>
    <w:rsid w:val="002015B9"/>
    <w:rsid w:val="002015F8"/>
    <w:rsid w:val="002015FD"/>
    <w:rsid w:val="002016E2"/>
    <w:rsid w:val="00201715"/>
    <w:rsid w:val="00201739"/>
    <w:rsid w:val="00201934"/>
    <w:rsid w:val="002019F2"/>
    <w:rsid w:val="00201ACD"/>
    <w:rsid w:val="00201DA6"/>
    <w:rsid w:val="00201E8A"/>
    <w:rsid w:val="00201EAD"/>
    <w:rsid w:val="00201F5E"/>
    <w:rsid w:val="00201FCB"/>
    <w:rsid w:val="002020DD"/>
    <w:rsid w:val="0020211E"/>
    <w:rsid w:val="002021F6"/>
    <w:rsid w:val="0020223E"/>
    <w:rsid w:val="002022CA"/>
    <w:rsid w:val="00202409"/>
    <w:rsid w:val="0020242D"/>
    <w:rsid w:val="0020248D"/>
    <w:rsid w:val="002024CB"/>
    <w:rsid w:val="00202523"/>
    <w:rsid w:val="002025C4"/>
    <w:rsid w:val="0020266E"/>
    <w:rsid w:val="00202806"/>
    <w:rsid w:val="00202A4F"/>
    <w:rsid w:val="00202D2C"/>
    <w:rsid w:val="00202D3D"/>
    <w:rsid w:val="00202D6B"/>
    <w:rsid w:val="00202E64"/>
    <w:rsid w:val="00202EFB"/>
    <w:rsid w:val="00202F30"/>
    <w:rsid w:val="00202FB3"/>
    <w:rsid w:val="0020309A"/>
    <w:rsid w:val="002030C3"/>
    <w:rsid w:val="002031A1"/>
    <w:rsid w:val="00203223"/>
    <w:rsid w:val="002032A7"/>
    <w:rsid w:val="0020343A"/>
    <w:rsid w:val="0020378D"/>
    <w:rsid w:val="0020381C"/>
    <w:rsid w:val="00203900"/>
    <w:rsid w:val="0020391B"/>
    <w:rsid w:val="00203B24"/>
    <w:rsid w:val="00203C1C"/>
    <w:rsid w:val="00203CA9"/>
    <w:rsid w:val="00203CF3"/>
    <w:rsid w:val="00203D45"/>
    <w:rsid w:val="00203EC3"/>
    <w:rsid w:val="00203F56"/>
    <w:rsid w:val="00203F8E"/>
    <w:rsid w:val="002040CA"/>
    <w:rsid w:val="0020410D"/>
    <w:rsid w:val="00204135"/>
    <w:rsid w:val="00204180"/>
    <w:rsid w:val="002043B5"/>
    <w:rsid w:val="0020440A"/>
    <w:rsid w:val="00204421"/>
    <w:rsid w:val="002044BF"/>
    <w:rsid w:val="002045DF"/>
    <w:rsid w:val="00204766"/>
    <w:rsid w:val="0020478F"/>
    <w:rsid w:val="00204861"/>
    <w:rsid w:val="0020487E"/>
    <w:rsid w:val="00204885"/>
    <w:rsid w:val="00204A23"/>
    <w:rsid w:val="00204A35"/>
    <w:rsid w:val="00204B61"/>
    <w:rsid w:val="00204B7A"/>
    <w:rsid w:val="00204B85"/>
    <w:rsid w:val="00204C08"/>
    <w:rsid w:val="00204C14"/>
    <w:rsid w:val="00204C2A"/>
    <w:rsid w:val="00204D98"/>
    <w:rsid w:val="00204DCB"/>
    <w:rsid w:val="00204DEE"/>
    <w:rsid w:val="00204EB9"/>
    <w:rsid w:val="00204EEF"/>
    <w:rsid w:val="00204F21"/>
    <w:rsid w:val="00204F85"/>
    <w:rsid w:val="0020508A"/>
    <w:rsid w:val="002050DE"/>
    <w:rsid w:val="002050E6"/>
    <w:rsid w:val="002051E2"/>
    <w:rsid w:val="00205285"/>
    <w:rsid w:val="002052C7"/>
    <w:rsid w:val="0020541B"/>
    <w:rsid w:val="00205442"/>
    <w:rsid w:val="0020545D"/>
    <w:rsid w:val="00205493"/>
    <w:rsid w:val="0020549C"/>
    <w:rsid w:val="002054A5"/>
    <w:rsid w:val="00205947"/>
    <w:rsid w:val="00205964"/>
    <w:rsid w:val="00205A1E"/>
    <w:rsid w:val="00205A3F"/>
    <w:rsid w:val="00205C5C"/>
    <w:rsid w:val="00205CCE"/>
    <w:rsid w:val="00205D34"/>
    <w:rsid w:val="00205D4E"/>
    <w:rsid w:val="00205D72"/>
    <w:rsid w:val="00205DE8"/>
    <w:rsid w:val="00205F82"/>
    <w:rsid w:val="00205FE5"/>
    <w:rsid w:val="002061FB"/>
    <w:rsid w:val="00206330"/>
    <w:rsid w:val="0020642B"/>
    <w:rsid w:val="00206471"/>
    <w:rsid w:val="00206617"/>
    <w:rsid w:val="00206623"/>
    <w:rsid w:val="00206676"/>
    <w:rsid w:val="00206755"/>
    <w:rsid w:val="0020693C"/>
    <w:rsid w:val="00206961"/>
    <w:rsid w:val="00206A8E"/>
    <w:rsid w:val="00206B2D"/>
    <w:rsid w:val="00206B3B"/>
    <w:rsid w:val="00206B54"/>
    <w:rsid w:val="00206BE5"/>
    <w:rsid w:val="00206C0B"/>
    <w:rsid w:val="00206DCB"/>
    <w:rsid w:val="00206E14"/>
    <w:rsid w:val="00206E78"/>
    <w:rsid w:val="00206EB6"/>
    <w:rsid w:val="00206EEB"/>
    <w:rsid w:val="00206F2F"/>
    <w:rsid w:val="00206FA2"/>
    <w:rsid w:val="00206FD4"/>
    <w:rsid w:val="0020700A"/>
    <w:rsid w:val="00207051"/>
    <w:rsid w:val="00207064"/>
    <w:rsid w:val="002070A6"/>
    <w:rsid w:val="00207222"/>
    <w:rsid w:val="002075AE"/>
    <w:rsid w:val="002076D6"/>
    <w:rsid w:val="0020774A"/>
    <w:rsid w:val="002077B9"/>
    <w:rsid w:val="002078A5"/>
    <w:rsid w:val="00207A5E"/>
    <w:rsid w:val="00207BB5"/>
    <w:rsid w:val="00207DB3"/>
    <w:rsid w:val="00207F97"/>
    <w:rsid w:val="00207F9A"/>
    <w:rsid w:val="00210009"/>
    <w:rsid w:val="002100BE"/>
    <w:rsid w:val="0021046F"/>
    <w:rsid w:val="002104FB"/>
    <w:rsid w:val="0021050C"/>
    <w:rsid w:val="002105D1"/>
    <w:rsid w:val="002105FF"/>
    <w:rsid w:val="00210641"/>
    <w:rsid w:val="00210698"/>
    <w:rsid w:val="0021069B"/>
    <w:rsid w:val="002106A4"/>
    <w:rsid w:val="0021081A"/>
    <w:rsid w:val="00210867"/>
    <w:rsid w:val="0021088C"/>
    <w:rsid w:val="0021094A"/>
    <w:rsid w:val="00210993"/>
    <w:rsid w:val="00210A2E"/>
    <w:rsid w:val="00210A98"/>
    <w:rsid w:val="00210B10"/>
    <w:rsid w:val="00210BC3"/>
    <w:rsid w:val="00210D50"/>
    <w:rsid w:val="00210E83"/>
    <w:rsid w:val="00210E8F"/>
    <w:rsid w:val="00210EBD"/>
    <w:rsid w:val="00211003"/>
    <w:rsid w:val="0021101E"/>
    <w:rsid w:val="00211020"/>
    <w:rsid w:val="00211057"/>
    <w:rsid w:val="002112D9"/>
    <w:rsid w:val="0021153B"/>
    <w:rsid w:val="00211595"/>
    <w:rsid w:val="002115B9"/>
    <w:rsid w:val="0021165A"/>
    <w:rsid w:val="00211680"/>
    <w:rsid w:val="00211762"/>
    <w:rsid w:val="00211874"/>
    <w:rsid w:val="002118D7"/>
    <w:rsid w:val="002118E3"/>
    <w:rsid w:val="002119FB"/>
    <w:rsid w:val="00211A7C"/>
    <w:rsid w:val="00211F44"/>
    <w:rsid w:val="00211F97"/>
    <w:rsid w:val="0021205C"/>
    <w:rsid w:val="00212179"/>
    <w:rsid w:val="0021223B"/>
    <w:rsid w:val="00212282"/>
    <w:rsid w:val="00212293"/>
    <w:rsid w:val="002122E2"/>
    <w:rsid w:val="00212415"/>
    <w:rsid w:val="002125A2"/>
    <w:rsid w:val="00212667"/>
    <w:rsid w:val="002126B3"/>
    <w:rsid w:val="002126BA"/>
    <w:rsid w:val="00212792"/>
    <w:rsid w:val="002127F2"/>
    <w:rsid w:val="0021287E"/>
    <w:rsid w:val="0021291F"/>
    <w:rsid w:val="002129AE"/>
    <w:rsid w:val="002129DD"/>
    <w:rsid w:val="002129E3"/>
    <w:rsid w:val="00212A37"/>
    <w:rsid w:val="00212A8B"/>
    <w:rsid w:val="00212AA0"/>
    <w:rsid w:val="00212C2C"/>
    <w:rsid w:val="00212C31"/>
    <w:rsid w:val="00212D1A"/>
    <w:rsid w:val="00212E3E"/>
    <w:rsid w:val="00212E8C"/>
    <w:rsid w:val="00212F06"/>
    <w:rsid w:val="00212F3F"/>
    <w:rsid w:val="002130BE"/>
    <w:rsid w:val="00213223"/>
    <w:rsid w:val="002133DB"/>
    <w:rsid w:val="002133FB"/>
    <w:rsid w:val="00213498"/>
    <w:rsid w:val="002134D8"/>
    <w:rsid w:val="002135BB"/>
    <w:rsid w:val="002135EA"/>
    <w:rsid w:val="002135F8"/>
    <w:rsid w:val="002136C6"/>
    <w:rsid w:val="002137D7"/>
    <w:rsid w:val="0021385F"/>
    <w:rsid w:val="0021387F"/>
    <w:rsid w:val="00213966"/>
    <w:rsid w:val="00213BB3"/>
    <w:rsid w:val="00213BD3"/>
    <w:rsid w:val="00213C83"/>
    <w:rsid w:val="00213D1C"/>
    <w:rsid w:val="00213F24"/>
    <w:rsid w:val="00213F6F"/>
    <w:rsid w:val="00214139"/>
    <w:rsid w:val="0021420B"/>
    <w:rsid w:val="0021427B"/>
    <w:rsid w:val="002142C7"/>
    <w:rsid w:val="00214303"/>
    <w:rsid w:val="0021458F"/>
    <w:rsid w:val="002146CF"/>
    <w:rsid w:val="002146DC"/>
    <w:rsid w:val="00214802"/>
    <w:rsid w:val="00214904"/>
    <w:rsid w:val="00214963"/>
    <w:rsid w:val="00214A38"/>
    <w:rsid w:val="00214A5F"/>
    <w:rsid w:val="00214A66"/>
    <w:rsid w:val="00214AF6"/>
    <w:rsid w:val="00214BF7"/>
    <w:rsid w:val="00214C3F"/>
    <w:rsid w:val="00214CC2"/>
    <w:rsid w:val="00214D83"/>
    <w:rsid w:val="00214D99"/>
    <w:rsid w:val="00214DBD"/>
    <w:rsid w:val="00214E3B"/>
    <w:rsid w:val="00214E63"/>
    <w:rsid w:val="00214EFB"/>
    <w:rsid w:val="00214F71"/>
    <w:rsid w:val="00214FAE"/>
    <w:rsid w:val="00214FC4"/>
    <w:rsid w:val="0021500C"/>
    <w:rsid w:val="00215071"/>
    <w:rsid w:val="002155B3"/>
    <w:rsid w:val="00215651"/>
    <w:rsid w:val="00215669"/>
    <w:rsid w:val="00215B8A"/>
    <w:rsid w:val="00215B8C"/>
    <w:rsid w:val="00215D0E"/>
    <w:rsid w:val="00215D7A"/>
    <w:rsid w:val="00215D8F"/>
    <w:rsid w:val="00215DB2"/>
    <w:rsid w:val="00215E8C"/>
    <w:rsid w:val="00215F56"/>
    <w:rsid w:val="0021600C"/>
    <w:rsid w:val="0021606A"/>
    <w:rsid w:val="00216097"/>
    <w:rsid w:val="00216128"/>
    <w:rsid w:val="002161A6"/>
    <w:rsid w:val="00216294"/>
    <w:rsid w:val="002163FC"/>
    <w:rsid w:val="002164BF"/>
    <w:rsid w:val="002164CC"/>
    <w:rsid w:val="00216542"/>
    <w:rsid w:val="002166FC"/>
    <w:rsid w:val="0021676B"/>
    <w:rsid w:val="0021679D"/>
    <w:rsid w:val="002167D7"/>
    <w:rsid w:val="00216829"/>
    <w:rsid w:val="00216AA6"/>
    <w:rsid w:val="00216B7E"/>
    <w:rsid w:val="00216C25"/>
    <w:rsid w:val="00216C38"/>
    <w:rsid w:val="00216CE4"/>
    <w:rsid w:val="00216D52"/>
    <w:rsid w:val="00216ED9"/>
    <w:rsid w:val="00216FE3"/>
    <w:rsid w:val="00217011"/>
    <w:rsid w:val="00217044"/>
    <w:rsid w:val="00217258"/>
    <w:rsid w:val="002172D6"/>
    <w:rsid w:val="002172DB"/>
    <w:rsid w:val="002173EA"/>
    <w:rsid w:val="0021744E"/>
    <w:rsid w:val="002175BC"/>
    <w:rsid w:val="00217642"/>
    <w:rsid w:val="00217792"/>
    <w:rsid w:val="002177F8"/>
    <w:rsid w:val="00217A00"/>
    <w:rsid w:val="00217A17"/>
    <w:rsid w:val="00217A87"/>
    <w:rsid w:val="00217FB0"/>
    <w:rsid w:val="002201BB"/>
    <w:rsid w:val="002202FB"/>
    <w:rsid w:val="00220323"/>
    <w:rsid w:val="00220339"/>
    <w:rsid w:val="002203B2"/>
    <w:rsid w:val="00220456"/>
    <w:rsid w:val="002204FE"/>
    <w:rsid w:val="002206CC"/>
    <w:rsid w:val="002206DF"/>
    <w:rsid w:val="00220741"/>
    <w:rsid w:val="0022080D"/>
    <w:rsid w:val="00220819"/>
    <w:rsid w:val="00220842"/>
    <w:rsid w:val="002208C4"/>
    <w:rsid w:val="00220921"/>
    <w:rsid w:val="00220970"/>
    <w:rsid w:val="00220A9A"/>
    <w:rsid w:val="00220BF6"/>
    <w:rsid w:val="00220C36"/>
    <w:rsid w:val="00220D41"/>
    <w:rsid w:val="00220D6C"/>
    <w:rsid w:val="00220D7A"/>
    <w:rsid w:val="00220F8C"/>
    <w:rsid w:val="00220FF7"/>
    <w:rsid w:val="00221161"/>
    <w:rsid w:val="002211D4"/>
    <w:rsid w:val="002211E3"/>
    <w:rsid w:val="002212EA"/>
    <w:rsid w:val="00221360"/>
    <w:rsid w:val="0022144A"/>
    <w:rsid w:val="00221643"/>
    <w:rsid w:val="0022173C"/>
    <w:rsid w:val="00221908"/>
    <w:rsid w:val="00221960"/>
    <w:rsid w:val="002219D0"/>
    <w:rsid w:val="00221C6F"/>
    <w:rsid w:val="00221C7C"/>
    <w:rsid w:val="00221CD1"/>
    <w:rsid w:val="00221EA6"/>
    <w:rsid w:val="00221F4D"/>
    <w:rsid w:val="00221FF4"/>
    <w:rsid w:val="002220B9"/>
    <w:rsid w:val="00222112"/>
    <w:rsid w:val="00222199"/>
    <w:rsid w:val="002221EF"/>
    <w:rsid w:val="00222233"/>
    <w:rsid w:val="00222355"/>
    <w:rsid w:val="002223FB"/>
    <w:rsid w:val="002223FD"/>
    <w:rsid w:val="00222579"/>
    <w:rsid w:val="00222719"/>
    <w:rsid w:val="002228E7"/>
    <w:rsid w:val="00222986"/>
    <w:rsid w:val="002229AC"/>
    <w:rsid w:val="00222A28"/>
    <w:rsid w:val="00222B39"/>
    <w:rsid w:val="00222BBF"/>
    <w:rsid w:val="00222C96"/>
    <w:rsid w:val="00222CE6"/>
    <w:rsid w:val="00222D88"/>
    <w:rsid w:val="00222DAC"/>
    <w:rsid w:val="00222FCC"/>
    <w:rsid w:val="0022306D"/>
    <w:rsid w:val="002230D2"/>
    <w:rsid w:val="00223132"/>
    <w:rsid w:val="00223194"/>
    <w:rsid w:val="002231A8"/>
    <w:rsid w:val="0022326E"/>
    <w:rsid w:val="002233FA"/>
    <w:rsid w:val="0022342C"/>
    <w:rsid w:val="0022343A"/>
    <w:rsid w:val="00223459"/>
    <w:rsid w:val="0022353F"/>
    <w:rsid w:val="00223580"/>
    <w:rsid w:val="00223635"/>
    <w:rsid w:val="002236C6"/>
    <w:rsid w:val="002236F3"/>
    <w:rsid w:val="0022377C"/>
    <w:rsid w:val="00223AB0"/>
    <w:rsid w:val="00223AD3"/>
    <w:rsid w:val="00223B4D"/>
    <w:rsid w:val="00223C71"/>
    <w:rsid w:val="00223CE9"/>
    <w:rsid w:val="00223DD8"/>
    <w:rsid w:val="00223EA4"/>
    <w:rsid w:val="00224043"/>
    <w:rsid w:val="0022405F"/>
    <w:rsid w:val="002241AA"/>
    <w:rsid w:val="002241C0"/>
    <w:rsid w:val="0022429C"/>
    <w:rsid w:val="002243B4"/>
    <w:rsid w:val="00224538"/>
    <w:rsid w:val="00224751"/>
    <w:rsid w:val="002247ED"/>
    <w:rsid w:val="002247F8"/>
    <w:rsid w:val="0022483D"/>
    <w:rsid w:val="002248E6"/>
    <w:rsid w:val="002249D7"/>
    <w:rsid w:val="00224A16"/>
    <w:rsid w:val="00224A2D"/>
    <w:rsid w:val="00224A41"/>
    <w:rsid w:val="00224A5F"/>
    <w:rsid w:val="00224B44"/>
    <w:rsid w:val="00224BE1"/>
    <w:rsid w:val="00224C90"/>
    <w:rsid w:val="00224D1C"/>
    <w:rsid w:val="00224D83"/>
    <w:rsid w:val="00224D93"/>
    <w:rsid w:val="00224E72"/>
    <w:rsid w:val="00224EEE"/>
    <w:rsid w:val="00224FE6"/>
    <w:rsid w:val="00224FEE"/>
    <w:rsid w:val="002250FE"/>
    <w:rsid w:val="0022511E"/>
    <w:rsid w:val="00225211"/>
    <w:rsid w:val="002252B4"/>
    <w:rsid w:val="0022530E"/>
    <w:rsid w:val="00225399"/>
    <w:rsid w:val="00225623"/>
    <w:rsid w:val="0022574C"/>
    <w:rsid w:val="002257C3"/>
    <w:rsid w:val="00225837"/>
    <w:rsid w:val="00225A50"/>
    <w:rsid w:val="00225A54"/>
    <w:rsid w:val="00225A9A"/>
    <w:rsid w:val="00225B4A"/>
    <w:rsid w:val="00225B86"/>
    <w:rsid w:val="00225D18"/>
    <w:rsid w:val="00225DBC"/>
    <w:rsid w:val="00225EFF"/>
    <w:rsid w:val="00225F14"/>
    <w:rsid w:val="00225FD6"/>
    <w:rsid w:val="002260BF"/>
    <w:rsid w:val="0022612C"/>
    <w:rsid w:val="00226216"/>
    <w:rsid w:val="0022623A"/>
    <w:rsid w:val="0022624A"/>
    <w:rsid w:val="002262FF"/>
    <w:rsid w:val="00226384"/>
    <w:rsid w:val="002263A5"/>
    <w:rsid w:val="002264C3"/>
    <w:rsid w:val="002264F9"/>
    <w:rsid w:val="00226696"/>
    <w:rsid w:val="00226718"/>
    <w:rsid w:val="0022672C"/>
    <w:rsid w:val="00226760"/>
    <w:rsid w:val="002267E8"/>
    <w:rsid w:val="00226841"/>
    <w:rsid w:val="00226865"/>
    <w:rsid w:val="0022692F"/>
    <w:rsid w:val="00226A2E"/>
    <w:rsid w:val="00226A99"/>
    <w:rsid w:val="00226BE2"/>
    <w:rsid w:val="00226BE4"/>
    <w:rsid w:val="00226EAE"/>
    <w:rsid w:val="00226EFB"/>
    <w:rsid w:val="00226F7E"/>
    <w:rsid w:val="00227098"/>
    <w:rsid w:val="002270D5"/>
    <w:rsid w:val="002270F9"/>
    <w:rsid w:val="00227203"/>
    <w:rsid w:val="00227391"/>
    <w:rsid w:val="002273BD"/>
    <w:rsid w:val="0022745D"/>
    <w:rsid w:val="00227520"/>
    <w:rsid w:val="002276B3"/>
    <w:rsid w:val="002276C2"/>
    <w:rsid w:val="002276F0"/>
    <w:rsid w:val="0022778C"/>
    <w:rsid w:val="0022784E"/>
    <w:rsid w:val="00227884"/>
    <w:rsid w:val="00227969"/>
    <w:rsid w:val="00227A48"/>
    <w:rsid w:val="00227AB5"/>
    <w:rsid w:val="00227AFC"/>
    <w:rsid w:val="00227B8E"/>
    <w:rsid w:val="00227BF9"/>
    <w:rsid w:val="00227D4C"/>
    <w:rsid w:val="00227D94"/>
    <w:rsid w:val="00227D97"/>
    <w:rsid w:val="00227F29"/>
    <w:rsid w:val="00227F68"/>
    <w:rsid w:val="00227FD5"/>
    <w:rsid w:val="0023001A"/>
    <w:rsid w:val="00230045"/>
    <w:rsid w:val="0023009F"/>
    <w:rsid w:val="002301F0"/>
    <w:rsid w:val="002302CB"/>
    <w:rsid w:val="00230432"/>
    <w:rsid w:val="00230474"/>
    <w:rsid w:val="00230497"/>
    <w:rsid w:val="002304A3"/>
    <w:rsid w:val="002304AF"/>
    <w:rsid w:val="002304B8"/>
    <w:rsid w:val="002304DF"/>
    <w:rsid w:val="00230557"/>
    <w:rsid w:val="0023055D"/>
    <w:rsid w:val="00230583"/>
    <w:rsid w:val="002305F3"/>
    <w:rsid w:val="0023062E"/>
    <w:rsid w:val="00230750"/>
    <w:rsid w:val="0023080F"/>
    <w:rsid w:val="0023094D"/>
    <w:rsid w:val="00230AD2"/>
    <w:rsid w:val="00230AF7"/>
    <w:rsid w:val="00230B13"/>
    <w:rsid w:val="00230B77"/>
    <w:rsid w:val="00230B9E"/>
    <w:rsid w:val="00230C62"/>
    <w:rsid w:val="00230DC5"/>
    <w:rsid w:val="00230DDE"/>
    <w:rsid w:val="00230DEA"/>
    <w:rsid w:val="00230DF2"/>
    <w:rsid w:val="00230E4B"/>
    <w:rsid w:val="00230EC2"/>
    <w:rsid w:val="00230FD2"/>
    <w:rsid w:val="00231053"/>
    <w:rsid w:val="0023106D"/>
    <w:rsid w:val="00231135"/>
    <w:rsid w:val="0023129E"/>
    <w:rsid w:val="002312A0"/>
    <w:rsid w:val="002312AF"/>
    <w:rsid w:val="002312FE"/>
    <w:rsid w:val="00231402"/>
    <w:rsid w:val="002315DF"/>
    <w:rsid w:val="002315EE"/>
    <w:rsid w:val="00231658"/>
    <w:rsid w:val="00231837"/>
    <w:rsid w:val="0023183C"/>
    <w:rsid w:val="0023195C"/>
    <w:rsid w:val="00231BE1"/>
    <w:rsid w:val="00231BF2"/>
    <w:rsid w:val="00231CBE"/>
    <w:rsid w:val="00231D45"/>
    <w:rsid w:val="00231E0A"/>
    <w:rsid w:val="00231E36"/>
    <w:rsid w:val="00231E3F"/>
    <w:rsid w:val="0023215E"/>
    <w:rsid w:val="00232269"/>
    <w:rsid w:val="00232328"/>
    <w:rsid w:val="002323A1"/>
    <w:rsid w:val="002323EA"/>
    <w:rsid w:val="0023241B"/>
    <w:rsid w:val="00232440"/>
    <w:rsid w:val="002324C5"/>
    <w:rsid w:val="002324DA"/>
    <w:rsid w:val="002325BE"/>
    <w:rsid w:val="0023260B"/>
    <w:rsid w:val="00232612"/>
    <w:rsid w:val="00232661"/>
    <w:rsid w:val="00232824"/>
    <w:rsid w:val="00232886"/>
    <w:rsid w:val="002329C1"/>
    <w:rsid w:val="00232A65"/>
    <w:rsid w:val="00232B24"/>
    <w:rsid w:val="00232B7A"/>
    <w:rsid w:val="00232B86"/>
    <w:rsid w:val="00232BD7"/>
    <w:rsid w:val="00232C3C"/>
    <w:rsid w:val="00232C9D"/>
    <w:rsid w:val="00232CB4"/>
    <w:rsid w:val="00232D26"/>
    <w:rsid w:val="00232D50"/>
    <w:rsid w:val="00232DFF"/>
    <w:rsid w:val="00232E20"/>
    <w:rsid w:val="00232ECB"/>
    <w:rsid w:val="00232F42"/>
    <w:rsid w:val="00232F69"/>
    <w:rsid w:val="00232F82"/>
    <w:rsid w:val="00232FB8"/>
    <w:rsid w:val="00232FBB"/>
    <w:rsid w:val="002330BA"/>
    <w:rsid w:val="00233468"/>
    <w:rsid w:val="002334B8"/>
    <w:rsid w:val="00233529"/>
    <w:rsid w:val="00233586"/>
    <w:rsid w:val="002335C7"/>
    <w:rsid w:val="00233638"/>
    <w:rsid w:val="0023363A"/>
    <w:rsid w:val="00233646"/>
    <w:rsid w:val="002338BB"/>
    <w:rsid w:val="00233979"/>
    <w:rsid w:val="00233A49"/>
    <w:rsid w:val="00233A91"/>
    <w:rsid w:val="00233AA9"/>
    <w:rsid w:val="00233AAD"/>
    <w:rsid w:val="00233ADB"/>
    <w:rsid w:val="00233B75"/>
    <w:rsid w:val="00233B7C"/>
    <w:rsid w:val="00233B90"/>
    <w:rsid w:val="00233B95"/>
    <w:rsid w:val="00233C1D"/>
    <w:rsid w:val="00233C36"/>
    <w:rsid w:val="00233D2F"/>
    <w:rsid w:val="00233DC2"/>
    <w:rsid w:val="00233F9A"/>
    <w:rsid w:val="002340AA"/>
    <w:rsid w:val="00234271"/>
    <w:rsid w:val="00234335"/>
    <w:rsid w:val="0023436A"/>
    <w:rsid w:val="00234407"/>
    <w:rsid w:val="00234500"/>
    <w:rsid w:val="002346D0"/>
    <w:rsid w:val="002346ED"/>
    <w:rsid w:val="00234746"/>
    <w:rsid w:val="00234958"/>
    <w:rsid w:val="00234A41"/>
    <w:rsid w:val="00234BB0"/>
    <w:rsid w:val="00234BD6"/>
    <w:rsid w:val="0023509E"/>
    <w:rsid w:val="002350DC"/>
    <w:rsid w:val="0023519F"/>
    <w:rsid w:val="002351D5"/>
    <w:rsid w:val="00235228"/>
    <w:rsid w:val="002353F7"/>
    <w:rsid w:val="002354BF"/>
    <w:rsid w:val="0023570D"/>
    <w:rsid w:val="0023577F"/>
    <w:rsid w:val="00235847"/>
    <w:rsid w:val="002359DF"/>
    <w:rsid w:val="00235A16"/>
    <w:rsid w:val="00235A1B"/>
    <w:rsid w:val="00235ABA"/>
    <w:rsid w:val="00235CBD"/>
    <w:rsid w:val="00235CBF"/>
    <w:rsid w:val="00235D26"/>
    <w:rsid w:val="00235DDA"/>
    <w:rsid w:val="00235E1F"/>
    <w:rsid w:val="00235EC2"/>
    <w:rsid w:val="00235ECE"/>
    <w:rsid w:val="00235F0B"/>
    <w:rsid w:val="00235F52"/>
    <w:rsid w:val="00235FBB"/>
    <w:rsid w:val="00235FBF"/>
    <w:rsid w:val="00235FFC"/>
    <w:rsid w:val="00236194"/>
    <w:rsid w:val="002361C2"/>
    <w:rsid w:val="002361D8"/>
    <w:rsid w:val="00236243"/>
    <w:rsid w:val="002363AA"/>
    <w:rsid w:val="002364FC"/>
    <w:rsid w:val="00236623"/>
    <w:rsid w:val="002366F2"/>
    <w:rsid w:val="002367A7"/>
    <w:rsid w:val="002368E4"/>
    <w:rsid w:val="00236959"/>
    <w:rsid w:val="00236A65"/>
    <w:rsid w:val="00236AD8"/>
    <w:rsid w:val="00236B76"/>
    <w:rsid w:val="00236BC0"/>
    <w:rsid w:val="00236C65"/>
    <w:rsid w:val="00236D4D"/>
    <w:rsid w:val="00236F52"/>
    <w:rsid w:val="00236F6B"/>
    <w:rsid w:val="00237014"/>
    <w:rsid w:val="002370B6"/>
    <w:rsid w:val="0023714A"/>
    <w:rsid w:val="002372C9"/>
    <w:rsid w:val="002372EE"/>
    <w:rsid w:val="00237365"/>
    <w:rsid w:val="002374EF"/>
    <w:rsid w:val="00237556"/>
    <w:rsid w:val="00237607"/>
    <w:rsid w:val="0023767E"/>
    <w:rsid w:val="002376B6"/>
    <w:rsid w:val="002377F7"/>
    <w:rsid w:val="0023789F"/>
    <w:rsid w:val="002378D4"/>
    <w:rsid w:val="002379A1"/>
    <w:rsid w:val="00237A77"/>
    <w:rsid w:val="00237BAD"/>
    <w:rsid w:val="00237C75"/>
    <w:rsid w:val="00237E97"/>
    <w:rsid w:val="00237FF3"/>
    <w:rsid w:val="00240059"/>
    <w:rsid w:val="002400B4"/>
    <w:rsid w:val="002400E4"/>
    <w:rsid w:val="002400F1"/>
    <w:rsid w:val="00240357"/>
    <w:rsid w:val="00240445"/>
    <w:rsid w:val="002405DC"/>
    <w:rsid w:val="0024065B"/>
    <w:rsid w:val="00240778"/>
    <w:rsid w:val="0024079F"/>
    <w:rsid w:val="00240812"/>
    <w:rsid w:val="0024082A"/>
    <w:rsid w:val="002408FE"/>
    <w:rsid w:val="00240953"/>
    <w:rsid w:val="0024095B"/>
    <w:rsid w:val="002409C3"/>
    <w:rsid w:val="00240A5E"/>
    <w:rsid w:val="00240A9A"/>
    <w:rsid w:val="00240BDC"/>
    <w:rsid w:val="00240BE5"/>
    <w:rsid w:val="00240C69"/>
    <w:rsid w:val="00240C93"/>
    <w:rsid w:val="00240CF3"/>
    <w:rsid w:val="00240E1F"/>
    <w:rsid w:val="00240ECA"/>
    <w:rsid w:val="00240EEE"/>
    <w:rsid w:val="00240F7A"/>
    <w:rsid w:val="002410B1"/>
    <w:rsid w:val="00241178"/>
    <w:rsid w:val="002411DA"/>
    <w:rsid w:val="00241202"/>
    <w:rsid w:val="002412AB"/>
    <w:rsid w:val="002413C2"/>
    <w:rsid w:val="002413FD"/>
    <w:rsid w:val="00241536"/>
    <w:rsid w:val="002415EF"/>
    <w:rsid w:val="00241671"/>
    <w:rsid w:val="00241678"/>
    <w:rsid w:val="00241690"/>
    <w:rsid w:val="002416F7"/>
    <w:rsid w:val="00241726"/>
    <w:rsid w:val="002417B7"/>
    <w:rsid w:val="00241827"/>
    <w:rsid w:val="002418CB"/>
    <w:rsid w:val="00241951"/>
    <w:rsid w:val="002419A7"/>
    <w:rsid w:val="00241A98"/>
    <w:rsid w:val="00241BB8"/>
    <w:rsid w:val="00241BE4"/>
    <w:rsid w:val="00241C5E"/>
    <w:rsid w:val="00241CDC"/>
    <w:rsid w:val="00241D2D"/>
    <w:rsid w:val="00241D4B"/>
    <w:rsid w:val="00241D8E"/>
    <w:rsid w:val="00241E19"/>
    <w:rsid w:val="00242074"/>
    <w:rsid w:val="002421B6"/>
    <w:rsid w:val="0024221D"/>
    <w:rsid w:val="00242357"/>
    <w:rsid w:val="002423B8"/>
    <w:rsid w:val="0024244F"/>
    <w:rsid w:val="00242501"/>
    <w:rsid w:val="00242638"/>
    <w:rsid w:val="002426B7"/>
    <w:rsid w:val="00242796"/>
    <w:rsid w:val="002427B8"/>
    <w:rsid w:val="0024282D"/>
    <w:rsid w:val="0024293C"/>
    <w:rsid w:val="00242A70"/>
    <w:rsid w:val="00242B44"/>
    <w:rsid w:val="00242C85"/>
    <w:rsid w:val="00242CAE"/>
    <w:rsid w:val="00242E8C"/>
    <w:rsid w:val="00242EC0"/>
    <w:rsid w:val="00242F09"/>
    <w:rsid w:val="00242FAF"/>
    <w:rsid w:val="0024304A"/>
    <w:rsid w:val="00243086"/>
    <w:rsid w:val="00243114"/>
    <w:rsid w:val="00243131"/>
    <w:rsid w:val="0024328D"/>
    <w:rsid w:val="0024329F"/>
    <w:rsid w:val="00243324"/>
    <w:rsid w:val="00243347"/>
    <w:rsid w:val="0024338C"/>
    <w:rsid w:val="0024356A"/>
    <w:rsid w:val="002435DB"/>
    <w:rsid w:val="00243642"/>
    <w:rsid w:val="00243674"/>
    <w:rsid w:val="002437E2"/>
    <w:rsid w:val="00243B6A"/>
    <w:rsid w:val="00243B78"/>
    <w:rsid w:val="00243D3A"/>
    <w:rsid w:val="00243F04"/>
    <w:rsid w:val="00243FBF"/>
    <w:rsid w:val="00243FD3"/>
    <w:rsid w:val="00243FEF"/>
    <w:rsid w:val="00244055"/>
    <w:rsid w:val="002440D9"/>
    <w:rsid w:val="002441B5"/>
    <w:rsid w:val="002441C5"/>
    <w:rsid w:val="002441DF"/>
    <w:rsid w:val="00244220"/>
    <w:rsid w:val="00244338"/>
    <w:rsid w:val="00244397"/>
    <w:rsid w:val="0024440F"/>
    <w:rsid w:val="00244435"/>
    <w:rsid w:val="00244445"/>
    <w:rsid w:val="00244535"/>
    <w:rsid w:val="0024458A"/>
    <w:rsid w:val="002446C1"/>
    <w:rsid w:val="002449AA"/>
    <w:rsid w:val="00244A84"/>
    <w:rsid w:val="00244AF3"/>
    <w:rsid w:val="00244BEB"/>
    <w:rsid w:val="00244C2E"/>
    <w:rsid w:val="00244CB0"/>
    <w:rsid w:val="00244DA9"/>
    <w:rsid w:val="00244E90"/>
    <w:rsid w:val="00244F92"/>
    <w:rsid w:val="00244FD7"/>
    <w:rsid w:val="00244FF9"/>
    <w:rsid w:val="00245128"/>
    <w:rsid w:val="00245164"/>
    <w:rsid w:val="002451A9"/>
    <w:rsid w:val="0024528C"/>
    <w:rsid w:val="00245452"/>
    <w:rsid w:val="002454C3"/>
    <w:rsid w:val="002454FD"/>
    <w:rsid w:val="00245502"/>
    <w:rsid w:val="002455A5"/>
    <w:rsid w:val="002455D5"/>
    <w:rsid w:val="002455F8"/>
    <w:rsid w:val="0024586B"/>
    <w:rsid w:val="002458E2"/>
    <w:rsid w:val="00245921"/>
    <w:rsid w:val="0024592E"/>
    <w:rsid w:val="00245A32"/>
    <w:rsid w:val="00245A6C"/>
    <w:rsid w:val="00245AFE"/>
    <w:rsid w:val="00245CF1"/>
    <w:rsid w:val="00245DA7"/>
    <w:rsid w:val="00245EF0"/>
    <w:rsid w:val="00245F1F"/>
    <w:rsid w:val="00246159"/>
    <w:rsid w:val="002461CE"/>
    <w:rsid w:val="002462DD"/>
    <w:rsid w:val="00246319"/>
    <w:rsid w:val="00246383"/>
    <w:rsid w:val="00246491"/>
    <w:rsid w:val="002465F0"/>
    <w:rsid w:val="002465F4"/>
    <w:rsid w:val="00246953"/>
    <w:rsid w:val="002469F5"/>
    <w:rsid w:val="00246A06"/>
    <w:rsid w:val="00246BDA"/>
    <w:rsid w:val="00246C66"/>
    <w:rsid w:val="00246CEA"/>
    <w:rsid w:val="00246D00"/>
    <w:rsid w:val="00246D30"/>
    <w:rsid w:val="00246DB4"/>
    <w:rsid w:val="00246E6D"/>
    <w:rsid w:val="00246E7D"/>
    <w:rsid w:val="00246E94"/>
    <w:rsid w:val="00246FC0"/>
    <w:rsid w:val="00246FDA"/>
    <w:rsid w:val="0024719C"/>
    <w:rsid w:val="002474EF"/>
    <w:rsid w:val="0024756E"/>
    <w:rsid w:val="00247774"/>
    <w:rsid w:val="002477C8"/>
    <w:rsid w:val="0024783B"/>
    <w:rsid w:val="002478D8"/>
    <w:rsid w:val="0024790F"/>
    <w:rsid w:val="00247917"/>
    <w:rsid w:val="00247A75"/>
    <w:rsid w:val="00247A84"/>
    <w:rsid w:val="00247BAB"/>
    <w:rsid w:val="00247C38"/>
    <w:rsid w:val="00247D84"/>
    <w:rsid w:val="00247D86"/>
    <w:rsid w:val="00247F46"/>
    <w:rsid w:val="00247F72"/>
    <w:rsid w:val="00247F9A"/>
    <w:rsid w:val="002500E9"/>
    <w:rsid w:val="00250175"/>
    <w:rsid w:val="0025039B"/>
    <w:rsid w:val="002504F0"/>
    <w:rsid w:val="002505D5"/>
    <w:rsid w:val="0025061A"/>
    <w:rsid w:val="002507DC"/>
    <w:rsid w:val="00250923"/>
    <w:rsid w:val="0025096B"/>
    <w:rsid w:val="002509F5"/>
    <w:rsid w:val="00250B6B"/>
    <w:rsid w:val="00250B97"/>
    <w:rsid w:val="00250BB1"/>
    <w:rsid w:val="00250BD7"/>
    <w:rsid w:val="00250C12"/>
    <w:rsid w:val="00250CC7"/>
    <w:rsid w:val="00250CFC"/>
    <w:rsid w:val="00250D83"/>
    <w:rsid w:val="00250E8D"/>
    <w:rsid w:val="00250F2D"/>
    <w:rsid w:val="0025109E"/>
    <w:rsid w:val="002511EF"/>
    <w:rsid w:val="002511FE"/>
    <w:rsid w:val="00251217"/>
    <w:rsid w:val="0025127A"/>
    <w:rsid w:val="0025140B"/>
    <w:rsid w:val="00251488"/>
    <w:rsid w:val="002514C9"/>
    <w:rsid w:val="002515C3"/>
    <w:rsid w:val="00251625"/>
    <w:rsid w:val="00251695"/>
    <w:rsid w:val="0025178E"/>
    <w:rsid w:val="0025180A"/>
    <w:rsid w:val="002518B6"/>
    <w:rsid w:val="002518BE"/>
    <w:rsid w:val="002518CF"/>
    <w:rsid w:val="00251C35"/>
    <w:rsid w:val="00251C3F"/>
    <w:rsid w:val="00251D66"/>
    <w:rsid w:val="00251E6C"/>
    <w:rsid w:val="00251F20"/>
    <w:rsid w:val="00251FD0"/>
    <w:rsid w:val="00252032"/>
    <w:rsid w:val="00252062"/>
    <w:rsid w:val="002520F0"/>
    <w:rsid w:val="0025222F"/>
    <w:rsid w:val="002522E2"/>
    <w:rsid w:val="00252322"/>
    <w:rsid w:val="0025241E"/>
    <w:rsid w:val="00252520"/>
    <w:rsid w:val="00252540"/>
    <w:rsid w:val="00252809"/>
    <w:rsid w:val="00252BCA"/>
    <w:rsid w:val="00252F93"/>
    <w:rsid w:val="0025301C"/>
    <w:rsid w:val="00253076"/>
    <w:rsid w:val="002531B4"/>
    <w:rsid w:val="002532AD"/>
    <w:rsid w:val="00253353"/>
    <w:rsid w:val="0025336A"/>
    <w:rsid w:val="00253412"/>
    <w:rsid w:val="00253428"/>
    <w:rsid w:val="0025344E"/>
    <w:rsid w:val="00253530"/>
    <w:rsid w:val="0025354C"/>
    <w:rsid w:val="0025359C"/>
    <w:rsid w:val="002535D0"/>
    <w:rsid w:val="0025364B"/>
    <w:rsid w:val="0025368D"/>
    <w:rsid w:val="0025372A"/>
    <w:rsid w:val="0025373C"/>
    <w:rsid w:val="002537F5"/>
    <w:rsid w:val="0025382E"/>
    <w:rsid w:val="00253928"/>
    <w:rsid w:val="002539BB"/>
    <w:rsid w:val="002539C2"/>
    <w:rsid w:val="00253AA7"/>
    <w:rsid w:val="00253AC0"/>
    <w:rsid w:val="00253B1D"/>
    <w:rsid w:val="00253D95"/>
    <w:rsid w:val="00253FA9"/>
    <w:rsid w:val="00254018"/>
    <w:rsid w:val="0025401E"/>
    <w:rsid w:val="002540CF"/>
    <w:rsid w:val="00254164"/>
    <w:rsid w:val="00254259"/>
    <w:rsid w:val="00254411"/>
    <w:rsid w:val="002544CE"/>
    <w:rsid w:val="0025468F"/>
    <w:rsid w:val="002546E6"/>
    <w:rsid w:val="0025475C"/>
    <w:rsid w:val="002547D6"/>
    <w:rsid w:val="0025481B"/>
    <w:rsid w:val="0025490B"/>
    <w:rsid w:val="0025493A"/>
    <w:rsid w:val="00254BB5"/>
    <w:rsid w:val="00254CDA"/>
    <w:rsid w:val="00254E3E"/>
    <w:rsid w:val="00254E59"/>
    <w:rsid w:val="00254E60"/>
    <w:rsid w:val="00255048"/>
    <w:rsid w:val="00255097"/>
    <w:rsid w:val="00255134"/>
    <w:rsid w:val="00255186"/>
    <w:rsid w:val="0025542A"/>
    <w:rsid w:val="002554A1"/>
    <w:rsid w:val="00255547"/>
    <w:rsid w:val="0025555E"/>
    <w:rsid w:val="00255603"/>
    <w:rsid w:val="00255619"/>
    <w:rsid w:val="002557A1"/>
    <w:rsid w:val="00255967"/>
    <w:rsid w:val="00255A5B"/>
    <w:rsid w:val="00255A86"/>
    <w:rsid w:val="00255B61"/>
    <w:rsid w:val="00255C5A"/>
    <w:rsid w:val="00255C6C"/>
    <w:rsid w:val="00255D15"/>
    <w:rsid w:val="00255D75"/>
    <w:rsid w:val="00255DC3"/>
    <w:rsid w:val="00255E04"/>
    <w:rsid w:val="00255E77"/>
    <w:rsid w:val="00256200"/>
    <w:rsid w:val="00256270"/>
    <w:rsid w:val="002562A3"/>
    <w:rsid w:val="002562B2"/>
    <w:rsid w:val="002563D7"/>
    <w:rsid w:val="00256605"/>
    <w:rsid w:val="00256751"/>
    <w:rsid w:val="0025679A"/>
    <w:rsid w:val="002567DD"/>
    <w:rsid w:val="00256805"/>
    <w:rsid w:val="00256869"/>
    <w:rsid w:val="002568A9"/>
    <w:rsid w:val="00256934"/>
    <w:rsid w:val="00256A1F"/>
    <w:rsid w:val="00256A57"/>
    <w:rsid w:val="00256A65"/>
    <w:rsid w:val="00256B7B"/>
    <w:rsid w:val="00256BB5"/>
    <w:rsid w:val="00256BCF"/>
    <w:rsid w:val="00256BE6"/>
    <w:rsid w:val="00256D27"/>
    <w:rsid w:val="00256D89"/>
    <w:rsid w:val="00256E1A"/>
    <w:rsid w:val="00257093"/>
    <w:rsid w:val="002570D8"/>
    <w:rsid w:val="0025715A"/>
    <w:rsid w:val="0025718E"/>
    <w:rsid w:val="002571D7"/>
    <w:rsid w:val="0025724B"/>
    <w:rsid w:val="0025728B"/>
    <w:rsid w:val="00257291"/>
    <w:rsid w:val="002572B1"/>
    <w:rsid w:val="00257374"/>
    <w:rsid w:val="002573E0"/>
    <w:rsid w:val="00257549"/>
    <w:rsid w:val="002575B0"/>
    <w:rsid w:val="002576A2"/>
    <w:rsid w:val="00257827"/>
    <w:rsid w:val="002579BA"/>
    <w:rsid w:val="00257A93"/>
    <w:rsid w:val="00257A9D"/>
    <w:rsid w:val="00257C3B"/>
    <w:rsid w:val="00257D34"/>
    <w:rsid w:val="00257DC3"/>
    <w:rsid w:val="00257E9A"/>
    <w:rsid w:val="00257EBB"/>
    <w:rsid w:val="00257FD4"/>
    <w:rsid w:val="0026003B"/>
    <w:rsid w:val="002600C1"/>
    <w:rsid w:val="002600EF"/>
    <w:rsid w:val="00260101"/>
    <w:rsid w:val="00260122"/>
    <w:rsid w:val="0026012A"/>
    <w:rsid w:val="00260367"/>
    <w:rsid w:val="002604EE"/>
    <w:rsid w:val="00260518"/>
    <w:rsid w:val="00260529"/>
    <w:rsid w:val="0026052A"/>
    <w:rsid w:val="00260659"/>
    <w:rsid w:val="002606AF"/>
    <w:rsid w:val="00260779"/>
    <w:rsid w:val="002607FC"/>
    <w:rsid w:val="002608AC"/>
    <w:rsid w:val="00260935"/>
    <w:rsid w:val="0026096F"/>
    <w:rsid w:val="002609A3"/>
    <w:rsid w:val="00260BD3"/>
    <w:rsid w:val="00260BE9"/>
    <w:rsid w:val="00260C15"/>
    <w:rsid w:val="00260D7B"/>
    <w:rsid w:val="00260F58"/>
    <w:rsid w:val="002611B4"/>
    <w:rsid w:val="002612FF"/>
    <w:rsid w:val="0026137A"/>
    <w:rsid w:val="002613FE"/>
    <w:rsid w:val="0026140B"/>
    <w:rsid w:val="0026148F"/>
    <w:rsid w:val="00261641"/>
    <w:rsid w:val="0026164E"/>
    <w:rsid w:val="002616C3"/>
    <w:rsid w:val="0026178F"/>
    <w:rsid w:val="002617C4"/>
    <w:rsid w:val="0026187F"/>
    <w:rsid w:val="00261947"/>
    <w:rsid w:val="0026199A"/>
    <w:rsid w:val="00261BC4"/>
    <w:rsid w:val="00261DFE"/>
    <w:rsid w:val="00261E66"/>
    <w:rsid w:val="00261ED2"/>
    <w:rsid w:val="00261F28"/>
    <w:rsid w:val="00262003"/>
    <w:rsid w:val="00262016"/>
    <w:rsid w:val="002620E4"/>
    <w:rsid w:val="002621CC"/>
    <w:rsid w:val="00262232"/>
    <w:rsid w:val="00262305"/>
    <w:rsid w:val="0026234C"/>
    <w:rsid w:val="00262389"/>
    <w:rsid w:val="00262651"/>
    <w:rsid w:val="002627C1"/>
    <w:rsid w:val="002629E6"/>
    <w:rsid w:val="00262B66"/>
    <w:rsid w:val="00262B68"/>
    <w:rsid w:val="00262CCC"/>
    <w:rsid w:val="00262CE8"/>
    <w:rsid w:val="00262D9B"/>
    <w:rsid w:val="00263088"/>
    <w:rsid w:val="002630D9"/>
    <w:rsid w:val="002631CF"/>
    <w:rsid w:val="00263283"/>
    <w:rsid w:val="00263344"/>
    <w:rsid w:val="00263491"/>
    <w:rsid w:val="00263554"/>
    <w:rsid w:val="0026362A"/>
    <w:rsid w:val="00263671"/>
    <w:rsid w:val="00263723"/>
    <w:rsid w:val="0026372B"/>
    <w:rsid w:val="00263914"/>
    <w:rsid w:val="00263A39"/>
    <w:rsid w:val="00263C3B"/>
    <w:rsid w:val="00263C3E"/>
    <w:rsid w:val="00263D6B"/>
    <w:rsid w:val="00263DBE"/>
    <w:rsid w:val="00263E7C"/>
    <w:rsid w:val="00263EEE"/>
    <w:rsid w:val="00263F9A"/>
    <w:rsid w:val="00263FB6"/>
    <w:rsid w:val="00264037"/>
    <w:rsid w:val="00264065"/>
    <w:rsid w:val="0026413F"/>
    <w:rsid w:val="00264350"/>
    <w:rsid w:val="00264365"/>
    <w:rsid w:val="002647AB"/>
    <w:rsid w:val="002649ED"/>
    <w:rsid w:val="00264A7E"/>
    <w:rsid w:val="00264AC1"/>
    <w:rsid w:val="00264B12"/>
    <w:rsid w:val="00264BCB"/>
    <w:rsid w:val="00264D52"/>
    <w:rsid w:val="00264F5A"/>
    <w:rsid w:val="002650FF"/>
    <w:rsid w:val="002652D7"/>
    <w:rsid w:val="00265337"/>
    <w:rsid w:val="002653C4"/>
    <w:rsid w:val="0026547E"/>
    <w:rsid w:val="00265488"/>
    <w:rsid w:val="002654BE"/>
    <w:rsid w:val="002654CD"/>
    <w:rsid w:val="0026559B"/>
    <w:rsid w:val="002658C2"/>
    <w:rsid w:val="00265A20"/>
    <w:rsid w:val="00265D9C"/>
    <w:rsid w:val="00265E40"/>
    <w:rsid w:val="00265E48"/>
    <w:rsid w:val="00265F57"/>
    <w:rsid w:val="00265F65"/>
    <w:rsid w:val="0026609E"/>
    <w:rsid w:val="0026617B"/>
    <w:rsid w:val="002662ED"/>
    <w:rsid w:val="002662F5"/>
    <w:rsid w:val="00266419"/>
    <w:rsid w:val="00266624"/>
    <w:rsid w:val="00266700"/>
    <w:rsid w:val="00266713"/>
    <w:rsid w:val="00266791"/>
    <w:rsid w:val="002667CE"/>
    <w:rsid w:val="0026681D"/>
    <w:rsid w:val="0026686F"/>
    <w:rsid w:val="00266953"/>
    <w:rsid w:val="00266970"/>
    <w:rsid w:val="00266984"/>
    <w:rsid w:val="00266AA3"/>
    <w:rsid w:val="00266AD5"/>
    <w:rsid w:val="00266B6D"/>
    <w:rsid w:val="00266C61"/>
    <w:rsid w:val="00266D09"/>
    <w:rsid w:val="00267173"/>
    <w:rsid w:val="002671F3"/>
    <w:rsid w:val="0026733C"/>
    <w:rsid w:val="00267392"/>
    <w:rsid w:val="002673E0"/>
    <w:rsid w:val="002676C4"/>
    <w:rsid w:val="0026770A"/>
    <w:rsid w:val="00267769"/>
    <w:rsid w:val="002677BB"/>
    <w:rsid w:val="00267839"/>
    <w:rsid w:val="002678C7"/>
    <w:rsid w:val="0026792E"/>
    <w:rsid w:val="00267942"/>
    <w:rsid w:val="00267943"/>
    <w:rsid w:val="00267A8C"/>
    <w:rsid w:val="00267ADC"/>
    <w:rsid w:val="00267B96"/>
    <w:rsid w:val="00267C0B"/>
    <w:rsid w:val="00267C38"/>
    <w:rsid w:val="00267CAC"/>
    <w:rsid w:val="00267CC7"/>
    <w:rsid w:val="00267DC1"/>
    <w:rsid w:val="00267E06"/>
    <w:rsid w:val="00267E1E"/>
    <w:rsid w:val="00267E43"/>
    <w:rsid w:val="00267E4B"/>
    <w:rsid w:val="00267E60"/>
    <w:rsid w:val="00267ED1"/>
    <w:rsid w:val="00267F14"/>
    <w:rsid w:val="00267F5E"/>
    <w:rsid w:val="00267F79"/>
    <w:rsid w:val="00267FFD"/>
    <w:rsid w:val="00270009"/>
    <w:rsid w:val="00270152"/>
    <w:rsid w:val="0027016E"/>
    <w:rsid w:val="002701C1"/>
    <w:rsid w:val="002701D0"/>
    <w:rsid w:val="00270297"/>
    <w:rsid w:val="00270611"/>
    <w:rsid w:val="00270646"/>
    <w:rsid w:val="002707CE"/>
    <w:rsid w:val="00270885"/>
    <w:rsid w:val="0027089F"/>
    <w:rsid w:val="002709F6"/>
    <w:rsid w:val="00270A13"/>
    <w:rsid w:val="00270AB4"/>
    <w:rsid w:val="00270AEF"/>
    <w:rsid w:val="00270B57"/>
    <w:rsid w:val="00270C4F"/>
    <w:rsid w:val="00270C66"/>
    <w:rsid w:val="00270D63"/>
    <w:rsid w:val="00270D89"/>
    <w:rsid w:val="0027116B"/>
    <w:rsid w:val="002711B8"/>
    <w:rsid w:val="002711D0"/>
    <w:rsid w:val="00271229"/>
    <w:rsid w:val="00271230"/>
    <w:rsid w:val="0027126A"/>
    <w:rsid w:val="002712EF"/>
    <w:rsid w:val="00271336"/>
    <w:rsid w:val="00271347"/>
    <w:rsid w:val="002713B2"/>
    <w:rsid w:val="00271620"/>
    <w:rsid w:val="00271654"/>
    <w:rsid w:val="002717BC"/>
    <w:rsid w:val="0027184F"/>
    <w:rsid w:val="0027187E"/>
    <w:rsid w:val="002718AD"/>
    <w:rsid w:val="00271903"/>
    <w:rsid w:val="00271949"/>
    <w:rsid w:val="00271AE8"/>
    <w:rsid w:val="00271B32"/>
    <w:rsid w:val="00271C28"/>
    <w:rsid w:val="00271CCF"/>
    <w:rsid w:val="00271CD3"/>
    <w:rsid w:val="00271D1F"/>
    <w:rsid w:val="00271D85"/>
    <w:rsid w:val="00271FDD"/>
    <w:rsid w:val="0027200A"/>
    <w:rsid w:val="00272012"/>
    <w:rsid w:val="00272065"/>
    <w:rsid w:val="0027209F"/>
    <w:rsid w:val="002720E0"/>
    <w:rsid w:val="0027247A"/>
    <w:rsid w:val="0027256D"/>
    <w:rsid w:val="002725B1"/>
    <w:rsid w:val="002725B9"/>
    <w:rsid w:val="002725DE"/>
    <w:rsid w:val="002725FC"/>
    <w:rsid w:val="0027270E"/>
    <w:rsid w:val="00272749"/>
    <w:rsid w:val="00272826"/>
    <w:rsid w:val="00272865"/>
    <w:rsid w:val="002729B7"/>
    <w:rsid w:val="002729E4"/>
    <w:rsid w:val="00272A1C"/>
    <w:rsid w:val="00272A87"/>
    <w:rsid w:val="00272B13"/>
    <w:rsid w:val="00272DF5"/>
    <w:rsid w:val="00272EAD"/>
    <w:rsid w:val="002730D8"/>
    <w:rsid w:val="002731F1"/>
    <w:rsid w:val="00273209"/>
    <w:rsid w:val="00273210"/>
    <w:rsid w:val="002732B6"/>
    <w:rsid w:val="00273358"/>
    <w:rsid w:val="002733AA"/>
    <w:rsid w:val="00273483"/>
    <w:rsid w:val="00273554"/>
    <w:rsid w:val="00273587"/>
    <w:rsid w:val="0027366A"/>
    <w:rsid w:val="002736DC"/>
    <w:rsid w:val="00273753"/>
    <w:rsid w:val="00273827"/>
    <w:rsid w:val="00273881"/>
    <w:rsid w:val="002738D9"/>
    <w:rsid w:val="0027395F"/>
    <w:rsid w:val="002739E2"/>
    <w:rsid w:val="00273A8A"/>
    <w:rsid w:val="00273AB7"/>
    <w:rsid w:val="00273B64"/>
    <w:rsid w:val="00273BD7"/>
    <w:rsid w:val="00273C64"/>
    <w:rsid w:val="00273D91"/>
    <w:rsid w:val="00273FB2"/>
    <w:rsid w:val="0027406F"/>
    <w:rsid w:val="0027411E"/>
    <w:rsid w:val="00274149"/>
    <w:rsid w:val="0027434C"/>
    <w:rsid w:val="002743ED"/>
    <w:rsid w:val="00274433"/>
    <w:rsid w:val="00274478"/>
    <w:rsid w:val="00274544"/>
    <w:rsid w:val="002745F9"/>
    <w:rsid w:val="002746E7"/>
    <w:rsid w:val="00274816"/>
    <w:rsid w:val="002749C5"/>
    <w:rsid w:val="00274A67"/>
    <w:rsid w:val="00274AB2"/>
    <w:rsid w:val="00274C63"/>
    <w:rsid w:val="00274D28"/>
    <w:rsid w:val="00274DBE"/>
    <w:rsid w:val="00274DD0"/>
    <w:rsid w:val="00274E7B"/>
    <w:rsid w:val="00274EB2"/>
    <w:rsid w:val="00274F83"/>
    <w:rsid w:val="0027500E"/>
    <w:rsid w:val="002750C6"/>
    <w:rsid w:val="0027512F"/>
    <w:rsid w:val="002752ED"/>
    <w:rsid w:val="0027531C"/>
    <w:rsid w:val="00275381"/>
    <w:rsid w:val="0027540D"/>
    <w:rsid w:val="002755CB"/>
    <w:rsid w:val="0027569C"/>
    <w:rsid w:val="0027577B"/>
    <w:rsid w:val="0027584F"/>
    <w:rsid w:val="0027599A"/>
    <w:rsid w:val="00275A20"/>
    <w:rsid w:val="00275B7B"/>
    <w:rsid w:val="00275B93"/>
    <w:rsid w:val="00275BB7"/>
    <w:rsid w:val="00275BFD"/>
    <w:rsid w:val="00275C90"/>
    <w:rsid w:val="00275CA1"/>
    <w:rsid w:val="00275D05"/>
    <w:rsid w:val="00275FC4"/>
    <w:rsid w:val="0027606A"/>
    <w:rsid w:val="0027606E"/>
    <w:rsid w:val="00276076"/>
    <w:rsid w:val="002760A3"/>
    <w:rsid w:val="0027611F"/>
    <w:rsid w:val="00276171"/>
    <w:rsid w:val="00276182"/>
    <w:rsid w:val="0027655F"/>
    <w:rsid w:val="00276582"/>
    <w:rsid w:val="002765A1"/>
    <w:rsid w:val="0027666D"/>
    <w:rsid w:val="00276757"/>
    <w:rsid w:val="002768DD"/>
    <w:rsid w:val="00276961"/>
    <w:rsid w:val="002769C3"/>
    <w:rsid w:val="00276A16"/>
    <w:rsid w:val="00276A31"/>
    <w:rsid w:val="00276A6E"/>
    <w:rsid w:val="00276AB0"/>
    <w:rsid w:val="00276AD1"/>
    <w:rsid w:val="00276B45"/>
    <w:rsid w:val="00276CD9"/>
    <w:rsid w:val="00276DC6"/>
    <w:rsid w:val="00276F14"/>
    <w:rsid w:val="0027704D"/>
    <w:rsid w:val="00277082"/>
    <w:rsid w:val="00277236"/>
    <w:rsid w:val="00277332"/>
    <w:rsid w:val="0027736B"/>
    <w:rsid w:val="0027741E"/>
    <w:rsid w:val="00277561"/>
    <w:rsid w:val="002775FC"/>
    <w:rsid w:val="00277608"/>
    <w:rsid w:val="0027773C"/>
    <w:rsid w:val="0027774D"/>
    <w:rsid w:val="0027789A"/>
    <w:rsid w:val="002778D2"/>
    <w:rsid w:val="00277A16"/>
    <w:rsid w:val="00277B05"/>
    <w:rsid w:val="00277B40"/>
    <w:rsid w:val="00277BAF"/>
    <w:rsid w:val="00277BC3"/>
    <w:rsid w:val="00277E42"/>
    <w:rsid w:val="00277ED4"/>
    <w:rsid w:val="0028002F"/>
    <w:rsid w:val="0028003F"/>
    <w:rsid w:val="0028019B"/>
    <w:rsid w:val="002801CC"/>
    <w:rsid w:val="002801E5"/>
    <w:rsid w:val="002802B6"/>
    <w:rsid w:val="00280332"/>
    <w:rsid w:val="00280469"/>
    <w:rsid w:val="0028070A"/>
    <w:rsid w:val="002807E5"/>
    <w:rsid w:val="00280809"/>
    <w:rsid w:val="00280811"/>
    <w:rsid w:val="002808D6"/>
    <w:rsid w:val="00280917"/>
    <w:rsid w:val="00280AD2"/>
    <w:rsid w:val="00280B22"/>
    <w:rsid w:val="00280DAC"/>
    <w:rsid w:val="00280F14"/>
    <w:rsid w:val="00281027"/>
    <w:rsid w:val="00281041"/>
    <w:rsid w:val="002810CB"/>
    <w:rsid w:val="00281113"/>
    <w:rsid w:val="00281134"/>
    <w:rsid w:val="0028131C"/>
    <w:rsid w:val="0028139C"/>
    <w:rsid w:val="002814C6"/>
    <w:rsid w:val="00281678"/>
    <w:rsid w:val="0028173C"/>
    <w:rsid w:val="002817E0"/>
    <w:rsid w:val="00281824"/>
    <w:rsid w:val="0028195B"/>
    <w:rsid w:val="002819B3"/>
    <w:rsid w:val="002819E3"/>
    <w:rsid w:val="00281AC1"/>
    <w:rsid w:val="00281AE6"/>
    <w:rsid w:val="00281AF4"/>
    <w:rsid w:val="00281BB8"/>
    <w:rsid w:val="00281CC5"/>
    <w:rsid w:val="00281D1E"/>
    <w:rsid w:val="00281E5F"/>
    <w:rsid w:val="00281ED3"/>
    <w:rsid w:val="00281F38"/>
    <w:rsid w:val="00281F67"/>
    <w:rsid w:val="00282091"/>
    <w:rsid w:val="002820CB"/>
    <w:rsid w:val="0028216A"/>
    <w:rsid w:val="0028217F"/>
    <w:rsid w:val="002822E3"/>
    <w:rsid w:val="0028252C"/>
    <w:rsid w:val="00282577"/>
    <w:rsid w:val="00282722"/>
    <w:rsid w:val="002827AE"/>
    <w:rsid w:val="00282847"/>
    <w:rsid w:val="0028286A"/>
    <w:rsid w:val="00282956"/>
    <w:rsid w:val="00282999"/>
    <w:rsid w:val="002829F1"/>
    <w:rsid w:val="00282A04"/>
    <w:rsid w:val="00282A3F"/>
    <w:rsid w:val="00282B51"/>
    <w:rsid w:val="00282B6D"/>
    <w:rsid w:val="00282BC8"/>
    <w:rsid w:val="00282C04"/>
    <w:rsid w:val="00282CDA"/>
    <w:rsid w:val="00282F59"/>
    <w:rsid w:val="00283008"/>
    <w:rsid w:val="00283097"/>
    <w:rsid w:val="002830BB"/>
    <w:rsid w:val="002830DC"/>
    <w:rsid w:val="0028310E"/>
    <w:rsid w:val="00283172"/>
    <w:rsid w:val="002832A3"/>
    <w:rsid w:val="002832AC"/>
    <w:rsid w:val="002832C4"/>
    <w:rsid w:val="002832D2"/>
    <w:rsid w:val="002832D5"/>
    <w:rsid w:val="00283369"/>
    <w:rsid w:val="002833F8"/>
    <w:rsid w:val="002835DC"/>
    <w:rsid w:val="002836DE"/>
    <w:rsid w:val="002836EF"/>
    <w:rsid w:val="00283827"/>
    <w:rsid w:val="00283A18"/>
    <w:rsid w:val="00283A43"/>
    <w:rsid w:val="00283A5E"/>
    <w:rsid w:val="00283A7A"/>
    <w:rsid w:val="00283B09"/>
    <w:rsid w:val="00283C09"/>
    <w:rsid w:val="00283C25"/>
    <w:rsid w:val="00283CB2"/>
    <w:rsid w:val="00283D9A"/>
    <w:rsid w:val="00283E25"/>
    <w:rsid w:val="00283F71"/>
    <w:rsid w:val="002840E6"/>
    <w:rsid w:val="002841E5"/>
    <w:rsid w:val="002841F9"/>
    <w:rsid w:val="00284242"/>
    <w:rsid w:val="0028427C"/>
    <w:rsid w:val="002842E2"/>
    <w:rsid w:val="00284301"/>
    <w:rsid w:val="00284410"/>
    <w:rsid w:val="00284460"/>
    <w:rsid w:val="00284495"/>
    <w:rsid w:val="002844E2"/>
    <w:rsid w:val="00284574"/>
    <w:rsid w:val="002845F7"/>
    <w:rsid w:val="00284601"/>
    <w:rsid w:val="00284648"/>
    <w:rsid w:val="002846BE"/>
    <w:rsid w:val="002846EF"/>
    <w:rsid w:val="00284718"/>
    <w:rsid w:val="00284730"/>
    <w:rsid w:val="0028497C"/>
    <w:rsid w:val="00284C41"/>
    <w:rsid w:val="00284C89"/>
    <w:rsid w:val="00284E98"/>
    <w:rsid w:val="00284E9A"/>
    <w:rsid w:val="00284F22"/>
    <w:rsid w:val="00284F7A"/>
    <w:rsid w:val="00285077"/>
    <w:rsid w:val="00285128"/>
    <w:rsid w:val="00285140"/>
    <w:rsid w:val="0028517C"/>
    <w:rsid w:val="002851E2"/>
    <w:rsid w:val="002852C5"/>
    <w:rsid w:val="002852E1"/>
    <w:rsid w:val="00285508"/>
    <w:rsid w:val="00285633"/>
    <w:rsid w:val="00285683"/>
    <w:rsid w:val="0028591E"/>
    <w:rsid w:val="0028598C"/>
    <w:rsid w:val="00285A04"/>
    <w:rsid w:val="00285B22"/>
    <w:rsid w:val="00285B7F"/>
    <w:rsid w:val="00285BB6"/>
    <w:rsid w:val="00285BD5"/>
    <w:rsid w:val="00285D30"/>
    <w:rsid w:val="00285E77"/>
    <w:rsid w:val="00285F9A"/>
    <w:rsid w:val="00286164"/>
    <w:rsid w:val="0028617C"/>
    <w:rsid w:val="002861AC"/>
    <w:rsid w:val="002861D6"/>
    <w:rsid w:val="00286213"/>
    <w:rsid w:val="00286255"/>
    <w:rsid w:val="00286391"/>
    <w:rsid w:val="00286654"/>
    <w:rsid w:val="00286734"/>
    <w:rsid w:val="00286769"/>
    <w:rsid w:val="002867CB"/>
    <w:rsid w:val="0028681B"/>
    <w:rsid w:val="0028686D"/>
    <w:rsid w:val="00286873"/>
    <w:rsid w:val="00286A93"/>
    <w:rsid w:val="00286BAB"/>
    <w:rsid w:val="00286C6C"/>
    <w:rsid w:val="00286C87"/>
    <w:rsid w:val="00286C99"/>
    <w:rsid w:val="00286D86"/>
    <w:rsid w:val="002872C2"/>
    <w:rsid w:val="002872C9"/>
    <w:rsid w:val="0028745A"/>
    <w:rsid w:val="00287478"/>
    <w:rsid w:val="00287546"/>
    <w:rsid w:val="002875D4"/>
    <w:rsid w:val="0028786F"/>
    <w:rsid w:val="00287B15"/>
    <w:rsid w:val="00287C63"/>
    <w:rsid w:val="00287D0E"/>
    <w:rsid w:val="00287DEE"/>
    <w:rsid w:val="00287DFF"/>
    <w:rsid w:val="00287E88"/>
    <w:rsid w:val="0029000E"/>
    <w:rsid w:val="002900AA"/>
    <w:rsid w:val="002900C9"/>
    <w:rsid w:val="002900D2"/>
    <w:rsid w:val="0029015D"/>
    <w:rsid w:val="00290171"/>
    <w:rsid w:val="002901D7"/>
    <w:rsid w:val="002902AB"/>
    <w:rsid w:val="002903CE"/>
    <w:rsid w:val="002904CE"/>
    <w:rsid w:val="0029050D"/>
    <w:rsid w:val="00290518"/>
    <w:rsid w:val="00290830"/>
    <w:rsid w:val="00290B9C"/>
    <w:rsid w:val="00290BD6"/>
    <w:rsid w:val="00290C27"/>
    <w:rsid w:val="00290C70"/>
    <w:rsid w:val="00290C97"/>
    <w:rsid w:val="00290E30"/>
    <w:rsid w:val="00290EE3"/>
    <w:rsid w:val="002910A5"/>
    <w:rsid w:val="00291127"/>
    <w:rsid w:val="0029118D"/>
    <w:rsid w:val="002911A6"/>
    <w:rsid w:val="002912B9"/>
    <w:rsid w:val="002912C3"/>
    <w:rsid w:val="002912D8"/>
    <w:rsid w:val="002913C1"/>
    <w:rsid w:val="0029150A"/>
    <w:rsid w:val="0029157B"/>
    <w:rsid w:val="002916B5"/>
    <w:rsid w:val="0029183D"/>
    <w:rsid w:val="0029194A"/>
    <w:rsid w:val="002919DD"/>
    <w:rsid w:val="00291B4A"/>
    <w:rsid w:val="00291BC2"/>
    <w:rsid w:val="00291C10"/>
    <w:rsid w:val="00291D17"/>
    <w:rsid w:val="00291DE2"/>
    <w:rsid w:val="00291EBD"/>
    <w:rsid w:val="00291EE3"/>
    <w:rsid w:val="00291EE6"/>
    <w:rsid w:val="00291FCC"/>
    <w:rsid w:val="0029200F"/>
    <w:rsid w:val="0029208D"/>
    <w:rsid w:val="00292188"/>
    <w:rsid w:val="002921BC"/>
    <w:rsid w:val="00292380"/>
    <w:rsid w:val="00292444"/>
    <w:rsid w:val="00292455"/>
    <w:rsid w:val="0029253E"/>
    <w:rsid w:val="002925A1"/>
    <w:rsid w:val="0029262A"/>
    <w:rsid w:val="00292709"/>
    <w:rsid w:val="00292868"/>
    <w:rsid w:val="002929B1"/>
    <w:rsid w:val="002929C0"/>
    <w:rsid w:val="002929C7"/>
    <w:rsid w:val="00292A57"/>
    <w:rsid w:val="00292B40"/>
    <w:rsid w:val="00292C42"/>
    <w:rsid w:val="00292C52"/>
    <w:rsid w:val="00292D34"/>
    <w:rsid w:val="00292EA2"/>
    <w:rsid w:val="00292EC5"/>
    <w:rsid w:val="00292FEA"/>
    <w:rsid w:val="0029302E"/>
    <w:rsid w:val="0029334A"/>
    <w:rsid w:val="002933C1"/>
    <w:rsid w:val="00293410"/>
    <w:rsid w:val="0029342E"/>
    <w:rsid w:val="00293600"/>
    <w:rsid w:val="0029368D"/>
    <w:rsid w:val="002936F9"/>
    <w:rsid w:val="00293725"/>
    <w:rsid w:val="0029373F"/>
    <w:rsid w:val="002937A7"/>
    <w:rsid w:val="00293849"/>
    <w:rsid w:val="002938A2"/>
    <w:rsid w:val="00293A5A"/>
    <w:rsid w:val="00293B38"/>
    <w:rsid w:val="00293B9E"/>
    <w:rsid w:val="00293CF9"/>
    <w:rsid w:val="00293D1F"/>
    <w:rsid w:val="00293D7C"/>
    <w:rsid w:val="00293DA0"/>
    <w:rsid w:val="00293E43"/>
    <w:rsid w:val="00293F26"/>
    <w:rsid w:val="0029403F"/>
    <w:rsid w:val="00294087"/>
    <w:rsid w:val="002940A6"/>
    <w:rsid w:val="00294191"/>
    <w:rsid w:val="0029419F"/>
    <w:rsid w:val="002941DF"/>
    <w:rsid w:val="002941E4"/>
    <w:rsid w:val="002942D2"/>
    <w:rsid w:val="00294362"/>
    <w:rsid w:val="0029439B"/>
    <w:rsid w:val="002943C9"/>
    <w:rsid w:val="00294603"/>
    <w:rsid w:val="00294609"/>
    <w:rsid w:val="00294687"/>
    <w:rsid w:val="0029481B"/>
    <w:rsid w:val="00294863"/>
    <w:rsid w:val="00294A72"/>
    <w:rsid w:val="00294A92"/>
    <w:rsid w:val="00294B23"/>
    <w:rsid w:val="00294C20"/>
    <w:rsid w:val="00294E63"/>
    <w:rsid w:val="00294F65"/>
    <w:rsid w:val="00295028"/>
    <w:rsid w:val="0029519C"/>
    <w:rsid w:val="00295224"/>
    <w:rsid w:val="002952A0"/>
    <w:rsid w:val="002952E8"/>
    <w:rsid w:val="00295365"/>
    <w:rsid w:val="0029547A"/>
    <w:rsid w:val="002954E7"/>
    <w:rsid w:val="00295508"/>
    <w:rsid w:val="00295515"/>
    <w:rsid w:val="00295574"/>
    <w:rsid w:val="002955B5"/>
    <w:rsid w:val="00295604"/>
    <w:rsid w:val="0029560F"/>
    <w:rsid w:val="0029561A"/>
    <w:rsid w:val="0029566F"/>
    <w:rsid w:val="002956B8"/>
    <w:rsid w:val="0029570B"/>
    <w:rsid w:val="00295723"/>
    <w:rsid w:val="00295792"/>
    <w:rsid w:val="00295803"/>
    <w:rsid w:val="00295829"/>
    <w:rsid w:val="0029585F"/>
    <w:rsid w:val="002958AE"/>
    <w:rsid w:val="002959C3"/>
    <w:rsid w:val="00295A70"/>
    <w:rsid w:val="00295AAB"/>
    <w:rsid w:val="00295AB9"/>
    <w:rsid w:val="00295C37"/>
    <w:rsid w:val="00295C8D"/>
    <w:rsid w:val="00295CAC"/>
    <w:rsid w:val="00295D74"/>
    <w:rsid w:val="00295E22"/>
    <w:rsid w:val="00295E6A"/>
    <w:rsid w:val="00295E6C"/>
    <w:rsid w:val="00296102"/>
    <w:rsid w:val="002961ED"/>
    <w:rsid w:val="002961FB"/>
    <w:rsid w:val="002964E0"/>
    <w:rsid w:val="002964F7"/>
    <w:rsid w:val="002966B7"/>
    <w:rsid w:val="0029677C"/>
    <w:rsid w:val="002967A4"/>
    <w:rsid w:val="00296815"/>
    <w:rsid w:val="0029681D"/>
    <w:rsid w:val="00296823"/>
    <w:rsid w:val="002968AD"/>
    <w:rsid w:val="002968EB"/>
    <w:rsid w:val="0029692F"/>
    <w:rsid w:val="0029696A"/>
    <w:rsid w:val="00296ABC"/>
    <w:rsid w:val="00296AE9"/>
    <w:rsid w:val="00296AF7"/>
    <w:rsid w:val="00296C34"/>
    <w:rsid w:val="00296D1E"/>
    <w:rsid w:val="00296EC7"/>
    <w:rsid w:val="00296F3C"/>
    <w:rsid w:val="00296F59"/>
    <w:rsid w:val="00297110"/>
    <w:rsid w:val="0029718C"/>
    <w:rsid w:val="00297198"/>
    <w:rsid w:val="002971C9"/>
    <w:rsid w:val="002971EF"/>
    <w:rsid w:val="00297204"/>
    <w:rsid w:val="00297239"/>
    <w:rsid w:val="002972F7"/>
    <w:rsid w:val="00297461"/>
    <w:rsid w:val="00297497"/>
    <w:rsid w:val="002974C7"/>
    <w:rsid w:val="0029761F"/>
    <w:rsid w:val="00297760"/>
    <w:rsid w:val="002977A0"/>
    <w:rsid w:val="00297906"/>
    <w:rsid w:val="00297A43"/>
    <w:rsid w:val="00297BC5"/>
    <w:rsid w:val="00297F0C"/>
    <w:rsid w:val="00297FED"/>
    <w:rsid w:val="002A0069"/>
    <w:rsid w:val="002A0157"/>
    <w:rsid w:val="002A0309"/>
    <w:rsid w:val="002A03CF"/>
    <w:rsid w:val="002A0435"/>
    <w:rsid w:val="002A0475"/>
    <w:rsid w:val="002A0503"/>
    <w:rsid w:val="002A0544"/>
    <w:rsid w:val="002A05FA"/>
    <w:rsid w:val="002A0741"/>
    <w:rsid w:val="002A0763"/>
    <w:rsid w:val="002A07CD"/>
    <w:rsid w:val="002A0868"/>
    <w:rsid w:val="002A096F"/>
    <w:rsid w:val="002A0A15"/>
    <w:rsid w:val="002A0B6B"/>
    <w:rsid w:val="002A0D47"/>
    <w:rsid w:val="002A0D4C"/>
    <w:rsid w:val="002A0D5B"/>
    <w:rsid w:val="002A0F2E"/>
    <w:rsid w:val="002A0F65"/>
    <w:rsid w:val="002A0FA3"/>
    <w:rsid w:val="002A10AD"/>
    <w:rsid w:val="002A1109"/>
    <w:rsid w:val="002A1118"/>
    <w:rsid w:val="002A118E"/>
    <w:rsid w:val="002A11BD"/>
    <w:rsid w:val="002A1307"/>
    <w:rsid w:val="002A13A8"/>
    <w:rsid w:val="002A13EA"/>
    <w:rsid w:val="002A1422"/>
    <w:rsid w:val="002A149E"/>
    <w:rsid w:val="002A15EB"/>
    <w:rsid w:val="002A1650"/>
    <w:rsid w:val="002A1681"/>
    <w:rsid w:val="002A1738"/>
    <w:rsid w:val="002A173D"/>
    <w:rsid w:val="002A178C"/>
    <w:rsid w:val="002A1919"/>
    <w:rsid w:val="002A19A9"/>
    <w:rsid w:val="002A1C98"/>
    <w:rsid w:val="002A1CA9"/>
    <w:rsid w:val="002A1D2E"/>
    <w:rsid w:val="002A1DB6"/>
    <w:rsid w:val="002A1EA0"/>
    <w:rsid w:val="002A1FC4"/>
    <w:rsid w:val="002A2022"/>
    <w:rsid w:val="002A203A"/>
    <w:rsid w:val="002A212E"/>
    <w:rsid w:val="002A22DB"/>
    <w:rsid w:val="002A245E"/>
    <w:rsid w:val="002A248E"/>
    <w:rsid w:val="002A282C"/>
    <w:rsid w:val="002A2881"/>
    <w:rsid w:val="002A2986"/>
    <w:rsid w:val="002A2B37"/>
    <w:rsid w:val="002A2B9C"/>
    <w:rsid w:val="002A2C2F"/>
    <w:rsid w:val="002A2C94"/>
    <w:rsid w:val="002A2CDD"/>
    <w:rsid w:val="002A2DCF"/>
    <w:rsid w:val="002A2E61"/>
    <w:rsid w:val="002A2E90"/>
    <w:rsid w:val="002A2FE3"/>
    <w:rsid w:val="002A3105"/>
    <w:rsid w:val="002A333F"/>
    <w:rsid w:val="002A3546"/>
    <w:rsid w:val="002A3610"/>
    <w:rsid w:val="002A37E5"/>
    <w:rsid w:val="002A38EB"/>
    <w:rsid w:val="002A3937"/>
    <w:rsid w:val="002A39D8"/>
    <w:rsid w:val="002A39FA"/>
    <w:rsid w:val="002A3AE5"/>
    <w:rsid w:val="002A3BC0"/>
    <w:rsid w:val="002A3C9B"/>
    <w:rsid w:val="002A3CDB"/>
    <w:rsid w:val="002A3D77"/>
    <w:rsid w:val="002A3E2F"/>
    <w:rsid w:val="002A3EB1"/>
    <w:rsid w:val="002A3ECF"/>
    <w:rsid w:val="002A3ED8"/>
    <w:rsid w:val="002A3EF4"/>
    <w:rsid w:val="002A3F4E"/>
    <w:rsid w:val="002A4050"/>
    <w:rsid w:val="002A414D"/>
    <w:rsid w:val="002A42D0"/>
    <w:rsid w:val="002A430C"/>
    <w:rsid w:val="002A4352"/>
    <w:rsid w:val="002A438A"/>
    <w:rsid w:val="002A43B0"/>
    <w:rsid w:val="002A44E5"/>
    <w:rsid w:val="002A4507"/>
    <w:rsid w:val="002A4577"/>
    <w:rsid w:val="002A459A"/>
    <w:rsid w:val="002A461C"/>
    <w:rsid w:val="002A46DE"/>
    <w:rsid w:val="002A4746"/>
    <w:rsid w:val="002A48E5"/>
    <w:rsid w:val="002A4A56"/>
    <w:rsid w:val="002A4B9D"/>
    <w:rsid w:val="002A4C64"/>
    <w:rsid w:val="002A4EBB"/>
    <w:rsid w:val="002A4ECB"/>
    <w:rsid w:val="002A504F"/>
    <w:rsid w:val="002A50C2"/>
    <w:rsid w:val="002A5118"/>
    <w:rsid w:val="002A514A"/>
    <w:rsid w:val="002A51B0"/>
    <w:rsid w:val="002A52CB"/>
    <w:rsid w:val="002A5399"/>
    <w:rsid w:val="002A53A9"/>
    <w:rsid w:val="002A54CF"/>
    <w:rsid w:val="002A553F"/>
    <w:rsid w:val="002A5559"/>
    <w:rsid w:val="002A56F3"/>
    <w:rsid w:val="002A5719"/>
    <w:rsid w:val="002A57C5"/>
    <w:rsid w:val="002A57D2"/>
    <w:rsid w:val="002A583A"/>
    <w:rsid w:val="002A595F"/>
    <w:rsid w:val="002A5CD6"/>
    <w:rsid w:val="002A5D89"/>
    <w:rsid w:val="002A5D8C"/>
    <w:rsid w:val="002A5E17"/>
    <w:rsid w:val="002A5E2F"/>
    <w:rsid w:val="002A5E80"/>
    <w:rsid w:val="002A5FC7"/>
    <w:rsid w:val="002A61A8"/>
    <w:rsid w:val="002A624B"/>
    <w:rsid w:val="002A627B"/>
    <w:rsid w:val="002A62D9"/>
    <w:rsid w:val="002A6418"/>
    <w:rsid w:val="002A6462"/>
    <w:rsid w:val="002A657C"/>
    <w:rsid w:val="002A65DE"/>
    <w:rsid w:val="002A6740"/>
    <w:rsid w:val="002A67E3"/>
    <w:rsid w:val="002A6873"/>
    <w:rsid w:val="002A68A7"/>
    <w:rsid w:val="002A68BB"/>
    <w:rsid w:val="002A6A07"/>
    <w:rsid w:val="002A6AA1"/>
    <w:rsid w:val="002A6AA8"/>
    <w:rsid w:val="002A6B6E"/>
    <w:rsid w:val="002A6B88"/>
    <w:rsid w:val="002A6BCB"/>
    <w:rsid w:val="002A6C2D"/>
    <w:rsid w:val="002A6D47"/>
    <w:rsid w:val="002A6E56"/>
    <w:rsid w:val="002A6E61"/>
    <w:rsid w:val="002A6E7B"/>
    <w:rsid w:val="002A6E92"/>
    <w:rsid w:val="002A6EC5"/>
    <w:rsid w:val="002A6FA1"/>
    <w:rsid w:val="002A6FF8"/>
    <w:rsid w:val="002A70C7"/>
    <w:rsid w:val="002A71A9"/>
    <w:rsid w:val="002A720B"/>
    <w:rsid w:val="002A721A"/>
    <w:rsid w:val="002A73A4"/>
    <w:rsid w:val="002A73CD"/>
    <w:rsid w:val="002A7416"/>
    <w:rsid w:val="002A7465"/>
    <w:rsid w:val="002A74DA"/>
    <w:rsid w:val="002A7614"/>
    <w:rsid w:val="002A76A7"/>
    <w:rsid w:val="002A76C7"/>
    <w:rsid w:val="002A78D2"/>
    <w:rsid w:val="002A79AD"/>
    <w:rsid w:val="002A7A57"/>
    <w:rsid w:val="002A7C07"/>
    <w:rsid w:val="002A7D71"/>
    <w:rsid w:val="002A7EEE"/>
    <w:rsid w:val="002A7F6C"/>
    <w:rsid w:val="002A7FCA"/>
    <w:rsid w:val="002B0009"/>
    <w:rsid w:val="002B0134"/>
    <w:rsid w:val="002B01DC"/>
    <w:rsid w:val="002B0262"/>
    <w:rsid w:val="002B037E"/>
    <w:rsid w:val="002B03AD"/>
    <w:rsid w:val="002B07F8"/>
    <w:rsid w:val="002B083B"/>
    <w:rsid w:val="002B0865"/>
    <w:rsid w:val="002B08B3"/>
    <w:rsid w:val="002B095C"/>
    <w:rsid w:val="002B09D2"/>
    <w:rsid w:val="002B0AB7"/>
    <w:rsid w:val="002B0B52"/>
    <w:rsid w:val="002B0B63"/>
    <w:rsid w:val="002B0B72"/>
    <w:rsid w:val="002B0BB4"/>
    <w:rsid w:val="002B0CE2"/>
    <w:rsid w:val="002B0EA8"/>
    <w:rsid w:val="002B0F5F"/>
    <w:rsid w:val="002B0FAA"/>
    <w:rsid w:val="002B0FBF"/>
    <w:rsid w:val="002B0FD9"/>
    <w:rsid w:val="002B103A"/>
    <w:rsid w:val="002B1070"/>
    <w:rsid w:val="002B109E"/>
    <w:rsid w:val="002B10D2"/>
    <w:rsid w:val="002B11DF"/>
    <w:rsid w:val="002B12DB"/>
    <w:rsid w:val="002B12F1"/>
    <w:rsid w:val="002B1374"/>
    <w:rsid w:val="002B13FE"/>
    <w:rsid w:val="002B16CC"/>
    <w:rsid w:val="002B179E"/>
    <w:rsid w:val="002B1869"/>
    <w:rsid w:val="002B1A82"/>
    <w:rsid w:val="002B1B7A"/>
    <w:rsid w:val="002B1BC9"/>
    <w:rsid w:val="002B1C53"/>
    <w:rsid w:val="002B1E3D"/>
    <w:rsid w:val="002B1F75"/>
    <w:rsid w:val="002B20E0"/>
    <w:rsid w:val="002B2212"/>
    <w:rsid w:val="002B2264"/>
    <w:rsid w:val="002B2273"/>
    <w:rsid w:val="002B228F"/>
    <w:rsid w:val="002B2345"/>
    <w:rsid w:val="002B2449"/>
    <w:rsid w:val="002B269B"/>
    <w:rsid w:val="002B27D5"/>
    <w:rsid w:val="002B27E7"/>
    <w:rsid w:val="002B27ED"/>
    <w:rsid w:val="002B28DF"/>
    <w:rsid w:val="002B2929"/>
    <w:rsid w:val="002B2B1C"/>
    <w:rsid w:val="002B2C37"/>
    <w:rsid w:val="002B2C5D"/>
    <w:rsid w:val="002B2D4D"/>
    <w:rsid w:val="002B2E7C"/>
    <w:rsid w:val="002B2ECC"/>
    <w:rsid w:val="002B2ED0"/>
    <w:rsid w:val="002B2F26"/>
    <w:rsid w:val="002B2F92"/>
    <w:rsid w:val="002B3029"/>
    <w:rsid w:val="002B306B"/>
    <w:rsid w:val="002B30A3"/>
    <w:rsid w:val="002B31A5"/>
    <w:rsid w:val="002B3245"/>
    <w:rsid w:val="002B351D"/>
    <w:rsid w:val="002B369C"/>
    <w:rsid w:val="002B36D9"/>
    <w:rsid w:val="002B3734"/>
    <w:rsid w:val="002B38A1"/>
    <w:rsid w:val="002B38BA"/>
    <w:rsid w:val="002B38C9"/>
    <w:rsid w:val="002B396F"/>
    <w:rsid w:val="002B399F"/>
    <w:rsid w:val="002B39C9"/>
    <w:rsid w:val="002B3A18"/>
    <w:rsid w:val="002B3A1B"/>
    <w:rsid w:val="002B3B3B"/>
    <w:rsid w:val="002B3B6E"/>
    <w:rsid w:val="002B3CCB"/>
    <w:rsid w:val="002B3CCC"/>
    <w:rsid w:val="002B3D1C"/>
    <w:rsid w:val="002B3D8C"/>
    <w:rsid w:val="002B3DF1"/>
    <w:rsid w:val="002B3EA4"/>
    <w:rsid w:val="002B3EBD"/>
    <w:rsid w:val="002B3EE4"/>
    <w:rsid w:val="002B3F35"/>
    <w:rsid w:val="002B3FF9"/>
    <w:rsid w:val="002B4019"/>
    <w:rsid w:val="002B40B0"/>
    <w:rsid w:val="002B40E7"/>
    <w:rsid w:val="002B4228"/>
    <w:rsid w:val="002B4263"/>
    <w:rsid w:val="002B42C4"/>
    <w:rsid w:val="002B42E5"/>
    <w:rsid w:val="002B43A3"/>
    <w:rsid w:val="002B4523"/>
    <w:rsid w:val="002B4534"/>
    <w:rsid w:val="002B46AF"/>
    <w:rsid w:val="002B471A"/>
    <w:rsid w:val="002B482D"/>
    <w:rsid w:val="002B48B4"/>
    <w:rsid w:val="002B4A8F"/>
    <w:rsid w:val="002B4AB5"/>
    <w:rsid w:val="002B4BBB"/>
    <w:rsid w:val="002B4CCE"/>
    <w:rsid w:val="002B4CF0"/>
    <w:rsid w:val="002B4DBE"/>
    <w:rsid w:val="002B4E97"/>
    <w:rsid w:val="002B4FA4"/>
    <w:rsid w:val="002B5021"/>
    <w:rsid w:val="002B50CA"/>
    <w:rsid w:val="002B538F"/>
    <w:rsid w:val="002B541F"/>
    <w:rsid w:val="002B54D8"/>
    <w:rsid w:val="002B5690"/>
    <w:rsid w:val="002B58E1"/>
    <w:rsid w:val="002B5A38"/>
    <w:rsid w:val="002B5C8F"/>
    <w:rsid w:val="002B5D06"/>
    <w:rsid w:val="002B5D51"/>
    <w:rsid w:val="002B5E39"/>
    <w:rsid w:val="002B5E6C"/>
    <w:rsid w:val="002B5E88"/>
    <w:rsid w:val="002B5F38"/>
    <w:rsid w:val="002B5F61"/>
    <w:rsid w:val="002B61A1"/>
    <w:rsid w:val="002B64AE"/>
    <w:rsid w:val="002B6508"/>
    <w:rsid w:val="002B6630"/>
    <w:rsid w:val="002B66F0"/>
    <w:rsid w:val="002B671C"/>
    <w:rsid w:val="002B67E8"/>
    <w:rsid w:val="002B6961"/>
    <w:rsid w:val="002B6A05"/>
    <w:rsid w:val="002B6A6D"/>
    <w:rsid w:val="002B6AC8"/>
    <w:rsid w:val="002B6E5F"/>
    <w:rsid w:val="002B7057"/>
    <w:rsid w:val="002B7070"/>
    <w:rsid w:val="002B70EE"/>
    <w:rsid w:val="002B71DD"/>
    <w:rsid w:val="002B72B2"/>
    <w:rsid w:val="002B72EE"/>
    <w:rsid w:val="002B738D"/>
    <w:rsid w:val="002B7520"/>
    <w:rsid w:val="002B7525"/>
    <w:rsid w:val="002B7585"/>
    <w:rsid w:val="002B7595"/>
    <w:rsid w:val="002B7636"/>
    <w:rsid w:val="002B7827"/>
    <w:rsid w:val="002B78AB"/>
    <w:rsid w:val="002B7A80"/>
    <w:rsid w:val="002B7AD0"/>
    <w:rsid w:val="002B7BE7"/>
    <w:rsid w:val="002B7CA3"/>
    <w:rsid w:val="002B7D06"/>
    <w:rsid w:val="002B7D37"/>
    <w:rsid w:val="002B7D91"/>
    <w:rsid w:val="002B7DEF"/>
    <w:rsid w:val="002B7DF5"/>
    <w:rsid w:val="002C011A"/>
    <w:rsid w:val="002C0131"/>
    <w:rsid w:val="002C017C"/>
    <w:rsid w:val="002C0181"/>
    <w:rsid w:val="002C0328"/>
    <w:rsid w:val="002C0393"/>
    <w:rsid w:val="002C03E2"/>
    <w:rsid w:val="002C051A"/>
    <w:rsid w:val="002C0A70"/>
    <w:rsid w:val="002C0AA9"/>
    <w:rsid w:val="002C0AB6"/>
    <w:rsid w:val="002C0B84"/>
    <w:rsid w:val="002C0C59"/>
    <w:rsid w:val="002C0D74"/>
    <w:rsid w:val="002C0E2E"/>
    <w:rsid w:val="002C0F84"/>
    <w:rsid w:val="002C100B"/>
    <w:rsid w:val="002C102A"/>
    <w:rsid w:val="002C1078"/>
    <w:rsid w:val="002C10FC"/>
    <w:rsid w:val="002C11CF"/>
    <w:rsid w:val="002C120A"/>
    <w:rsid w:val="002C1233"/>
    <w:rsid w:val="002C1327"/>
    <w:rsid w:val="002C140A"/>
    <w:rsid w:val="002C146C"/>
    <w:rsid w:val="002C1573"/>
    <w:rsid w:val="002C157C"/>
    <w:rsid w:val="002C15CB"/>
    <w:rsid w:val="002C192F"/>
    <w:rsid w:val="002C196B"/>
    <w:rsid w:val="002C1C22"/>
    <w:rsid w:val="002C1CB0"/>
    <w:rsid w:val="002C1D0F"/>
    <w:rsid w:val="002C1E4F"/>
    <w:rsid w:val="002C1F24"/>
    <w:rsid w:val="002C1F30"/>
    <w:rsid w:val="002C1F5E"/>
    <w:rsid w:val="002C2045"/>
    <w:rsid w:val="002C20DB"/>
    <w:rsid w:val="002C250E"/>
    <w:rsid w:val="002C253E"/>
    <w:rsid w:val="002C2596"/>
    <w:rsid w:val="002C25AA"/>
    <w:rsid w:val="002C25DD"/>
    <w:rsid w:val="002C27A5"/>
    <w:rsid w:val="002C27F9"/>
    <w:rsid w:val="002C28C2"/>
    <w:rsid w:val="002C298F"/>
    <w:rsid w:val="002C2A04"/>
    <w:rsid w:val="002C2A82"/>
    <w:rsid w:val="002C2AAB"/>
    <w:rsid w:val="002C2AD2"/>
    <w:rsid w:val="002C2B0D"/>
    <w:rsid w:val="002C2B87"/>
    <w:rsid w:val="002C2D58"/>
    <w:rsid w:val="002C2D99"/>
    <w:rsid w:val="002C2D9E"/>
    <w:rsid w:val="002C2DF1"/>
    <w:rsid w:val="002C2F0E"/>
    <w:rsid w:val="002C2FA8"/>
    <w:rsid w:val="002C3061"/>
    <w:rsid w:val="002C3094"/>
    <w:rsid w:val="002C3116"/>
    <w:rsid w:val="002C31BB"/>
    <w:rsid w:val="002C31BC"/>
    <w:rsid w:val="002C3468"/>
    <w:rsid w:val="002C34F2"/>
    <w:rsid w:val="002C355F"/>
    <w:rsid w:val="002C3674"/>
    <w:rsid w:val="002C37CC"/>
    <w:rsid w:val="002C37F6"/>
    <w:rsid w:val="002C39EE"/>
    <w:rsid w:val="002C3A1C"/>
    <w:rsid w:val="002C3A59"/>
    <w:rsid w:val="002C3B2A"/>
    <w:rsid w:val="002C3BDA"/>
    <w:rsid w:val="002C3C65"/>
    <w:rsid w:val="002C3D78"/>
    <w:rsid w:val="002C3D9C"/>
    <w:rsid w:val="002C3EA6"/>
    <w:rsid w:val="002C3F81"/>
    <w:rsid w:val="002C3F94"/>
    <w:rsid w:val="002C3FB7"/>
    <w:rsid w:val="002C411A"/>
    <w:rsid w:val="002C41C8"/>
    <w:rsid w:val="002C4315"/>
    <w:rsid w:val="002C4408"/>
    <w:rsid w:val="002C4410"/>
    <w:rsid w:val="002C4667"/>
    <w:rsid w:val="002C4710"/>
    <w:rsid w:val="002C4764"/>
    <w:rsid w:val="002C4801"/>
    <w:rsid w:val="002C4827"/>
    <w:rsid w:val="002C483E"/>
    <w:rsid w:val="002C4886"/>
    <w:rsid w:val="002C4888"/>
    <w:rsid w:val="002C48C3"/>
    <w:rsid w:val="002C4936"/>
    <w:rsid w:val="002C4C27"/>
    <w:rsid w:val="002C4CA0"/>
    <w:rsid w:val="002C4E6E"/>
    <w:rsid w:val="002C4F09"/>
    <w:rsid w:val="002C4F66"/>
    <w:rsid w:val="002C4F78"/>
    <w:rsid w:val="002C502B"/>
    <w:rsid w:val="002C50B8"/>
    <w:rsid w:val="002C51B0"/>
    <w:rsid w:val="002C521E"/>
    <w:rsid w:val="002C5237"/>
    <w:rsid w:val="002C528A"/>
    <w:rsid w:val="002C53BA"/>
    <w:rsid w:val="002C559A"/>
    <w:rsid w:val="002C5655"/>
    <w:rsid w:val="002C56A3"/>
    <w:rsid w:val="002C56D4"/>
    <w:rsid w:val="002C576D"/>
    <w:rsid w:val="002C57A2"/>
    <w:rsid w:val="002C57FB"/>
    <w:rsid w:val="002C5875"/>
    <w:rsid w:val="002C58AE"/>
    <w:rsid w:val="002C58D8"/>
    <w:rsid w:val="002C58EA"/>
    <w:rsid w:val="002C5A80"/>
    <w:rsid w:val="002C5AF0"/>
    <w:rsid w:val="002C5B1C"/>
    <w:rsid w:val="002C5C9A"/>
    <w:rsid w:val="002C5D34"/>
    <w:rsid w:val="002C5D36"/>
    <w:rsid w:val="002C5FB0"/>
    <w:rsid w:val="002C614D"/>
    <w:rsid w:val="002C615C"/>
    <w:rsid w:val="002C6249"/>
    <w:rsid w:val="002C6276"/>
    <w:rsid w:val="002C63C7"/>
    <w:rsid w:val="002C65BD"/>
    <w:rsid w:val="002C669D"/>
    <w:rsid w:val="002C66A1"/>
    <w:rsid w:val="002C6842"/>
    <w:rsid w:val="002C68A7"/>
    <w:rsid w:val="002C6B48"/>
    <w:rsid w:val="002C6B6C"/>
    <w:rsid w:val="002C6B6D"/>
    <w:rsid w:val="002C6B7C"/>
    <w:rsid w:val="002C6C29"/>
    <w:rsid w:val="002C6C64"/>
    <w:rsid w:val="002C6CD3"/>
    <w:rsid w:val="002C6E2D"/>
    <w:rsid w:val="002C6F28"/>
    <w:rsid w:val="002C6F65"/>
    <w:rsid w:val="002C6F9D"/>
    <w:rsid w:val="002C7038"/>
    <w:rsid w:val="002C707B"/>
    <w:rsid w:val="002C70DE"/>
    <w:rsid w:val="002C714B"/>
    <w:rsid w:val="002C7162"/>
    <w:rsid w:val="002C7174"/>
    <w:rsid w:val="002C71FD"/>
    <w:rsid w:val="002C7236"/>
    <w:rsid w:val="002C73EA"/>
    <w:rsid w:val="002C792A"/>
    <w:rsid w:val="002C793A"/>
    <w:rsid w:val="002C7AB2"/>
    <w:rsid w:val="002C7B33"/>
    <w:rsid w:val="002C7BBB"/>
    <w:rsid w:val="002C7BD1"/>
    <w:rsid w:val="002C7D1F"/>
    <w:rsid w:val="002C7D64"/>
    <w:rsid w:val="002C7E13"/>
    <w:rsid w:val="002C7E66"/>
    <w:rsid w:val="002C7F44"/>
    <w:rsid w:val="002C7FE3"/>
    <w:rsid w:val="002D006F"/>
    <w:rsid w:val="002D023C"/>
    <w:rsid w:val="002D0283"/>
    <w:rsid w:val="002D03B2"/>
    <w:rsid w:val="002D05CC"/>
    <w:rsid w:val="002D05F0"/>
    <w:rsid w:val="002D060B"/>
    <w:rsid w:val="002D06B3"/>
    <w:rsid w:val="002D073F"/>
    <w:rsid w:val="002D0872"/>
    <w:rsid w:val="002D09B1"/>
    <w:rsid w:val="002D0A31"/>
    <w:rsid w:val="002D0B44"/>
    <w:rsid w:val="002D0CC3"/>
    <w:rsid w:val="002D0F32"/>
    <w:rsid w:val="002D0F35"/>
    <w:rsid w:val="002D0F73"/>
    <w:rsid w:val="002D10AC"/>
    <w:rsid w:val="002D114E"/>
    <w:rsid w:val="002D118F"/>
    <w:rsid w:val="002D12CC"/>
    <w:rsid w:val="002D134A"/>
    <w:rsid w:val="002D14AF"/>
    <w:rsid w:val="002D153F"/>
    <w:rsid w:val="002D15D5"/>
    <w:rsid w:val="002D16AE"/>
    <w:rsid w:val="002D177E"/>
    <w:rsid w:val="002D17A2"/>
    <w:rsid w:val="002D1835"/>
    <w:rsid w:val="002D18AA"/>
    <w:rsid w:val="002D18D6"/>
    <w:rsid w:val="002D1961"/>
    <w:rsid w:val="002D199B"/>
    <w:rsid w:val="002D19CB"/>
    <w:rsid w:val="002D19E8"/>
    <w:rsid w:val="002D1A54"/>
    <w:rsid w:val="002D1C62"/>
    <w:rsid w:val="002D1C63"/>
    <w:rsid w:val="002D1CB7"/>
    <w:rsid w:val="002D1D03"/>
    <w:rsid w:val="002D1E7F"/>
    <w:rsid w:val="002D1E94"/>
    <w:rsid w:val="002D1F00"/>
    <w:rsid w:val="002D1F55"/>
    <w:rsid w:val="002D20EE"/>
    <w:rsid w:val="002D2144"/>
    <w:rsid w:val="002D2262"/>
    <w:rsid w:val="002D226D"/>
    <w:rsid w:val="002D22D1"/>
    <w:rsid w:val="002D233C"/>
    <w:rsid w:val="002D2567"/>
    <w:rsid w:val="002D29CF"/>
    <w:rsid w:val="002D2A0E"/>
    <w:rsid w:val="002D2A59"/>
    <w:rsid w:val="002D2AFC"/>
    <w:rsid w:val="002D2BE8"/>
    <w:rsid w:val="002D2E40"/>
    <w:rsid w:val="002D2F6B"/>
    <w:rsid w:val="002D2F71"/>
    <w:rsid w:val="002D2F7F"/>
    <w:rsid w:val="002D31B6"/>
    <w:rsid w:val="002D3210"/>
    <w:rsid w:val="002D32FD"/>
    <w:rsid w:val="002D330E"/>
    <w:rsid w:val="002D3374"/>
    <w:rsid w:val="002D35C7"/>
    <w:rsid w:val="002D3733"/>
    <w:rsid w:val="002D37B9"/>
    <w:rsid w:val="002D392D"/>
    <w:rsid w:val="002D3977"/>
    <w:rsid w:val="002D39D7"/>
    <w:rsid w:val="002D3A2F"/>
    <w:rsid w:val="002D3C49"/>
    <w:rsid w:val="002D3CCE"/>
    <w:rsid w:val="002D3D96"/>
    <w:rsid w:val="002D3E33"/>
    <w:rsid w:val="002D3FB5"/>
    <w:rsid w:val="002D4013"/>
    <w:rsid w:val="002D403E"/>
    <w:rsid w:val="002D4174"/>
    <w:rsid w:val="002D41C1"/>
    <w:rsid w:val="002D41FF"/>
    <w:rsid w:val="002D4363"/>
    <w:rsid w:val="002D436F"/>
    <w:rsid w:val="002D43B1"/>
    <w:rsid w:val="002D46B5"/>
    <w:rsid w:val="002D4788"/>
    <w:rsid w:val="002D482F"/>
    <w:rsid w:val="002D486C"/>
    <w:rsid w:val="002D48E9"/>
    <w:rsid w:val="002D4B5E"/>
    <w:rsid w:val="002D4C61"/>
    <w:rsid w:val="002D4E05"/>
    <w:rsid w:val="002D4E2C"/>
    <w:rsid w:val="002D4EA7"/>
    <w:rsid w:val="002D4EC1"/>
    <w:rsid w:val="002D4FE5"/>
    <w:rsid w:val="002D5110"/>
    <w:rsid w:val="002D5168"/>
    <w:rsid w:val="002D51F7"/>
    <w:rsid w:val="002D55CB"/>
    <w:rsid w:val="002D57CE"/>
    <w:rsid w:val="002D5837"/>
    <w:rsid w:val="002D593E"/>
    <w:rsid w:val="002D5B86"/>
    <w:rsid w:val="002D5B91"/>
    <w:rsid w:val="002D5C31"/>
    <w:rsid w:val="002D5C62"/>
    <w:rsid w:val="002D5C7C"/>
    <w:rsid w:val="002D5CE7"/>
    <w:rsid w:val="002D5D75"/>
    <w:rsid w:val="002D5EC3"/>
    <w:rsid w:val="002D5ED7"/>
    <w:rsid w:val="002D6056"/>
    <w:rsid w:val="002D6077"/>
    <w:rsid w:val="002D6221"/>
    <w:rsid w:val="002D631C"/>
    <w:rsid w:val="002D63C2"/>
    <w:rsid w:val="002D6567"/>
    <w:rsid w:val="002D656E"/>
    <w:rsid w:val="002D661B"/>
    <w:rsid w:val="002D67B9"/>
    <w:rsid w:val="002D68CC"/>
    <w:rsid w:val="002D68F1"/>
    <w:rsid w:val="002D68FA"/>
    <w:rsid w:val="002D6B68"/>
    <w:rsid w:val="002D6BB1"/>
    <w:rsid w:val="002D6BC5"/>
    <w:rsid w:val="002D6CB4"/>
    <w:rsid w:val="002D6CD1"/>
    <w:rsid w:val="002D6CFC"/>
    <w:rsid w:val="002D6DB6"/>
    <w:rsid w:val="002D6E4F"/>
    <w:rsid w:val="002D6F3B"/>
    <w:rsid w:val="002D6F6B"/>
    <w:rsid w:val="002D7011"/>
    <w:rsid w:val="002D70E0"/>
    <w:rsid w:val="002D728F"/>
    <w:rsid w:val="002D7309"/>
    <w:rsid w:val="002D7331"/>
    <w:rsid w:val="002D7373"/>
    <w:rsid w:val="002D73F9"/>
    <w:rsid w:val="002D7460"/>
    <w:rsid w:val="002D7568"/>
    <w:rsid w:val="002D765F"/>
    <w:rsid w:val="002D7689"/>
    <w:rsid w:val="002D7744"/>
    <w:rsid w:val="002D7A4E"/>
    <w:rsid w:val="002D7AA0"/>
    <w:rsid w:val="002D7BC0"/>
    <w:rsid w:val="002D7D73"/>
    <w:rsid w:val="002D7DFF"/>
    <w:rsid w:val="002D7E20"/>
    <w:rsid w:val="002E015A"/>
    <w:rsid w:val="002E016F"/>
    <w:rsid w:val="002E01AE"/>
    <w:rsid w:val="002E0201"/>
    <w:rsid w:val="002E028E"/>
    <w:rsid w:val="002E02C1"/>
    <w:rsid w:val="002E034A"/>
    <w:rsid w:val="002E0376"/>
    <w:rsid w:val="002E048D"/>
    <w:rsid w:val="002E04D8"/>
    <w:rsid w:val="002E04EC"/>
    <w:rsid w:val="002E074A"/>
    <w:rsid w:val="002E07A8"/>
    <w:rsid w:val="002E085E"/>
    <w:rsid w:val="002E0863"/>
    <w:rsid w:val="002E08AA"/>
    <w:rsid w:val="002E0905"/>
    <w:rsid w:val="002E0908"/>
    <w:rsid w:val="002E0936"/>
    <w:rsid w:val="002E09A0"/>
    <w:rsid w:val="002E0AA1"/>
    <w:rsid w:val="002E0C6D"/>
    <w:rsid w:val="002E0D46"/>
    <w:rsid w:val="002E0D88"/>
    <w:rsid w:val="002E0EAF"/>
    <w:rsid w:val="002E0EF2"/>
    <w:rsid w:val="002E0F61"/>
    <w:rsid w:val="002E0FDE"/>
    <w:rsid w:val="002E1074"/>
    <w:rsid w:val="002E1082"/>
    <w:rsid w:val="002E10C1"/>
    <w:rsid w:val="002E1168"/>
    <w:rsid w:val="002E1173"/>
    <w:rsid w:val="002E12A0"/>
    <w:rsid w:val="002E1333"/>
    <w:rsid w:val="002E1348"/>
    <w:rsid w:val="002E1611"/>
    <w:rsid w:val="002E166B"/>
    <w:rsid w:val="002E16F2"/>
    <w:rsid w:val="002E17BE"/>
    <w:rsid w:val="002E1852"/>
    <w:rsid w:val="002E1872"/>
    <w:rsid w:val="002E18E5"/>
    <w:rsid w:val="002E1998"/>
    <w:rsid w:val="002E1B3E"/>
    <w:rsid w:val="002E1B44"/>
    <w:rsid w:val="002E1B9B"/>
    <w:rsid w:val="002E1BFE"/>
    <w:rsid w:val="002E1C0B"/>
    <w:rsid w:val="002E1EAA"/>
    <w:rsid w:val="002E1F58"/>
    <w:rsid w:val="002E1F77"/>
    <w:rsid w:val="002E1FA9"/>
    <w:rsid w:val="002E1FFB"/>
    <w:rsid w:val="002E20F8"/>
    <w:rsid w:val="002E2192"/>
    <w:rsid w:val="002E2223"/>
    <w:rsid w:val="002E223C"/>
    <w:rsid w:val="002E2310"/>
    <w:rsid w:val="002E235B"/>
    <w:rsid w:val="002E238A"/>
    <w:rsid w:val="002E23DC"/>
    <w:rsid w:val="002E2445"/>
    <w:rsid w:val="002E2463"/>
    <w:rsid w:val="002E2538"/>
    <w:rsid w:val="002E2668"/>
    <w:rsid w:val="002E27FA"/>
    <w:rsid w:val="002E2AED"/>
    <w:rsid w:val="002E2BC1"/>
    <w:rsid w:val="002E2C77"/>
    <w:rsid w:val="002E2CC1"/>
    <w:rsid w:val="002E2DE2"/>
    <w:rsid w:val="002E2E16"/>
    <w:rsid w:val="002E2FB5"/>
    <w:rsid w:val="002E2FCA"/>
    <w:rsid w:val="002E32B2"/>
    <w:rsid w:val="002E3362"/>
    <w:rsid w:val="002E337B"/>
    <w:rsid w:val="002E3395"/>
    <w:rsid w:val="002E339C"/>
    <w:rsid w:val="002E3445"/>
    <w:rsid w:val="002E347C"/>
    <w:rsid w:val="002E34DE"/>
    <w:rsid w:val="002E35E2"/>
    <w:rsid w:val="002E3625"/>
    <w:rsid w:val="002E370A"/>
    <w:rsid w:val="002E373A"/>
    <w:rsid w:val="002E39C3"/>
    <w:rsid w:val="002E3A48"/>
    <w:rsid w:val="002E3CD4"/>
    <w:rsid w:val="002E3D0A"/>
    <w:rsid w:val="002E3D44"/>
    <w:rsid w:val="002E3D8D"/>
    <w:rsid w:val="002E3E42"/>
    <w:rsid w:val="002E3E9E"/>
    <w:rsid w:val="002E3FB7"/>
    <w:rsid w:val="002E424A"/>
    <w:rsid w:val="002E4368"/>
    <w:rsid w:val="002E43E1"/>
    <w:rsid w:val="002E43E2"/>
    <w:rsid w:val="002E4579"/>
    <w:rsid w:val="002E4614"/>
    <w:rsid w:val="002E462C"/>
    <w:rsid w:val="002E4671"/>
    <w:rsid w:val="002E46A0"/>
    <w:rsid w:val="002E46EC"/>
    <w:rsid w:val="002E47E0"/>
    <w:rsid w:val="002E496B"/>
    <w:rsid w:val="002E4A7A"/>
    <w:rsid w:val="002E4A81"/>
    <w:rsid w:val="002E4B32"/>
    <w:rsid w:val="002E4C12"/>
    <w:rsid w:val="002E4C54"/>
    <w:rsid w:val="002E4C84"/>
    <w:rsid w:val="002E4CAB"/>
    <w:rsid w:val="002E4FB6"/>
    <w:rsid w:val="002E4FC2"/>
    <w:rsid w:val="002E504D"/>
    <w:rsid w:val="002E5065"/>
    <w:rsid w:val="002E50F1"/>
    <w:rsid w:val="002E5182"/>
    <w:rsid w:val="002E5243"/>
    <w:rsid w:val="002E5360"/>
    <w:rsid w:val="002E5398"/>
    <w:rsid w:val="002E53BF"/>
    <w:rsid w:val="002E549B"/>
    <w:rsid w:val="002E5764"/>
    <w:rsid w:val="002E5806"/>
    <w:rsid w:val="002E5882"/>
    <w:rsid w:val="002E5937"/>
    <w:rsid w:val="002E5A10"/>
    <w:rsid w:val="002E5BC0"/>
    <w:rsid w:val="002E5C59"/>
    <w:rsid w:val="002E5CDC"/>
    <w:rsid w:val="002E5E0C"/>
    <w:rsid w:val="002E6140"/>
    <w:rsid w:val="002E615C"/>
    <w:rsid w:val="002E6182"/>
    <w:rsid w:val="002E62FD"/>
    <w:rsid w:val="002E639A"/>
    <w:rsid w:val="002E640B"/>
    <w:rsid w:val="002E648B"/>
    <w:rsid w:val="002E65D2"/>
    <w:rsid w:val="002E6681"/>
    <w:rsid w:val="002E668D"/>
    <w:rsid w:val="002E66A1"/>
    <w:rsid w:val="002E6793"/>
    <w:rsid w:val="002E6963"/>
    <w:rsid w:val="002E6A27"/>
    <w:rsid w:val="002E6A75"/>
    <w:rsid w:val="002E6A79"/>
    <w:rsid w:val="002E6AC7"/>
    <w:rsid w:val="002E6AF0"/>
    <w:rsid w:val="002E6C05"/>
    <w:rsid w:val="002E6CA3"/>
    <w:rsid w:val="002E6CBC"/>
    <w:rsid w:val="002E6DA8"/>
    <w:rsid w:val="002E6F75"/>
    <w:rsid w:val="002E6FB1"/>
    <w:rsid w:val="002E7230"/>
    <w:rsid w:val="002E742B"/>
    <w:rsid w:val="002E7460"/>
    <w:rsid w:val="002E7589"/>
    <w:rsid w:val="002E7917"/>
    <w:rsid w:val="002E79C7"/>
    <w:rsid w:val="002E7A27"/>
    <w:rsid w:val="002E7B39"/>
    <w:rsid w:val="002E7C62"/>
    <w:rsid w:val="002E7D08"/>
    <w:rsid w:val="002E7DA3"/>
    <w:rsid w:val="002E7E75"/>
    <w:rsid w:val="002F0002"/>
    <w:rsid w:val="002F00BF"/>
    <w:rsid w:val="002F0138"/>
    <w:rsid w:val="002F01E2"/>
    <w:rsid w:val="002F0207"/>
    <w:rsid w:val="002F047D"/>
    <w:rsid w:val="002F0672"/>
    <w:rsid w:val="002F06DD"/>
    <w:rsid w:val="002F0737"/>
    <w:rsid w:val="002F09D0"/>
    <w:rsid w:val="002F0B71"/>
    <w:rsid w:val="002F0B84"/>
    <w:rsid w:val="002F0BC6"/>
    <w:rsid w:val="002F0C43"/>
    <w:rsid w:val="002F0CEE"/>
    <w:rsid w:val="002F0D05"/>
    <w:rsid w:val="002F0D0C"/>
    <w:rsid w:val="002F0EB3"/>
    <w:rsid w:val="002F0F83"/>
    <w:rsid w:val="002F0F86"/>
    <w:rsid w:val="002F1002"/>
    <w:rsid w:val="002F105A"/>
    <w:rsid w:val="002F1104"/>
    <w:rsid w:val="002F1176"/>
    <w:rsid w:val="002F11F9"/>
    <w:rsid w:val="002F1201"/>
    <w:rsid w:val="002F1359"/>
    <w:rsid w:val="002F13D7"/>
    <w:rsid w:val="002F1413"/>
    <w:rsid w:val="002F1414"/>
    <w:rsid w:val="002F1495"/>
    <w:rsid w:val="002F14D8"/>
    <w:rsid w:val="002F14E9"/>
    <w:rsid w:val="002F15DA"/>
    <w:rsid w:val="002F16AB"/>
    <w:rsid w:val="002F17E3"/>
    <w:rsid w:val="002F18B5"/>
    <w:rsid w:val="002F1B0B"/>
    <w:rsid w:val="002F1C5C"/>
    <w:rsid w:val="002F1D28"/>
    <w:rsid w:val="002F1E1B"/>
    <w:rsid w:val="002F1E4D"/>
    <w:rsid w:val="002F1E80"/>
    <w:rsid w:val="002F1F46"/>
    <w:rsid w:val="002F1F64"/>
    <w:rsid w:val="002F2069"/>
    <w:rsid w:val="002F207A"/>
    <w:rsid w:val="002F20CF"/>
    <w:rsid w:val="002F2105"/>
    <w:rsid w:val="002F2140"/>
    <w:rsid w:val="002F2145"/>
    <w:rsid w:val="002F2154"/>
    <w:rsid w:val="002F2173"/>
    <w:rsid w:val="002F21AB"/>
    <w:rsid w:val="002F21F5"/>
    <w:rsid w:val="002F22D1"/>
    <w:rsid w:val="002F2301"/>
    <w:rsid w:val="002F234E"/>
    <w:rsid w:val="002F2378"/>
    <w:rsid w:val="002F2430"/>
    <w:rsid w:val="002F2502"/>
    <w:rsid w:val="002F25A1"/>
    <w:rsid w:val="002F2647"/>
    <w:rsid w:val="002F26DE"/>
    <w:rsid w:val="002F2739"/>
    <w:rsid w:val="002F27AC"/>
    <w:rsid w:val="002F27C4"/>
    <w:rsid w:val="002F27D2"/>
    <w:rsid w:val="002F286F"/>
    <w:rsid w:val="002F28ED"/>
    <w:rsid w:val="002F2911"/>
    <w:rsid w:val="002F29B8"/>
    <w:rsid w:val="002F2AC7"/>
    <w:rsid w:val="002F2B40"/>
    <w:rsid w:val="002F2C34"/>
    <w:rsid w:val="002F2C6E"/>
    <w:rsid w:val="002F2E25"/>
    <w:rsid w:val="002F2ED2"/>
    <w:rsid w:val="002F301E"/>
    <w:rsid w:val="002F3067"/>
    <w:rsid w:val="002F30F0"/>
    <w:rsid w:val="002F31A4"/>
    <w:rsid w:val="002F31AB"/>
    <w:rsid w:val="002F32C6"/>
    <w:rsid w:val="002F32E8"/>
    <w:rsid w:val="002F343E"/>
    <w:rsid w:val="002F34E4"/>
    <w:rsid w:val="002F3572"/>
    <w:rsid w:val="002F3580"/>
    <w:rsid w:val="002F362D"/>
    <w:rsid w:val="002F3635"/>
    <w:rsid w:val="002F370F"/>
    <w:rsid w:val="002F384B"/>
    <w:rsid w:val="002F38B0"/>
    <w:rsid w:val="002F3952"/>
    <w:rsid w:val="002F39AC"/>
    <w:rsid w:val="002F3A41"/>
    <w:rsid w:val="002F3BAF"/>
    <w:rsid w:val="002F3C2B"/>
    <w:rsid w:val="002F3DBB"/>
    <w:rsid w:val="002F3DBE"/>
    <w:rsid w:val="002F3E22"/>
    <w:rsid w:val="002F3E54"/>
    <w:rsid w:val="002F3F71"/>
    <w:rsid w:val="002F4342"/>
    <w:rsid w:val="002F4408"/>
    <w:rsid w:val="002F44C7"/>
    <w:rsid w:val="002F44EB"/>
    <w:rsid w:val="002F4662"/>
    <w:rsid w:val="002F46F7"/>
    <w:rsid w:val="002F470D"/>
    <w:rsid w:val="002F474A"/>
    <w:rsid w:val="002F48CE"/>
    <w:rsid w:val="002F4977"/>
    <w:rsid w:val="002F4B51"/>
    <w:rsid w:val="002F4B71"/>
    <w:rsid w:val="002F4BAB"/>
    <w:rsid w:val="002F4BC7"/>
    <w:rsid w:val="002F4BFA"/>
    <w:rsid w:val="002F4EA1"/>
    <w:rsid w:val="002F4EAC"/>
    <w:rsid w:val="002F5021"/>
    <w:rsid w:val="002F506B"/>
    <w:rsid w:val="002F5076"/>
    <w:rsid w:val="002F50C2"/>
    <w:rsid w:val="002F5116"/>
    <w:rsid w:val="002F5194"/>
    <w:rsid w:val="002F51A2"/>
    <w:rsid w:val="002F51CC"/>
    <w:rsid w:val="002F537A"/>
    <w:rsid w:val="002F5448"/>
    <w:rsid w:val="002F544A"/>
    <w:rsid w:val="002F5517"/>
    <w:rsid w:val="002F567B"/>
    <w:rsid w:val="002F594E"/>
    <w:rsid w:val="002F59EC"/>
    <w:rsid w:val="002F5BBB"/>
    <w:rsid w:val="002F5C56"/>
    <w:rsid w:val="002F5C82"/>
    <w:rsid w:val="002F5D66"/>
    <w:rsid w:val="002F5DD7"/>
    <w:rsid w:val="002F5F29"/>
    <w:rsid w:val="002F6039"/>
    <w:rsid w:val="002F6101"/>
    <w:rsid w:val="002F618E"/>
    <w:rsid w:val="002F61E4"/>
    <w:rsid w:val="002F630B"/>
    <w:rsid w:val="002F6334"/>
    <w:rsid w:val="002F6365"/>
    <w:rsid w:val="002F6445"/>
    <w:rsid w:val="002F64A7"/>
    <w:rsid w:val="002F661A"/>
    <w:rsid w:val="002F6738"/>
    <w:rsid w:val="002F6832"/>
    <w:rsid w:val="002F6836"/>
    <w:rsid w:val="002F6875"/>
    <w:rsid w:val="002F6901"/>
    <w:rsid w:val="002F693A"/>
    <w:rsid w:val="002F6962"/>
    <w:rsid w:val="002F696B"/>
    <w:rsid w:val="002F698A"/>
    <w:rsid w:val="002F6A2C"/>
    <w:rsid w:val="002F6B03"/>
    <w:rsid w:val="002F6B49"/>
    <w:rsid w:val="002F6B59"/>
    <w:rsid w:val="002F6C03"/>
    <w:rsid w:val="002F6C65"/>
    <w:rsid w:val="002F6D80"/>
    <w:rsid w:val="002F6DD7"/>
    <w:rsid w:val="002F6EA2"/>
    <w:rsid w:val="002F706B"/>
    <w:rsid w:val="002F706E"/>
    <w:rsid w:val="002F711B"/>
    <w:rsid w:val="002F712A"/>
    <w:rsid w:val="002F717A"/>
    <w:rsid w:val="002F72E5"/>
    <w:rsid w:val="002F733F"/>
    <w:rsid w:val="002F7422"/>
    <w:rsid w:val="002F742D"/>
    <w:rsid w:val="002F75A2"/>
    <w:rsid w:val="002F75F7"/>
    <w:rsid w:val="002F760B"/>
    <w:rsid w:val="002F7626"/>
    <w:rsid w:val="002F7794"/>
    <w:rsid w:val="002F77F0"/>
    <w:rsid w:val="002F785F"/>
    <w:rsid w:val="002F7882"/>
    <w:rsid w:val="002F7A78"/>
    <w:rsid w:val="002F7A7D"/>
    <w:rsid w:val="002F7B43"/>
    <w:rsid w:val="002F7B96"/>
    <w:rsid w:val="002F7C41"/>
    <w:rsid w:val="002F7D89"/>
    <w:rsid w:val="002F7DA3"/>
    <w:rsid w:val="002F7DCA"/>
    <w:rsid w:val="002F7EC1"/>
    <w:rsid w:val="002F7F16"/>
    <w:rsid w:val="00300094"/>
    <w:rsid w:val="003000EF"/>
    <w:rsid w:val="00300154"/>
    <w:rsid w:val="00300226"/>
    <w:rsid w:val="0030028C"/>
    <w:rsid w:val="003002B9"/>
    <w:rsid w:val="003002D3"/>
    <w:rsid w:val="0030061E"/>
    <w:rsid w:val="003006E1"/>
    <w:rsid w:val="003007C8"/>
    <w:rsid w:val="003007C9"/>
    <w:rsid w:val="003007FC"/>
    <w:rsid w:val="00300816"/>
    <w:rsid w:val="00300826"/>
    <w:rsid w:val="0030096D"/>
    <w:rsid w:val="00300A03"/>
    <w:rsid w:val="00300A53"/>
    <w:rsid w:val="00300CA4"/>
    <w:rsid w:val="00300D5F"/>
    <w:rsid w:val="00300D8A"/>
    <w:rsid w:val="00300DF6"/>
    <w:rsid w:val="00300DFE"/>
    <w:rsid w:val="00300E27"/>
    <w:rsid w:val="00300EA0"/>
    <w:rsid w:val="00300ECB"/>
    <w:rsid w:val="00300EFF"/>
    <w:rsid w:val="00300FA7"/>
    <w:rsid w:val="00301023"/>
    <w:rsid w:val="00301088"/>
    <w:rsid w:val="003010D9"/>
    <w:rsid w:val="003011CE"/>
    <w:rsid w:val="003013B5"/>
    <w:rsid w:val="003013EE"/>
    <w:rsid w:val="00301482"/>
    <w:rsid w:val="00301488"/>
    <w:rsid w:val="00301491"/>
    <w:rsid w:val="00301562"/>
    <w:rsid w:val="00301575"/>
    <w:rsid w:val="00301586"/>
    <w:rsid w:val="003015DE"/>
    <w:rsid w:val="003016BF"/>
    <w:rsid w:val="003018CD"/>
    <w:rsid w:val="0030197D"/>
    <w:rsid w:val="00301991"/>
    <w:rsid w:val="003019BE"/>
    <w:rsid w:val="00301AC6"/>
    <w:rsid w:val="00301AE3"/>
    <w:rsid w:val="00301B27"/>
    <w:rsid w:val="00301CB1"/>
    <w:rsid w:val="00301CB7"/>
    <w:rsid w:val="00301D72"/>
    <w:rsid w:val="00301DED"/>
    <w:rsid w:val="00301F1E"/>
    <w:rsid w:val="00301F9F"/>
    <w:rsid w:val="00302081"/>
    <w:rsid w:val="00302600"/>
    <w:rsid w:val="003026AF"/>
    <w:rsid w:val="003026E8"/>
    <w:rsid w:val="00302AC5"/>
    <w:rsid w:val="00302AC7"/>
    <w:rsid w:val="00302B16"/>
    <w:rsid w:val="00302C2B"/>
    <w:rsid w:val="00302C8F"/>
    <w:rsid w:val="00302E04"/>
    <w:rsid w:val="00302E54"/>
    <w:rsid w:val="00302E7B"/>
    <w:rsid w:val="00302E97"/>
    <w:rsid w:val="00302F0C"/>
    <w:rsid w:val="003030A5"/>
    <w:rsid w:val="00303209"/>
    <w:rsid w:val="003032A6"/>
    <w:rsid w:val="003032AB"/>
    <w:rsid w:val="00303377"/>
    <w:rsid w:val="003034A2"/>
    <w:rsid w:val="00303557"/>
    <w:rsid w:val="00303632"/>
    <w:rsid w:val="003036CD"/>
    <w:rsid w:val="0030376F"/>
    <w:rsid w:val="00303841"/>
    <w:rsid w:val="00303924"/>
    <w:rsid w:val="00303946"/>
    <w:rsid w:val="00303C4C"/>
    <w:rsid w:val="00303F58"/>
    <w:rsid w:val="00303FF9"/>
    <w:rsid w:val="0030404C"/>
    <w:rsid w:val="00304053"/>
    <w:rsid w:val="0030406E"/>
    <w:rsid w:val="00304158"/>
    <w:rsid w:val="0030418E"/>
    <w:rsid w:val="003041E1"/>
    <w:rsid w:val="003041F0"/>
    <w:rsid w:val="0030446F"/>
    <w:rsid w:val="003044CC"/>
    <w:rsid w:val="00304669"/>
    <w:rsid w:val="00304685"/>
    <w:rsid w:val="00304714"/>
    <w:rsid w:val="0030482C"/>
    <w:rsid w:val="00304876"/>
    <w:rsid w:val="00304914"/>
    <w:rsid w:val="00304949"/>
    <w:rsid w:val="00304B00"/>
    <w:rsid w:val="00304B17"/>
    <w:rsid w:val="00304B58"/>
    <w:rsid w:val="00304B76"/>
    <w:rsid w:val="00304BFD"/>
    <w:rsid w:val="00304D2E"/>
    <w:rsid w:val="00304EFE"/>
    <w:rsid w:val="00304F65"/>
    <w:rsid w:val="00305066"/>
    <w:rsid w:val="00305193"/>
    <w:rsid w:val="003052DC"/>
    <w:rsid w:val="0030534C"/>
    <w:rsid w:val="003053D8"/>
    <w:rsid w:val="00305465"/>
    <w:rsid w:val="0030555A"/>
    <w:rsid w:val="00305631"/>
    <w:rsid w:val="00305696"/>
    <w:rsid w:val="0030570A"/>
    <w:rsid w:val="003057B2"/>
    <w:rsid w:val="0030581D"/>
    <w:rsid w:val="00305840"/>
    <w:rsid w:val="00305877"/>
    <w:rsid w:val="0030590B"/>
    <w:rsid w:val="00305940"/>
    <w:rsid w:val="0030594A"/>
    <w:rsid w:val="003059E8"/>
    <w:rsid w:val="00305AFD"/>
    <w:rsid w:val="00305EA0"/>
    <w:rsid w:val="0030614D"/>
    <w:rsid w:val="00306165"/>
    <w:rsid w:val="0030618D"/>
    <w:rsid w:val="00306242"/>
    <w:rsid w:val="00306283"/>
    <w:rsid w:val="00306356"/>
    <w:rsid w:val="0030636C"/>
    <w:rsid w:val="0030646E"/>
    <w:rsid w:val="003064F4"/>
    <w:rsid w:val="003065A8"/>
    <w:rsid w:val="003065EE"/>
    <w:rsid w:val="00306691"/>
    <w:rsid w:val="00306879"/>
    <w:rsid w:val="003068EC"/>
    <w:rsid w:val="00306931"/>
    <w:rsid w:val="003069A4"/>
    <w:rsid w:val="00306A13"/>
    <w:rsid w:val="00306A54"/>
    <w:rsid w:val="00306A5D"/>
    <w:rsid w:val="00306AA3"/>
    <w:rsid w:val="00306C60"/>
    <w:rsid w:val="00306D86"/>
    <w:rsid w:val="00306EA7"/>
    <w:rsid w:val="00307014"/>
    <w:rsid w:val="003070DA"/>
    <w:rsid w:val="003070DB"/>
    <w:rsid w:val="003071F7"/>
    <w:rsid w:val="0030722D"/>
    <w:rsid w:val="00307311"/>
    <w:rsid w:val="003073ED"/>
    <w:rsid w:val="0030743C"/>
    <w:rsid w:val="003074AF"/>
    <w:rsid w:val="003074CC"/>
    <w:rsid w:val="00307526"/>
    <w:rsid w:val="0030769A"/>
    <w:rsid w:val="00307732"/>
    <w:rsid w:val="003078D6"/>
    <w:rsid w:val="0030790C"/>
    <w:rsid w:val="00307A70"/>
    <w:rsid w:val="00307AA0"/>
    <w:rsid w:val="00307BDE"/>
    <w:rsid w:val="00307C11"/>
    <w:rsid w:val="00307C38"/>
    <w:rsid w:val="00307DBF"/>
    <w:rsid w:val="00307E54"/>
    <w:rsid w:val="0031001E"/>
    <w:rsid w:val="00310071"/>
    <w:rsid w:val="0031020E"/>
    <w:rsid w:val="003102AF"/>
    <w:rsid w:val="00310346"/>
    <w:rsid w:val="00310455"/>
    <w:rsid w:val="003104B1"/>
    <w:rsid w:val="0031050B"/>
    <w:rsid w:val="003105BE"/>
    <w:rsid w:val="0031060D"/>
    <w:rsid w:val="003106BC"/>
    <w:rsid w:val="00310749"/>
    <w:rsid w:val="0031083E"/>
    <w:rsid w:val="0031085A"/>
    <w:rsid w:val="003108B2"/>
    <w:rsid w:val="00310A22"/>
    <w:rsid w:val="00310AC5"/>
    <w:rsid w:val="00310B4E"/>
    <w:rsid w:val="00310B65"/>
    <w:rsid w:val="00310B7C"/>
    <w:rsid w:val="00310C17"/>
    <w:rsid w:val="00310D1A"/>
    <w:rsid w:val="00310D2F"/>
    <w:rsid w:val="00310DAC"/>
    <w:rsid w:val="00310DB7"/>
    <w:rsid w:val="00310E6D"/>
    <w:rsid w:val="00310FBE"/>
    <w:rsid w:val="00311033"/>
    <w:rsid w:val="00311093"/>
    <w:rsid w:val="003110F5"/>
    <w:rsid w:val="00311178"/>
    <w:rsid w:val="003111EF"/>
    <w:rsid w:val="003111F1"/>
    <w:rsid w:val="0031137D"/>
    <w:rsid w:val="00311443"/>
    <w:rsid w:val="003114BF"/>
    <w:rsid w:val="003114FB"/>
    <w:rsid w:val="0031168F"/>
    <w:rsid w:val="003116F5"/>
    <w:rsid w:val="0031172E"/>
    <w:rsid w:val="0031172F"/>
    <w:rsid w:val="003117A3"/>
    <w:rsid w:val="003117D1"/>
    <w:rsid w:val="003118BD"/>
    <w:rsid w:val="00311C0E"/>
    <w:rsid w:val="00311E43"/>
    <w:rsid w:val="00311F68"/>
    <w:rsid w:val="00311F7D"/>
    <w:rsid w:val="00311FA5"/>
    <w:rsid w:val="003120C8"/>
    <w:rsid w:val="003120E1"/>
    <w:rsid w:val="00312183"/>
    <w:rsid w:val="003121E8"/>
    <w:rsid w:val="00312360"/>
    <w:rsid w:val="003123E9"/>
    <w:rsid w:val="003124A6"/>
    <w:rsid w:val="00312528"/>
    <w:rsid w:val="00312559"/>
    <w:rsid w:val="003125D7"/>
    <w:rsid w:val="003126CB"/>
    <w:rsid w:val="0031277B"/>
    <w:rsid w:val="00312923"/>
    <w:rsid w:val="00312994"/>
    <w:rsid w:val="003129E3"/>
    <w:rsid w:val="00312A98"/>
    <w:rsid w:val="00312B6F"/>
    <w:rsid w:val="00312B9F"/>
    <w:rsid w:val="00312BC1"/>
    <w:rsid w:val="00312C18"/>
    <w:rsid w:val="00312DA3"/>
    <w:rsid w:val="00312E9D"/>
    <w:rsid w:val="0031300D"/>
    <w:rsid w:val="0031306E"/>
    <w:rsid w:val="0031314B"/>
    <w:rsid w:val="0031317A"/>
    <w:rsid w:val="0031319A"/>
    <w:rsid w:val="003131AC"/>
    <w:rsid w:val="0031323F"/>
    <w:rsid w:val="00313279"/>
    <w:rsid w:val="0031327F"/>
    <w:rsid w:val="0031338F"/>
    <w:rsid w:val="00313453"/>
    <w:rsid w:val="003134A3"/>
    <w:rsid w:val="003134FC"/>
    <w:rsid w:val="00313588"/>
    <w:rsid w:val="0031358B"/>
    <w:rsid w:val="0031372E"/>
    <w:rsid w:val="00313788"/>
    <w:rsid w:val="00313872"/>
    <w:rsid w:val="00313AC3"/>
    <w:rsid w:val="00313BBA"/>
    <w:rsid w:val="00313CC9"/>
    <w:rsid w:val="00313CD6"/>
    <w:rsid w:val="00313CF3"/>
    <w:rsid w:val="00313D53"/>
    <w:rsid w:val="00313E1F"/>
    <w:rsid w:val="00313E5C"/>
    <w:rsid w:val="00313ED3"/>
    <w:rsid w:val="00313F3B"/>
    <w:rsid w:val="00313F71"/>
    <w:rsid w:val="00314008"/>
    <w:rsid w:val="003140A6"/>
    <w:rsid w:val="003142AD"/>
    <w:rsid w:val="003142E2"/>
    <w:rsid w:val="00314391"/>
    <w:rsid w:val="00314397"/>
    <w:rsid w:val="003143AC"/>
    <w:rsid w:val="00314471"/>
    <w:rsid w:val="003147A3"/>
    <w:rsid w:val="003147F6"/>
    <w:rsid w:val="0031488D"/>
    <w:rsid w:val="003148A7"/>
    <w:rsid w:val="00314A68"/>
    <w:rsid w:val="00314B01"/>
    <w:rsid w:val="00314C28"/>
    <w:rsid w:val="00314C38"/>
    <w:rsid w:val="00314CC5"/>
    <w:rsid w:val="00314D40"/>
    <w:rsid w:val="00314D7B"/>
    <w:rsid w:val="00314F26"/>
    <w:rsid w:val="00314F7A"/>
    <w:rsid w:val="00314F89"/>
    <w:rsid w:val="003150A5"/>
    <w:rsid w:val="00315132"/>
    <w:rsid w:val="00315259"/>
    <w:rsid w:val="0031531F"/>
    <w:rsid w:val="0031536C"/>
    <w:rsid w:val="00315377"/>
    <w:rsid w:val="003154E1"/>
    <w:rsid w:val="00315586"/>
    <w:rsid w:val="00315674"/>
    <w:rsid w:val="0031569C"/>
    <w:rsid w:val="003157DE"/>
    <w:rsid w:val="00315813"/>
    <w:rsid w:val="003158A4"/>
    <w:rsid w:val="003159B5"/>
    <w:rsid w:val="00315B6B"/>
    <w:rsid w:val="00315CDF"/>
    <w:rsid w:val="00315D5B"/>
    <w:rsid w:val="00315D84"/>
    <w:rsid w:val="00315D92"/>
    <w:rsid w:val="00315F44"/>
    <w:rsid w:val="00315FAD"/>
    <w:rsid w:val="00316015"/>
    <w:rsid w:val="003160AD"/>
    <w:rsid w:val="003160E5"/>
    <w:rsid w:val="00316114"/>
    <w:rsid w:val="00316132"/>
    <w:rsid w:val="00316256"/>
    <w:rsid w:val="00316290"/>
    <w:rsid w:val="0031636D"/>
    <w:rsid w:val="003163CD"/>
    <w:rsid w:val="00316539"/>
    <w:rsid w:val="00316613"/>
    <w:rsid w:val="0031679D"/>
    <w:rsid w:val="00316818"/>
    <w:rsid w:val="00316824"/>
    <w:rsid w:val="00316922"/>
    <w:rsid w:val="003169BB"/>
    <w:rsid w:val="003169E1"/>
    <w:rsid w:val="003169E8"/>
    <w:rsid w:val="00316BC1"/>
    <w:rsid w:val="00316C1F"/>
    <w:rsid w:val="00316C73"/>
    <w:rsid w:val="00316D9F"/>
    <w:rsid w:val="0031702A"/>
    <w:rsid w:val="0031704B"/>
    <w:rsid w:val="00317067"/>
    <w:rsid w:val="00317145"/>
    <w:rsid w:val="00317322"/>
    <w:rsid w:val="0031732D"/>
    <w:rsid w:val="003173BB"/>
    <w:rsid w:val="00317452"/>
    <w:rsid w:val="00317453"/>
    <w:rsid w:val="003174A4"/>
    <w:rsid w:val="003174F4"/>
    <w:rsid w:val="00317561"/>
    <w:rsid w:val="003176C4"/>
    <w:rsid w:val="00317724"/>
    <w:rsid w:val="00317725"/>
    <w:rsid w:val="00317B9A"/>
    <w:rsid w:val="00317BB1"/>
    <w:rsid w:val="00317CC0"/>
    <w:rsid w:val="00317CDB"/>
    <w:rsid w:val="00317D42"/>
    <w:rsid w:val="00317E0D"/>
    <w:rsid w:val="00317E96"/>
    <w:rsid w:val="00317ED2"/>
    <w:rsid w:val="00317EFF"/>
    <w:rsid w:val="00317F8C"/>
    <w:rsid w:val="00317FD5"/>
    <w:rsid w:val="0032009F"/>
    <w:rsid w:val="003200D9"/>
    <w:rsid w:val="0032014C"/>
    <w:rsid w:val="003202F6"/>
    <w:rsid w:val="0032030C"/>
    <w:rsid w:val="0032039F"/>
    <w:rsid w:val="003203F5"/>
    <w:rsid w:val="003204A8"/>
    <w:rsid w:val="003204C1"/>
    <w:rsid w:val="0032056C"/>
    <w:rsid w:val="0032059B"/>
    <w:rsid w:val="003205B0"/>
    <w:rsid w:val="003206C7"/>
    <w:rsid w:val="00320710"/>
    <w:rsid w:val="00320992"/>
    <w:rsid w:val="00320A3B"/>
    <w:rsid w:val="00320BA8"/>
    <w:rsid w:val="00320C2D"/>
    <w:rsid w:val="00320C6A"/>
    <w:rsid w:val="00320CD0"/>
    <w:rsid w:val="00320DAA"/>
    <w:rsid w:val="00320EEA"/>
    <w:rsid w:val="00320F3D"/>
    <w:rsid w:val="00320FA7"/>
    <w:rsid w:val="00320FDA"/>
    <w:rsid w:val="0032101E"/>
    <w:rsid w:val="00321036"/>
    <w:rsid w:val="003211E9"/>
    <w:rsid w:val="00321285"/>
    <w:rsid w:val="003213A0"/>
    <w:rsid w:val="0032175C"/>
    <w:rsid w:val="0032188E"/>
    <w:rsid w:val="00321914"/>
    <w:rsid w:val="0032195A"/>
    <w:rsid w:val="00321A3F"/>
    <w:rsid w:val="00321A6B"/>
    <w:rsid w:val="00321BD4"/>
    <w:rsid w:val="00321C5C"/>
    <w:rsid w:val="00321C92"/>
    <w:rsid w:val="00321CDD"/>
    <w:rsid w:val="00321D1A"/>
    <w:rsid w:val="00321D9B"/>
    <w:rsid w:val="00321DF7"/>
    <w:rsid w:val="00321E1F"/>
    <w:rsid w:val="00321E58"/>
    <w:rsid w:val="00321E9F"/>
    <w:rsid w:val="00322076"/>
    <w:rsid w:val="003220A8"/>
    <w:rsid w:val="003220AA"/>
    <w:rsid w:val="003220C9"/>
    <w:rsid w:val="003221DC"/>
    <w:rsid w:val="00322225"/>
    <w:rsid w:val="003222AD"/>
    <w:rsid w:val="003222B3"/>
    <w:rsid w:val="003222E8"/>
    <w:rsid w:val="003223AD"/>
    <w:rsid w:val="00322445"/>
    <w:rsid w:val="00322472"/>
    <w:rsid w:val="003224A5"/>
    <w:rsid w:val="00322543"/>
    <w:rsid w:val="00322585"/>
    <w:rsid w:val="003225B9"/>
    <w:rsid w:val="003225F8"/>
    <w:rsid w:val="0032269F"/>
    <w:rsid w:val="0032273E"/>
    <w:rsid w:val="0032285D"/>
    <w:rsid w:val="003228EE"/>
    <w:rsid w:val="0032297B"/>
    <w:rsid w:val="0032298E"/>
    <w:rsid w:val="003229AC"/>
    <w:rsid w:val="00322B3F"/>
    <w:rsid w:val="00322B93"/>
    <w:rsid w:val="00322BB8"/>
    <w:rsid w:val="00322C1B"/>
    <w:rsid w:val="00322D6F"/>
    <w:rsid w:val="00322D80"/>
    <w:rsid w:val="00322E1E"/>
    <w:rsid w:val="00322E60"/>
    <w:rsid w:val="00322E8B"/>
    <w:rsid w:val="00322EF3"/>
    <w:rsid w:val="00323014"/>
    <w:rsid w:val="0032308F"/>
    <w:rsid w:val="0032320C"/>
    <w:rsid w:val="00323249"/>
    <w:rsid w:val="003232C3"/>
    <w:rsid w:val="00323313"/>
    <w:rsid w:val="0032333E"/>
    <w:rsid w:val="003233C0"/>
    <w:rsid w:val="0032342A"/>
    <w:rsid w:val="00323547"/>
    <w:rsid w:val="003235F2"/>
    <w:rsid w:val="003236BE"/>
    <w:rsid w:val="00323720"/>
    <w:rsid w:val="003237A2"/>
    <w:rsid w:val="003237EC"/>
    <w:rsid w:val="00323902"/>
    <w:rsid w:val="0032396A"/>
    <w:rsid w:val="00323A6A"/>
    <w:rsid w:val="00323ACB"/>
    <w:rsid w:val="00323AD7"/>
    <w:rsid w:val="00323B41"/>
    <w:rsid w:val="00323C3F"/>
    <w:rsid w:val="00323C70"/>
    <w:rsid w:val="00323DD7"/>
    <w:rsid w:val="00323E81"/>
    <w:rsid w:val="00323EA1"/>
    <w:rsid w:val="0032409F"/>
    <w:rsid w:val="00324125"/>
    <w:rsid w:val="003241FC"/>
    <w:rsid w:val="00324212"/>
    <w:rsid w:val="00324219"/>
    <w:rsid w:val="00324277"/>
    <w:rsid w:val="003242EC"/>
    <w:rsid w:val="00324302"/>
    <w:rsid w:val="0032433F"/>
    <w:rsid w:val="003244DD"/>
    <w:rsid w:val="003246C5"/>
    <w:rsid w:val="003247CA"/>
    <w:rsid w:val="003249A3"/>
    <w:rsid w:val="003249F8"/>
    <w:rsid w:val="00324A1F"/>
    <w:rsid w:val="00324A81"/>
    <w:rsid w:val="00324C6C"/>
    <w:rsid w:val="00324D3E"/>
    <w:rsid w:val="00324F2A"/>
    <w:rsid w:val="00324F80"/>
    <w:rsid w:val="00324F85"/>
    <w:rsid w:val="00324F9F"/>
    <w:rsid w:val="00325085"/>
    <w:rsid w:val="00325151"/>
    <w:rsid w:val="003251AF"/>
    <w:rsid w:val="003252CE"/>
    <w:rsid w:val="003252FD"/>
    <w:rsid w:val="00325324"/>
    <w:rsid w:val="0032543B"/>
    <w:rsid w:val="0032548E"/>
    <w:rsid w:val="00325526"/>
    <w:rsid w:val="0032552B"/>
    <w:rsid w:val="00325599"/>
    <w:rsid w:val="00325810"/>
    <w:rsid w:val="00325862"/>
    <w:rsid w:val="003258D4"/>
    <w:rsid w:val="003258D9"/>
    <w:rsid w:val="00325E18"/>
    <w:rsid w:val="00325F01"/>
    <w:rsid w:val="00326103"/>
    <w:rsid w:val="00326162"/>
    <w:rsid w:val="00326175"/>
    <w:rsid w:val="003262E6"/>
    <w:rsid w:val="00326340"/>
    <w:rsid w:val="003264E7"/>
    <w:rsid w:val="003264F3"/>
    <w:rsid w:val="0032650E"/>
    <w:rsid w:val="00326598"/>
    <w:rsid w:val="0032666D"/>
    <w:rsid w:val="00326789"/>
    <w:rsid w:val="0032682C"/>
    <w:rsid w:val="00326886"/>
    <w:rsid w:val="003268A3"/>
    <w:rsid w:val="0032690A"/>
    <w:rsid w:val="00326915"/>
    <w:rsid w:val="0032697C"/>
    <w:rsid w:val="0032698B"/>
    <w:rsid w:val="003269CD"/>
    <w:rsid w:val="00326AF5"/>
    <w:rsid w:val="00326B28"/>
    <w:rsid w:val="00326BD5"/>
    <w:rsid w:val="00326CA7"/>
    <w:rsid w:val="00326DA4"/>
    <w:rsid w:val="00326E07"/>
    <w:rsid w:val="00326E20"/>
    <w:rsid w:val="00326E37"/>
    <w:rsid w:val="00326E3C"/>
    <w:rsid w:val="00326F7D"/>
    <w:rsid w:val="00327019"/>
    <w:rsid w:val="00327025"/>
    <w:rsid w:val="00327083"/>
    <w:rsid w:val="00327196"/>
    <w:rsid w:val="003272F6"/>
    <w:rsid w:val="0032730D"/>
    <w:rsid w:val="0032736E"/>
    <w:rsid w:val="0032738E"/>
    <w:rsid w:val="003273B7"/>
    <w:rsid w:val="0032744A"/>
    <w:rsid w:val="00327491"/>
    <w:rsid w:val="00327545"/>
    <w:rsid w:val="003275AB"/>
    <w:rsid w:val="003277AB"/>
    <w:rsid w:val="0032794F"/>
    <w:rsid w:val="003279DC"/>
    <w:rsid w:val="003279FA"/>
    <w:rsid w:val="00327ABC"/>
    <w:rsid w:val="00327B3D"/>
    <w:rsid w:val="00327B98"/>
    <w:rsid w:val="00327BB5"/>
    <w:rsid w:val="00327C1A"/>
    <w:rsid w:val="00327CA6"/>
    <w:rsid w:val="00327D0C"/>
    <w:rsid w:val="00327D78"/>
    <w:rsid w:val="00327D8D"/>
    <w:rsid w:val="00327E74"/>
    <w:rsid w:val="0033007A"/>
    <w:rsid w:val="003300F4"/>
    <w:rsid w:val="00330128"/>
    <w:rsid w:val="0033012D"/>
    <w:rsid w:val="00330173"/>
    <w:rsid w:val="00330190"/>
    <w:rsid w:val="003301EB"/>
    <w:rsid w:val="0033026F"/>
    <w:rsid w:val="0033040C"/>
    <w:rsid w:val="00330412"/>
    <w:rsid w:val="00330498"/>
    <w:rsid w:val="00330619"/>
    <w:rsid w:val="0033068F"/>
    <w:rsid w:val="003306EE"/>
    <w:rsid w:val="003307FB"/>
    <w:rsid w:val="003308A7"/>
    <w:rsid w:val="0033091B"/>
    <w:rsid w:val="00330998"/>
    <w:rsid w:val="00330BB8"/>
    <w:rsid w:val="00330BE9"/>
    <w:rsid w:val="00330BF1"/>
    <w:rsid w:val="00330F23"/>
    <w:rsid w:val="00330F38"/>
    <w:rsid w:val="00330F46"/>
    <w:rsid w:val="00330F95"/>
    <w:rsid w:val="00331056"/>
    <w:rsid w:val="003310A4"/>
    <w:rsid w:val="003310D5"/>
    <w:rsid w:val="003310D9"/>
    <w:rsid w:val="0033112C"/>
    <w:rsid w:val="003311EB"/>
    <w:rsid w:val="00331279"/>
    <w:rsid w:val="00331396"/>
    <w:rsid w:val="003313EB"/>
    <w:rsid w:val="00331414"/>
    <w:rsid w:val="003315F9"/>
    <w:rsid w:val="00331640"/>
    <w:rsid w:val="00331644"/>
    <w:rsid w:val="0033164A"/>
    <w:rsid w:val="003316E6"/>
    <w:rsid w:val="00331834"/>
    <w:rsid w:val="00331887"/>
    <w:rsid w:val="003318C2"/>
    <w:rsid w:val="003318CF"/>
    <w:rsid w:val="0033192B"/>
    <w:rsid w:val="0033195E"/>
    <w:rsid w:val="00331965"/>
    <w:rsid w:val="00331A7A"/>
    <w:rsid w:val="00331AAE"/>
    <w:rsid w:val="00331B26"/>
    <w:rsid w:val="00331D6D"/>
    <w:rsid w:val="00331F54"/>
    <w:rsid w:val="0033218E"/>
    <w:rsid w:val="003321AF"/>
    <w:rsid w:val="00332219"/>
    <w:rsid w:val="0033229E"/>
    <w:rsid w:val="003322A4"/>
    <w:rsid w:val="003322CB"/>
    <w:rsid w:val="0033249D"/>
    <w:rsid w:val="0033279F"/>
    <w:rsid w:val="0033282F"/>
    <w:rsid w:val="00332849"/>
    <w:rsid w:val="00332A18"/>
    <w:rsid w:val="00332A75"/>
    <w:rsid w:val="00332CB2"/>
    <w:rsid w:val="00332E86"/>
    <w:rsid w:val="00332F1F"/>
    <w:rsid w:val="003330DF"/>
    <w:rsid w:val="003330F9"/>
    <w:rsid w:val="003331B5"/>
    <w:rsid w:val="003331EA"/>
    <w:rsid w:val="00333292"/>
    <w:rsid w:val="003333C8"/>
    <w:rsid w:val="00333406"/>
    <w:rsid w:val="0033346B"/>
    <w:rsid w:val="00333493"/>
    <w:rsid w:val="00333521"/>
    <w:rsid w:val="0033373B"/>
    <w:rsid w:val="00333801"/>
    <w:rsid w:val="00333859"/>
    <w:rsid w:val="00333950"/>
    <w:rsid w:val="00333AB4"/>
    <w:rsid w:val="00333B0D"/>
    <w:rsid w:val="00333CA5"/>
    <w:rsid w:val="00333D02"/>
    <w:rsid w:val="00333D18"/>
    <w:rsid w:val="00333E27"/>
    <w:rsid w:val="00333E6B"/>
    <w:rsid w:val="00333EB5"/>
    <w:rsid w:val="00333F04"/>
    <w:rsid w:val="00333F2E"/>
    <w:rsid w:val="00333FF3"/>
    <w:rsid w:val="00334085"/>
    <w:rsid w:val="003342B7"/>
    <w:rsid w:val="0033439C"/>
    <w:rsid w:val="0033439F"/>
    <w:rsid w:val="003343EE"/>
    <w:rsid w:val="003343F7"/>
    <w:rsid w:val="0033444B"/>
    <w:rsid w:val="003344DD"/>
    <w:rsid w:val="0033454A"/>
    <w:rsid w:val="00334585"/>
    <w:rsid w:val="0033479A"/>
    <w:rsid w:val="0033480E"/>
    <w:rsid w:val="003349E3"/>
    <w:rsid w:val="00334AD5"/>
    <w:rsid w:val="00334BE4"/>
    <w:rsid w:val="00334BE9"/>
    <w:rsid w:val="00334C85"/>
    <w:rsid w:val="00334CC6"/>
    <w:rsid w:val="00334D96"/>
    <w:rsid w:val="00335195"/>
    <w:rsid w:val="003351DC"/>
    <w:rsid w:val="00335209"/>
    <w:rsid w:val="003356A3"/>
    <w:rsid w:val="003356B5"/>
    <w:rsid w:val="00335706"/>
    <w:rsid w:val="00335A2C"/>
    <w:rsid w:val="00335A8E"/>
    <w:rsid w:val="00335C49"/>
    <w:rsid w:val="00335CAC"/>
    <w:rsid w:val="00335CC8"/>
    <w:rsid w:val="00335E6C"/>
    <w:rsid w:val="00335F7C"/>
    <w:rsid w:val="00335FF9"/>
    <w:rsid w:val="00336073"/>
    <w:rsid w:val="00336201"/>
    <w:rsid w:val="0033622F"/>
    <w:rsid w:val="003362D7"/>
    <w:rsid w:val="00336309"/>
    <w:rsid w:val="00336393"/>
    <w:rsid w:val="003363D8"/>
    <w:rsid w:val="003366F6"/>
    <w:rsid w:val="003367BC"/>
    <w:rsid w:val="0033692B"/>
    <w:rsid w:val="00336948"/>
    <w:rsid w:val="003369DD"/>
    <w:rsid w:val="00336A68"/>
    <w:rsid w:val="00336AF7"/>
    <w:rsid w:val="00336B92"/>
    <w:rsid w:val="00336C17"/>
    <w:rsid w:val="00336CA9"/>
    <w:rsid w:val="00336CC8"/>
    <w:rsid w:val="00336E74"/>
    <w:rsid w:val="00336EF0"/>
    <w:rsid w:val="00337024"/>
    <w:rsid w:val="0033702B"/>
    <w:rsid w:val="00337185"/>
    <w:rsid w:val="003371DF"/>
    <w:rsid w:val="0033726A"/>
    <w:rsid w:val="00337398"/>
    <w:rsid w:val="003373CD"/>
    <w:rsid w:val="003375D0"/>
    <w:rsid w:val="0033760E"/>
    <w:rsid w:val="00337623"/>
    <w:rsid w:val="00337755"/>
    <w:rsid w:val="00337817"/>
    <w:rsid w:val="00337B37"/>
    <w:rsid w:val="00337B5C"/>
    <w:rsid w:val="00337C76"/>
    <w:rsid w:val="00337E09"/>
    <w:rsid w:val="00337E86"/>
    <w:rsid w:val="00337F3F"/>
    <w:rsid w:val="00337FD6"/>
    <w:rsid w:val="00340013"/>
    <w:rsid w:val="0034003D"/>
    <w:rsid w:val="00340053"/>
    <w:rsid w:val="00340073"/>
    <w:rsid w:val="003401DF"/>
    <w:rsid w:val="0034020D"/>
    <w:rsid w:val="00340215"/>
    <w:rsid w:val="00340358"/>
    <w:rsid w:val="003403C6"/>
    <w:rsid w:val="003405BD"/>
    <w:rsid w:val="003405DD"/>
    <w:rsid w:val="003405E5"/>
    <w:rsid w:val="0034064F"/>
    <w:rsid w:val="00340832"/>
    <w:rsid w:val="003408F7"/>
    <w:rsid w:val="003409AC"/>
    <w:rsid w:val="003409E0"/>
    <w:rsid w:val="003409F6"/>
    <w:rsid w:val="00340B8A"/>
    <w:rsid w:val="00340BC0"/>
    <w:rsid w:val="00340C01"/>
    <w:rsid w:val="00340F86"/>
    <w:rsid w:val="00340F9C"/>
    <w:rsid w:val="00341145"/>
    <w:rsid w:val="00341220"/>
    <w:rsid w:val="003412C7"/>
    <w:rsid w:val="00341330"/>
    <w:rsid w:val="00341492"/>
    <w:rsid w:val="003414A4"/>
    <w:rsid w:val="00341563"/>
    <w:rsid w:val="003415E1"/>
    <w:rsid w:val="003415E3"/>
    <w:rsid w:val="00341612"/>
    <w:rsid w:val="0034167B"/>
    <w:rsid w:val="003417DE"/>
    <w:rsid w:val="0034184F"/>
    <w:rsid w:val="0034185A"/>
    <w:rsid w:val="00341932"/>
    <w:rsid w:val="00341940"/>
    <w:rsid w:val="003419B4"/>
    <w:rsid w:val="00341A18"/>
    <w:rsid w:val="00341A8B"/>
    <w:rsid w:val="00341BB3"/>
    <w:rsid w:val="00341C79"/>
    <w:rsid w:val="00341D01"/>
    <w:rsid w:val="00341EBC"/>
    <w:rsid w:val="00341EFB"/>
    <w:rsid w:val="003420C5"/>
    <w:rsid w:val="0034219F"/>
    <w:rsid w:val="003421C1"/>
    <w:rsid w:val="003421F5"/>
    <w:rsid w:val="0034247A"/>
    <w:rsid w:val="00342576"/>
    <w:rsid w:val="003425A2"/>
    <w:rsid w:val="003425BE"/>
    <w:rsid w:val="003425D7"/>
    <w:rsid w:val="00342632"/>
    <w:rsid w:val="00342671"/>
    <w:rsid w:val="0034267B"/>
    <w:rsid w:val="003427A8"/>
    <w:rsid w:val="003427DC"/>
    <w:rsid w:val="00342828"/>
    <w:rsid w:val="00342835"/>
    <w:rsid w:val="00342888"/>
    <w:rsid w:val="003428DA"/>
    <w:rsid w:val="003428E0"/>
    <w:rsid w:val="00342B70"/>
    <w:rsid w:val="00342BC5"/>
    <w:rsid w:val="00342C05"/>
    <w:rsid w:val="00342CB4"/>
    <w:rsid w:val="00342D51"/>
    <w:rsid w:val="00342DAD"/>
    <w:rsid w:val="00342FE7"/>
    <w:rsid w:val="003430CB"/>
    <w:rsid w:val="003430FF"/>
    <w:rsid w:val="0034319A"/>
    <w:rsid w:val="003431B1"/>
    <w:rsid w:val="003431DB"/>
    <w:rsid w:val="003432ED"/>
    <w:rsid w:val="0034330E"/>
    <w:rsid w:val="00343344"/>
    <w:rsid w:val="00343393"/>
    <w:rsid w:val="00343535"/>
    <w:rsid w:val="003435AD"/>
    <w:rsid w:val="003435CF"/>
    <w:rsid w:val="003435FC"/>
    <w:rsid w:val="00343630"/>
    <w:rsid w:val="0034367B"/>
    <w:rsid w:val="0034371D"/>
    <w:rsid w:val="0034372C"/>
    <w:rsid w:val="00343749"/>
    <w:rsid w:val="003437D2"/>
    <w:rsid w:val="00343891"/>
    <w:rsid w:val="003439C7"/>
    <w:rsid w:val="00343C0E"/>
    <w:rsid w:val="00343D1F"/>
    <w:rsid w:val="00343DE8"/>
    <w:rsid w:val="00343DEC"/>
    <w:rsid w:val="00343EEA"/>
    <w:rsid w:val="00343F5E"/>
    <w:rsid w:val="00344063"/>
    <w:rsid w:val="00344069"/>
    <w:rsid w:val="003441DC"/>
    <w:rsid w:val="0034430B"/>
    <w:rsid w:val="00344362"/>
    <w:rsid w:val="003444CC"/>
    <w:rsid w:val="003444F5"/>
    <w:rsid w:val="00344505"/>
    <w:rsid w:val="003445A1"/>
    <w:rsid w:val="00344617"/>
    <w:rsid w:val="00344726"/>
    <w:rsid w:val="003448CA"/>
    <w:rsid w:val="003448F6"/>
    <w:rsid w:val="0034490C"/>
    <w:rsid w:val="00344934"/>
    <w:rsid w:val="003449A2"/>
    <w:rsid w:val="003449D8"/>
    <w:rsid w:val="00344A15"/>
    <w:rsid w:val="00344B25"/>
    <w:rsid w:val="00344B71"/>
    <w:rsid w:val="00344C84"/>
    <w:rsid w:val="00344D5A"/>
    <w:rsid w:val="00344DE6"/>
    <w:rsid w:val="00344DF8"/>
    <w:rsid w:val="00344FDA"/>
    <w:rsid w:val="00345000"/>
    <w:rsid w:val="003450FB"/>
    <w:rsid w:val="00345217"/>
    <w:rsid w:val="00345339"/>
    <w:rsid w:val="003453A8"/>
    <w:rsid w:val="0034544E"/>
    <w:rsid w:val="00345569"/>
    <w:rsid w:val="003455A2"/>
    <w:rsid w:val="0034560F"/>
    <w:rsid w:val="0034588B"/>
    <w:rsid w:val="003458D3"/>
    <w:rsid w:val="00345A43"/>
    <w:rsid w:val="00345A93"/>
    <w:rsid w:val="00345ACA"/>
    <w:rsid w:val="00345B27"/>
    <w:rsid w:val="00345B3E"/>
    <w:rsid w:val="00345C15"/>
    <w:rsid w:val="00345C77"/>
    <w:rsid w:val="00345C83"/>
    <w:rsid w:val="00345D7D"/>
    <w:rsid w:val="00346251"/>
    <w:rsid w:val="00346260"/>
    <w:rsid w:val="00346677"/>
    <w:rsid w:val="0034667C"/>
    <w:rsid w:val="00346809"/>
    <w:rsid w:val="00346834"/>
    <w:rsid w:val="003468A3"/>
    <w:rsid w:val="003468D7"/>
    <w:rsid w:val="003468F3"/>
    <w:rsid w:val="00346965"/>
    <w:rsid w:val="00346A75"/>
    <w:rsid w:val="00346A86"/>
    <w:rsid w:val="00346AC4"/>
    <w:rsid w:val="00346C14"/>
    <w:rsid w:val="00346DEE"/>
    <w:rsid w:val="00346E79"/>
    <w:rsid w:val="00346E9E"/>
    <w:rsid w:val="00346EF7"/>
    <w:rsid w:val="00346F43"/>
    <w:rsid w:val="00347030"/>
    <w:rsid w:val="0034713C"/>
    <w:rsid w:val="003471CA"/>
    <w:rsid w:val="003472CC"/>
    <w:rsid w:val="00347408"/>
    <w:rsid w:val="003474FF"/>
    <w:rsid w:val="00347531"/>
    <w:rsid w:val="0034753C"/>
    <w:rsid w:val="0034756A"/>
    <w:rsid w:val="003475FF"/>
    <w:rsid w:val="003476AF"/>
    <w:rsid w:val="00347783"/>
    <w:rsid w:val="003477AF"/>
    <w:rsid w:val="003477EB"/>
    <w:rsid w:val="00347A1E"/>
    <w:rsid w:val="00347B0B"/>
    <w:rsid w:val="00347B62"/>
    <w:rsid w:val="00347BEA"/>
    <w:rsid w:val="00347C87"/>
    <w:rsid w:val="00347D0D"/>
    <w:rsid w:val="00347D3B"/>
    <w:rsid w:val="00347F22"/>
    <w:rsid w:val="00347F8D"/>
    <w:rsid w:val="00350054"/>
    <w:rsid w:val="00350066"/>
    <w:rsid w:val="00350135"/>
    <w:rsid w:val="00350288"/>
    <w:rsid w:val="0035032B"/>
    <w:rsid w:val="003504DC"/>
    <w:rsid w:val="003505C7"/>
    <w:rsid w:val="0035063B"/>
    <w:rsid w:val="0035074D"/>
    <w:rsid w:val="0035076E"/>
    <w:rsid w:val="003507BB"/>
    <w:rsid w:val="00350951"/>
    <w:rsid w:val="00350ACB"/>
    <w:rsid w:val="00350B1E"/>
    <w:rsid w:val="00350B31"/>
    <w:rsid w:val="00350B72"/>
    <w:rsid w:val="00350CD0"/>
    <w:rsid w:val="00350CF3"/>
    <w:rsid w:val="00350D77"/>
    <w:rsid w:val="00350DC3"/>
    <w:rsid w:val="00351043"/>
    <w:rsid w:val="003510A1"/>
    <w:rsid w:val="003510FE"/>
    <w:rsid w:val="0035111C"/>
    <w:rsid w:val="003511BB"/>
    <w:rsid w:val="003511D0"/>
    <w:rsid w:val="003511E4"/>
    <w:rsid w:val="0035120D"/>
    <w:rsid w:val="00351334"/>
    <w:rsid w:val="00351448"/>
    <w:rsid w:val="003514B2"/>
    <w:rsid w:val="003514D5"/>
    <w:rsid w:val="003515E3"/>
    <w:rsid w:val="003515FC"/>
    <w:rsid w:val="003516CB"/>
    <w:rsid w:val="0035180F"/>
    <w:rsid w:val="003518A6"/>
    <w:rsid w:val="003518EF"/>
    <w:rsid w:val="0035199F"/>
    <w:rsid w:val="003519CF"/>
    <w:rsid w:val="00351CD2"/>
    <w:rsid w:val="00351DB1"/>
    <w:rsid w:val="00351DF7"/>
    <w:rsid w:val="00351EE3"/>
    <w:rsid w:val="00351F8D"/>
    <w:rsid w:val="00351F93"/>
    <w:rsid w:val="00352053"/>
    <w:rsid w:val="00352275"/>
    <w:rsid w:val="0035236D"/>
    <w:rsid w:val="0035248E"/>
    <w:rsid w:val="00352583"/>
    <w:rsid w:val="003525AB"/>
    <w:rsid w:val="003526DE"/>
    <w:rsid w:val="0035276D"/>
    <w:rsid w:val="00352838"/>
    <w:rsid w:val="00352F20"/>
    <w:rsid w:val="00352FC7"/>
    <w:rsid w:val="00353056"/>
    <w:rsid w:val="0035321C"/>
    <w:rsid w:val="0035321D"/>
    <w:rsid w:val="0035325F"/>
    <w:rsid w:val="0035330D"/>
    <w:rsid w:val="0035335E"/>
    <w:rsid w:val="00353365"/>
    <w:rsid w:val="00353414"/>
    <w:rsid w:val="00353442"/>
    <w:rsid w:val="003534A8"/>
    <w:rsid w:val="003534C0"/>
    <w:rsid w:val="003535F4"/>
    <w:rsid w:val="00353699"/>
    <w:rsid w:val="003537C5"/>
    <w:rsid w:val="00353889"/>
    <w:rsid w:val="00353A4A"/>
    <w:rsid w:val="00353AD2"/>
    <w:rsid w:val="00353B07"/>
    <w:rsid w:val="00353D4D"/>
    <w:rsid w:val="00353E48"/>
    <w:rsid w:val="00353E67"/>
    <w:rsid w:val="00353F1B"/>
    <w:rsid w:val="0035408B"/>
    <w:rsid w:val="00354193"/>
    <w:rsid w:val="00354207"/>
    <w:rsid w:val="00354257"/>
    <w:rsid w:val="00354381"/>
    <w:rsid w:val="003543E5"/>
    <w:rsid w:val="003544CA"/>
    <w:rsid w:val="003544E2"/>
    <w:rsid w:val="00354570"/>
    <w:rsid w:val="003545BF"/>
    <w:rsid w:val="003545C4"/>
    <w:rsid w:val="00354707"/>
    <w:rsid w:val="003547F1"/>
    <w:rsid w:val="003548EE"/>
    <w:rsid w:val="00354954"/>
    <w:rsid w:val="0035496B"/>
    <w:rsid w:val="00354996"/>
    <w:rsid w:val="00354A5F"/>
    <w:rsid w:val="00354AAD"/>
    <w:rsid w:val="00354C59"/>
    <w:rsid w:val="00354E8D"/>
    <w:rsid w:val="00354F9F"/>
    <w:rsid w:val="003550C7"/>
    <w:rsid w:val="003550D2"/>
    <w:rsid w:val="0035539A"/>
    <w:rsid w:val="003553D8"/>
    <w:rsid w:val="003553EC"/>
    <w:rsid w:val="0035549F"/>
    <w:rsid w:val="0035557D"/>
    <w:rsid w:val="003555CE"/>
    <w:rsid w:val="003556E1"/>
    <w:rsid w:val="00355886"/>
    <w:rsid w:val="003558E2"/>
    <w:rsid w:val="00355972"/>
    <w:rsid w:val="00355A20"/>
    <w:rsid w:val="00355AA2"/>
    <w:rsid w:val="00355AC0"/>
    <w:rsid w:val="00355B24"/>
    <w:rsid w:val="00355B4D"/>
    <w:rsid w:val="00355BD0"/>
    <w:rsid w:val="00355C0C"/>
    <w:rsid w:val="00355CA5"/>
    <w:rsid w:val="00355CAF"/>
    <w:rsid w:val="00355D1F"/>
    <w:rsid w:val="00355D81"/>
    <w:rsid w:val="00355E02"/>
    <w:rsid w:val="00355E0D"/>
    <w:rsid w:val="00355E54"/>
    <w:rsid w:val="00355FA6"/>
    <w:rsid w:val="003560E9"/>
    <w:rsid w:val="003560FA"/>
    <w:rsid w:val="00356139"/>
    <w:rsid w:val="0035615E"/>
    <w:rsid w:val="00356272"/>
    <w:rsid w:val="003562DC"/>
    <w:rsid w:val="003563B2"/>
    <w:rsid w:val="0035647B"/>
    <w:rsid w:val="003564FA"/>
    <w:rsid w:val="00356569"/>
    <w:rsid w:val="00356684"/>
    <w:rsid w:val="00356699"/>
    <w:rsid w:val="0035679A"/>
    <w:rsid w:val="003567D3"/>
    <w:rsid w:val="00356943"/>
    <w:rsid w:val="00356AB2"/>
    <w:rsid w:val="00356D13"/>
    <w:rsid w:val="00356DC5"/>
    <w:rsid w:val="00356DF1"/>
    <w:rsid w:val="00356E05"/>
    <w:rsid w:val="00356F29"/>
    <w:rsid w:val="00357083"/>
    <w:rsid w:val="003571A7"/>
    <w:rsid w:val="003571B8"/>
    <w:rsid w:val="0035722C"/>
    <w:rsid w:val="003572EA"/>
    <w:rsid w:val="0035732A"/>
    <w:rsid w:val="0035733B"/>
    <w:rsid w:val="003574C4"/>
    <w:rsid w:val="003574C9"/>
    <w:rsid w:val="00357512"/>
    <w:rsid w:val="00357620"/>
    <w:rsid w:val="003578C9"/>
    <w:rsid w:val="0035791A"/>
    <w:rsid w:val="003579B4"/>
    <w:rsid w:val="003579C5"/>
    <w:rsid w:val="003579F9"/>
    <w:rsid w:val="00357A82"/>
    <w:rsid w:val="00357A9B"/>
    <w:rsid w:val="00357AE1"/>
    <w:rsid w:val="00357B0D"/>
    <w:rsid w:val="00357B2B"/>
    <w:rsid w:val="00357B44"/>
    <w:rsid w:val="00357C60"/>
    <w:rsid w:val="00357D69"/>
    <w:rsid w:val="00357DEF"/>
    <w:rsid w:val="00357E69"/>
    <w:rsid w:val="00357ED7"/>
    <w:rsid w:val="00357EDD"/>
    <w:rsid w:val="00357F7C"/>
    <w:rsid w:val="0036003D"/>
    <w:rsid w:val="0036011C"/>
    <w:rsid w:val="0036013D"/>
    <w:rsid w:val="0036015A"/>
    <w:rsid w:val="003601C7"/>
    <w:rsid w:val="0036041B"/>
    <w:rsid w:val="003605EB"/>
    <w:rsid w:val="003606AF"/>
    <w:rsid w:val="0036096B"/>
    <w:rsid w:val="00360AC6"/>
    <w:rsid w:val="00360B83"/>
    <w:rsid w:val="00360BFF"/>
    <w:rsid w:val="00360CFA"/>
    <w:rsid w:val="00360DE0"/>
    <w:rsid w:val="00360ED1"/>
    <w:rsid w:val="00360F7B"/>
    <w:rsid w:val="00360FAE"/>
    <w:rsid w:val="00361070"/>
    <w:rsid w:val="00361218"/>
    <w:rsid w:val="0036129B"/>
    <w:rsid w:val="0036139D"/>
    <w:rsid w:val="003613C3"/>
    <w:rsid w:val="00361425"/>
    <w:rsid w:val="0036162C"/>
    <w:rsid w:val="00361687"/>
    <w:rsid w:val="00361867"/>
    <w:rsid w:val="003618CA"/>
    <w:rsid w:val="003619A8"/>
    <w:rsid w:val="003619F8"/>
    <w:rsid w:val="00361A30"/>
    <w:rsid w:val="00361A54"/>
    <w:rsid w:val="00361A55"/>
    <w:rsid w:val="00361A84"/>
    <w:rsid w:val="00361B97"/>
    <w:rsid w:val="00361D13"/>
    <w:rsid w:val="00361F2A"/>
    <w:rsid w:val="00361F84"/>
    <w:rsid w:val="0036203A"/>
    <w:rsid w:val="0036207D"/>
    <w:rsid w:val="003620DB"/>
    <w:rsid w:val="00362152"/>
    <w:rsid w:val="0036236D"/>
    <w:rsid w:val="0036242A"/>
    <w:rsid w:val="00362506"/>
    <w:rsid w:val="0036272D"/>
    <w:rsid w:val="00362945"/>
    <w:rsid w:val="00362986"/>
    <w:rsid w:val="003629C1"/>
    <w:rsid w:val="00362B20"/>
    <w:rsid w:val="00362B23"/>
    <w:rsid w:val="00362C1C"/>
    <w:rsid w:val="00362D2F"/>
    <w:rsid w:val="00362EA2"/>
    <w:rsid w:val="00362ED2"/>
    <w:rsid w:val="00362F4E"/>
    <w:rsid w:val="003630A7"/>
    <w:rsid w:val="00363213"/>
    <w:rsid w:val="00363303"/>
    <w:rsid w:val="00363562"/>
    <w:rsid w:val="0036366C"/>
    <w:rsid w:val="003636C1"/>
    <w:rsid w:val="003636E9"/>
    <w:rsid w:val="0036383A"/>
    <w:rsid w:val="003638E4"/>
    <w:rsid w:val="0036393C"/>
    <w:rsid w:val="00363987"/>
    <w:rsid w:val="0036399A"/>
    <w:rsid w:val="00363A6F"/>
    <w:rsid w:val="00363AB0"/>
    <w:rsid w:val="00363AE9"/>
    <w:rsid w:val="00363B07"/>
    <w:rsid w:val="00363BF1"/>
    <w:rsid w:val="00363CA1"/>
    <w:rsid w:val="00363EE2"/>
    <w:rsid w:val="00363FC2"/>
    <w:rsid w:val="00364186"/>
    <w:rsid w:val="003641CF"/>
    <w:rsid w:val="0036454D"/>
    <w:rsid w:val="00364647"/>
    <w:rsid w:val="0036467D"/>
    <w:rsid w:val="003647F2"/>
    <w:rsid w:val="003647F5"/>
    <w:rsid w:val="003647F6"/>
    <w:rsid w:val="00364927"/>
    <w:rsid w:val="0036492C"/>
    <w:rsid w:val="00364BAC"/>
    <w:rsid w:val="00364F0B"/>
    <w:rsid w:val="00364F49"/>
    <w:rsid w:val="00364F71"/>
    <w:rsid w:val="00364F77"/>
    <w:rsid w:val="0036502E"/>
    <w:rsid w:val="00365261"/>
    <w:rsid w:val="00365276"/>
    <w:rsid w:val="003652AC"/>
    <w:rsid w:val="003652AE"/>
    <w:rsid w:val="00365337"/>
    <w:rsid w:val="003653AC"/>
    <w:rsid w:val="00365430"/>
    <w:rsid w:val="003655E7"/>
    <w:rsid w:val="00365818"/>
    <w:rsid w:val="00365884"/>
    <w:rsid w:val="00365A36"/>
    <w:rsid w:val="00365A37"/>
    <w:rsid w:val="00365A4C"/>
    <w:rsid w:val="00365A68"/>
    <w:rsid w:val="00365B1E"/>
    <w:rsid w:val="00365CB5"/>
    <w:rsid w:val="00365E19"/>
    <w:rsid w:val="00365E52"/>
    <w:rsid w:val="00365EB8"/>
    <w:rsid w:val="00365FE3"/>
    <w:rsid w:val="00366059"/>
    <w:rsid w:val="003660C9"/>
    <w:rsid w:val="003663FA"/>
    <w:rsid w:val="00366536"/>
    <w:rsid w:val="0036655D"/>
    <w:rsid w:val="00366699"/>
    <w:rsid w:val="00366722"/>
    <w:rsid w:val="00366961"/>
    <w:rsid w:val="003669A6"/>
    <w:rsid w:val="00366ABC"/>
    <w:rsid w:val="00366AFC"/>
    <w:rsid w:val="00366B18"/>
    <w:rsid w:val="00366BB1"/>
    <w:rsid w:val="00366CD9"/>
    <w:rsid w:val="00366D6C"/>
    <w:rsid w:val="00366D86"/>
    <w:rsid w:val="00366DDD"/>
    <w:rsid w:val="00366F3D"/>
    <w:rsid w:val="00366F62"/>
    <w:rsid w:val="00366FF4"/>
    <w:rsid w:val="0036711C"/>
    <w:rsid w:val="00367229"/>
    <w:rsid w:val="00367379"/>
    <w:rsid w:val="00367380"/>
    <w:rsid w:val="00367486"/>
    <w:rsid w:val="0036758F"/>
    <w:rsid w:val="003677D0"/>
    <w:rsid w:val="003679EE"/>
    <w:rsid w:val="003679FA"/>
    <w:rsid w:val="00367B57"/>
    <w:rsid w:val="00367BA0"/>
    <w:rsid w:val="00367D07"/>
    <w:rsid w:val="00367DB7"/>
    <w:rsid w:val="00367E77"/>
    <w:rsid w:val="00367FAD"/>
    <w:rsid w:val="00370216"/>
    <w:rsid w:val="00370346"/>
    <w:rsid w:val="00370388"/>
    <w:rsid w:val="003703D8"/>
    <w:rsid w:val="00370487"/>
    <w:rsid w:val="0037048A"/>
    <w:rsid w:val="003704B8"/>
    <w:rsid w:val="003704CF"/>
    <w:rsid w:val="00370508"/>
    <w:rsid w:val="0037053D"/>
    <w:rsid w:val="00370557"/>
    <w:rsid w:val="003705F6"/>
    <w:rsid w:val="00370758"/>
    <w:rsid w:val="003707BA"/>
    <w:rsid w:val="003707D4"/>
    <w:rsid w:val="003707E8"/>
    <w:rsid w:val="00370841"/>
    <w:rsid w:val="00370851"/>
    <w:rsid w:val="00370937"/>
    <w:rsid w:val="003709DE"/>
    <w:rsid w:val="00370B36"/>
    <w:rsid w:val="00370C35"/>
    <w:rsid w:val="00370CF0"/>
    <w:rsid w:val="00370EA3"/>
    <w:rsid w:val="003711CF"/>
    <w:rsid w:val="00371229"/>
    <w:rsid w:val="003712CC"/>
    <w:rsid w:val="00371310"/>
    <w:rsid w:val="003717E1"/>
    <w:rsid w:val="0037198D"/>
    <w:rsid w:val="003719ED"/>
    <w:rsid w:val="00371A96"/>
    <w:rsid w:val="00371B40"/>
    <w:rsid w:val="00371DFB"/>
    <w:rsid w:val="00371FE7"/>
    <w:rsid w:val="00372039"/>
    <w:rsid w:val="0037210E"/>
    <w:rsid w:val="00372134"/>
    <w:rsid w:val="00372497"/>
    <w:rsid w:val="003724A6"/>
    <w:rsid w:val="00372A54"/>
    <w:rsid w:val="00372A55"/>
    <w:rsid w:val="00372B94"/>
    <w:rsid w:val="00372C92"/>
    <w:rsid w:val="00372CD7"/>
    <w:rsid w:val="00372D0A"/>
    <w:rsid w:val="00372F22"/>
    <w:rsid w:val="00372F85"/>
    <w:rsid w:val="0037301A"/>
    <w:rsid w:val="0037303C"/>
    <w:rsid w:val="003730AC"/>
    <w:rsid w:val="00373103"/>
    <w:rsid w:val="0037310F"/>
    <w:rsid w:val="00373110"/>
    <w:rsid w:val="00373180"/>
    <w:rsid w:val="003731D1"/>
    <w:rsid w:val="003732CB"/>
    <w:rsid w:val="003733CD"/>
    <w:rsid w:val="003734E3"/>
    <w:rsid w:val="00373618"/>
    <w:rsid w:val="0037368C"/>
    <w:rsid w:val="003736FB"/>
    <w:rsid w:val="003737ED"/>
    <w:rsid w:val="003739AF"/>
    <w:rsid w:val="00373A6A"/>
    <w:rsid w:val="00373AEA"/>
    <w:rsid w:val="00373C20"/>
    <w:rsid w:val="00373C6D"/>
    <w:rsid w:val="00373CB0"/>
    <w:rsid w:val="00373D3F"/>
    <w:rsid w:val="00373D8C"/>
    <w:rsid w:val="00373DF0"/>
    <w:rsid w:val="00373E1E"/>
    <w:rsid w:val="00373F23"/>
    <w:rsid w:val="00373F2E"/>
    <w:rsid w:val="00374096"/>
    <w:rsid w:val="003740CE"/>
    <w:rsid w:val="003740FD"/>
    <w:rsid w:val="00374217"/>
    <w:rsid w:val="0037423C"/>
    <w:rsid w:val="00374286"/>
    <w:rsid w:val="003742A4"/>
    <w:rsid w:val="00374317"/>
    <w:rsid w:val="00374356"/>
    <w:rsid w:val="003743D6"/>
    <w:rsid w:val="003743D7"/>
    <w:rsid w:val="00374415"/>
    <w:rsid w:val="00374540"/>
    <w:rsid w:val="00374572"/>
    <w:rsid w:val="00374574"/>
    <w:rsid w:val="0037470D"/>
    <w:rsid w:val="00374770"/>
    <w:rsid w:val="00374779"/>
    <w:rsid w:val="0037486E"/>
    <w:rsid w:val="003748D1"/>
    <w:rsid w:val="0037499A"/>
    <w:rsid w:val="003749A7"/>
    <w:rsid w:val="00374AAB"/>
    <w:rsid w:val="00374B2C"/>
    <w:rsid w:val="00374BDB"/>
    <w:rsid w:val="00374D24"/>
    <w:rsid w:val="00374D48"/>
    <w:rsid w:val="00374D82"/>
    <w:rsid w:val="00374E79"/>
    <w:rsid w:val="00374EBA"/>
    <w:rsid w:val="00374FF3"/>
    <w:rsid w:val="0037518D"/>
    <w:rsid w:val="0037520D"/>
    <w:rsid w:val="003753DA"/>
    <w:rsid w:val="003754C5"/>
    <w:rsid w:val="00375593"/>
    <w:rsid w:val="003756A7"/>
    <w:rsid w:val="003756C4"/>
    <w:rsid w:val="003756C9"/>
    <w:rsid w:val="0037570B"/>
    <w:rsid w:val="00375724"/>
    <w:rsid w:val="003757EC"/>
    <w:rsid w:val="00375946"/>
    <w:rsid w:val="00375951"/>
    <w:rsid w:val="00375A2E"/>
    <w:rsid w:val="00375A42"/>
    <w:rsid w:val="00375A4D"/>
    <w:rsid w:val="00375A76"/>
    <w:rsid w:val="00375AFD"/>
    <w:rsid w:val="00375B4C"/>
    <w:rsid w:val="00375C5F"/>
    <w:rsid w:val="00375C9E"/>
    <w:rsid w:val="00375E1F"/>
    <w:rsid w:val="00375EBC"/>
    <w:rsid w:val="00375FB0"/>
    <w:rsid w:val="003760AD"/>
    <w:rsid w:val="0037621A"/>
    <w:rsid w:val="0037632B"/>
    <w:rsid w:val="00376407"/>
    <w:rsid w:val="0037648F"/>
    <w:rsid w:val="00376499"/>
    <w:rsid w:val="00376624"/>
    <w:rsid w:val="0037666B"/>
    <w:rsid w:val="003767F8"/>
    <w:rsid w:val="00376812"/>
    <w:rsid w:val="003769EE"/>
    <w:rsid w:val="00376A15"/>
    <w:rsid w:val="00376BCA"/>
    <w:rsid w:val="00376C08"/>
    <w:rsid w:val="00376C0B"/>
    <w:rsid w:val="00376D8A"/>
    <w:rsid w:val="00376E9E"/>
    <w:rsid w:val="00376F73"/>
    <w:rsid w:val="00377008"/>
    <w:rsid w:val="00377113"/>
    <w:rsid w:val="0037711D"/>
    <w:rsid w:val="0037727C"/>
    <w:rsid w:val="00377288"/>
    <w:rsid w:val="0037734A"/>
    <w:rsid w:val="003773AF"/>
    <w:rsid w:val="00377654"/>
    <w:rsid w:val="003776F8"/>
    <w:rsid w:val="003777A0"/>
    <w:rsid w:val="00377832"/>
    <w:rsid w:val="00377970"/>
    <w:rsid w:val="0037799A"/>
    <w:rsid w:val="00377A89"/>
    <w:rsid w:val="00377B56"/>
    <w:rsid w:val="00377D5B"/>
    <w:rsid w:val="00377E0B"/>
    <w:rsid w:val="0038001F"/>
    <w:rsid w:val="003800D0"/>
    <w:rsid w:val="003801D3"/>
    <w:rsid w:val="003802AB"/>
    <w:rsid w:val="003802AF"/>
    <w:rsid w:val="003802C1"/>
    <w:rsid w:val="003803C2"/>
    <w:rsid w:val="003803D2"/>
    <w:rsid w:val="003804C3"/>
    <w:rsid w:val="003804F6"/>
    <w:rsid w:val="00380803"/>
    <w:rsid w:val="00380A9B"/>
    <w:rsid w:val="00380B59"/>
    <w:rsid w:val="00380B6F"/>
    <w:rsid w:val="00380B8E"/>
    <w:rsid w:val="00380B96"/>
    <w:rsid w:val="00380D36"/>
    <w:rsid w:val="00380D83"/>
    <w:rsid w:val="00380EE4"/>
    <w:rsid w:val="00380FEB"/>
    <w:rsid w:val="0038103A"/>
    <w:rsid w:val="00381113"/>
    <w:rsid w:val="00381181"/>
    <w:rsid w:val="00381289"/>
    <w:rsid w:val="003812BE"/>
    <w:rsid w:val="0038137C"/>
    <w:rsid w:val="00381413"/>
    <w:rsid w:val="00381556"/>
    <w:rsid w:val="00381647"/>
    <w:rsid w:val="00381661"/>
    <w:rsid w:val="003817E0"/>
    <w:rsid w:val="003818BB"/>
    <w:rsid w:val="003819EE"/>
    <w:rsid w:val="00381A3E"/>
    <w:rsid w:val="00381A47"/>
    <w:rsid w:val="00381A59"/>
    <w:rsid w:val="00381B83"/>
    <w:rsid w:val="00381DC0"/>
    <w:rsid w:val="00381E60"/>
    <w:rsid w:val="00381E7F"/>
    <w:rsid w:val="00381EFC"/>
    <w:rsid w:val="00381FBB"/>
    <w:rsid w:val="00381FC2"/>
    <w:rsid w:val="00382086"/>
    <w:rsid w:val="00382104"/>
    <w:rsid w:val="00382219"/>
    <w:rsid w:val="0038239E"/>
    <w:rsid w:val="00382436"/>
    <w:rsid w:val="0038243E"/>
    <w:rsid w:val="00382486"/>
    <w:rsid w:val="00382533"/>
    <w:rsid w:val="00382537"/>
    <w:rsid w:val="00382583"/>
    <w:rsid w:val="00382600"/>
    <w:rsid w:val="00382644"/>
    <w:rsid w:val="00382712"/>
    <w:rsid w:val="00382850"/>
    <w:rsid w:val="00382A06"/>
    <w:rsid w:val="00382A5B"/>
    <w:rsid w:val="00382B01"/>
    <w:rsid w:val="00382B3F"/>
    <w:rsid w:val="00382BE7"/>
    <w:rsid w:val="00382BE8"/>
    <w:rsid w:val="00382C41"/>
    <w:rsid w:val="00382E62"/>
    <w:rsid w:val="00382E76"/>
    <w:rsid w:val="00383088"/>
    <w:rsid w:val="003830D9"/>
    <w:rsid w:val="003830E9"/>
    <w:rsid w:val="00383114"/>
    <w:rsid w:val="00383200"/>
    <w:rsid w:val="003832A0"/>
    <w:rsid w:val="00383311"/>
    <w:rsid w:val="00383312"/>
    <w:rsid w:val="0038334E"/>
    <w:rsid w:val="003833BE"/>
    <w:rsid w:val="00383584"/>
    <w:rsid w:val="0038358E"/>
    <w:rsid w:val="003835B0"/>
    <w:rsid w:val="003835C2"/>
    <w:rsid w:val="003835D7"/>
    <w:rsid w:val="00383610"/>
    <w:rsid w:val="003836F3"/>
    <w:rsid w:val="00383721"/>
    <w:rsid w:val="003837F4"/>
    <w:rsid w:val="0038396E"/>
    <w:rsid w:val="00383AB4"/>
    <w:rsid w:val="00383AE5"/>
    <w:rsid w:val="00383CE8"/>
    <w:rsid w:val="00383D5C"/>
    <w:rsid w:val="00383D86"/>
    <w:rsid w:val="00383F26"/>
    <w:rsid w:val="00383F77"/>
    <w:rsid w:val="0038400B"/>
    <w:rsid w:val="0038402F"/>
    <w:rsid w:val="00384048"/>
    <w:rsid w:val="003840FF"/>
    <w:rsid w:val="00384233"/>
    <w:rsid w:val="00384368"/>
    <w:rsid w:val="003845B5"/>
    <w:rsid w:val="00384737"/>
    <w:rsid w:val="00384743"/>
    <w:rsid w:val="003847F6"/>
    <w:rsid w:val="00384824"/>
    <w:rsid w:val="003848DD"/>
    <w:rsid w:val="003849BC"/>
    <w:rsid w:val="00384A23"/>
    <w:rsid w:val="00384A83"/>
    <w:rsid w:val="00384AF3"/>
    <w:rsid w:val="00384B39"/>
    <w:rsid w:val="00384BB9"/>
    <w:rsid w:val="00384BCF"/>
    <w:rsid w:val="00384BD8"/>
    <w:rsid w:val="00384C50"/>
    <w:rsid w:val="00384F3F"/>
    <w:rsid w:val="003850CD"/>
    <w:rsid w:val="003850F4"/>
    <w:rsid w:val="00385153"/>
    <w:rsid w:val="003851EB"/>
    <w:rsid w:val="00385239"/>
    <w:rsid w:val="003852AA"/>
    <w:rsid w:val="003855BD"/>
    <w:rsid w:val="003855EB"/>
    <w:rsid w:val="00385806"/>
    <w:rsid w:val="003858A3"/>
    <w:rsid w:val="003859FA"/>
    <w:rsid w:val="00385ABB"/>
    <w:rsid w:val="00385C8A"/>
    <w:rsid w:val="00385E20"/>
    <w:rsid w:val="00385E8E"/>
    <w:rsid w:val="00385EA1"/>
    <w:rsid w:val="00385EB7"/>
    <w:rsid w:val="00386029"/>
    <w:rsid w:val="00386180"/>
    <w:rsid w:val="00386326"/>
    <w:rsid w:val="003863F9"/>
    <w:rsid w:val="003864CC"/>
    <w:rsid w:val="003864F5"/>
    <w:rsid w:val="00386721"/>
    <w:rsid w:val="00386778"/>
    <w:rsid w:val="00386886"/>
    <w:rsid w:val="003868F5"/>
    <w:rsid w:val="00386A5E"/>
    <w:rsid w:val="00386B4D"/>
    <w:rsid w:val="00386B64"/>
    <w:rsid w:val="00386BB1"/>
    <w:rsid w:val="00386BE3"/>
    <w:rsid w:val="00386C8F"/>
    <w:rsid w:val="00386CA3"/>
    <w:rsid w:val="00386D83"/>
    <w:rsid w:val="00386D9B"/>
    <w:rsid w:val="00386DE6"/>
    <w:rsid w:val="00386DEF"/>
    <w:rsid w:val="00386E0F"/>
    <w:rsid w:val="00386F3A"/>
    <w:rsid w:val="003871FC"/>
    <w:rsid w:val="00387202"/>
    <w:rsid w:val="0038721A"/>
    <w:rsid w:val="003874D2"/>
    <w:rsid w:val="003875A9"/>
    <w:rsid w:val="00387650"/>
    <w:rsid w:val="003876A2"/>
    <w:rsid w:val="00387800"/>
    <w:rsid w:val="00387874"/>
    <w:rsid w:val="003878A5"/>
    <w:rsid w:val="00387948"/>
    <w:rsid w:val="003879B4"/>
    <w:rsid w:val="00387ABC"/>
    <w:rsid w:val="00387B69"/>
    <w:rsid w:val="00387B84"/>
    <w:rsid w:val="00387D2C"/>
    <w:rsid w:val="00387D52"/>
    <w:rsid w:val="00387D7D"/>
    <w:rsid w:val="00387E99"/>
    <w:rsid w:val="00387FAB"/>
    <w:rsid w:val="00390017"/>
    <w:rsid w:val="003900FE"/>
    <w:rsid w:val="0039036E"/>
    <w:rsid w:val="003905DA"/>
    <w:rsid w:val="00390666"/>
    <w:rsid w:val="0039069D"/>
    <w:rsid w:val="003906FF"/>
    <w:rsid w:val="0039071D"/>
    <w:rsid w:val="00390748"/>
    <w:rsid w:val="003907C2"/>
    <w:rsid w:val="003907D5"/>
    <w:rsid w:val="003907D6"/>
    <w:rsid w:val="00390807"/>
    <w:rsid w:val="0039097D"/>
    <w:rsid w:val="003909BF"/>
    <w:rsid w:val="003909CC"/>
    <w:rsid w:val="00390ACD"/>
    <w:rsid w:val="00390BEC"/>
    <w:rsid w:val="00390C0F"/>
    <w:rsid w:val="00390C87"/>
    <w:rsid w:val="00390C92"/>
    <w:rsid w:val="00390DAF"/>
    <w:rsid w:val="00390EA6"/>
    <w:rsid w:val="0039107E"/>
    <w:rsid w:val="00391176"/>
    <w:rsid w:val="003911D1"/>
    <w:rsid w:val="00391201"/>
    <w:rsid w:val="0039122B"/>
    <w:rsid w:val="0039133E"/>
    <w:rsid w:val="0039136C"/>
    <w:rsid w:val="003914F9"/>
    <w:rsid w:val="00391522"/>
    <w:rsid w:val="0039153C"/>
    <w:rsid w:val="00391613"/>
    <w:rsid w:val="003917BB"/>
    <w:rsid w:val="00391AF7"/>
    <w:rsid w:val="00391C0F"/>
    <w:rsid w:val="00391D16"/>
    <w:rsid w:val="00391D4E"/>
    <w:rsid w:val="00391F24"/>
    <w:rsid w:val="00391F57"/>
    <w:rsid w:val="00391FB6"/>
    <w:rsid w:val="00391FDD"/>
    <w:rsid w:val="00392047"/>
    <w:rsid w:val="0039205D"/>
    <w:rsid w:val="00392141"/>
    <w:rsid w:val="00392158"/>
    <w:rsid w:val="00392266"/>
    <w:rsid w:val="003922AC"/>
    <w:rsid w:val="00392460"/>
    <w:rsid w:val="00392685"/>
    <w:rsid w:val="003927E6"/>
    <w:rsid w:val="0039291B"/>
    <w:rsid w:val="003929FD"/>
    <w:rsid w:val="00392A19"/>
    <w:rsid w:val="00392B4C"/>
    <w:rsid w:val="00392DC6"/>
    <w:rsid w:val="00392E9B"/>
    <w:rsid w:val="00392EA4"/>
    <w:rsid w:val="00392F0F"/>
    <w:rsid w:val="00393007"/>
    <w:rsid w:val="00393014"/>
    <w:rsid w:val="003930A6"/>
    <w:rsid w:val="0039323F"/>
    <w:rsid w:val="0039328A"/>
    <w:rsid w:val="003932B5"/>
    <w:rsid w:val="003932CC"/>
    <w:rsid w:val="003933D6"/>
    <w:rsid w:val="003933E7"/>
    <w:rsid w:val="00393409"/>
    <w:rsid w:val="00393448"/>
    <w:rsid w:val="00393460"/>
    <w:rsid w:val="00393472"/>
    <w:rsid w:val="0039351C"/>
    <w:rsid w:val="00393524"/>
    <w:rsid w:val="00393575"/>
    <w:rsid w:val="003935B4"/>
    <w:rsid w:val="0039369B"/>
    <w:rsid w:val="003936DE"/>
    <w:rsid w:val="0039373D"/>
    <w:rsid w:val="00393792"/>
    <w:rsid w:val="003938AC"/>
    <w:rsid w:val="003939DA"/>
    <w:rsid w:val="00393B5E"/>
    <w:rsid w:val="00393BAF"/>
    <w:rsid w:val="00393BC0"/>
    <w:rsid w:val="00393BFF"/>
    <w:rsid w:val="00393C29"/>
    <w:rsid w:val="00393D4A"/>
    <w:rsid w:val="00393E50"/>
    <w:rsid w:val="00394003"/>
    <w:rsid w:val="00394479"/>
    <w:rsid w:val="003944AB"/>
    <w:rsid w:val="003946E6"/>
    <w:rsid w:val="003949A9"/>
    <w:rsid w:val="00394ED1"/>
    <w:rsid w:val="00395270"/>
    <w:rsid w:val="0039540D"/>
    <w:rsid w:val="00395457"/>
    <w:rsid w:val="00395510"/>
    <w:rsid w:val="00395755"/>
    <w:rsid w:val="003957F5"/>
    <w:rsid w:val="0039584F"/>
    <w:rsid w:val="00395A8C"/>
    <w:rsid w:val="00395AC6"/>
    <w:rsid w:val="00395B92"/>
    <w:rsid w:val="00395C20"/>
    <w:rsid w:val="00395C7E"/>
    <w:rsid w:val="00395E06"/>
    <w:rsid w:val="00395E5F"/>
    <w:rsid w:val="0039606D"/>
    <w:rsid w:val="003960B6"/>
    <w:rsid w:val="003962D9"/>
    <w:rsid w:val="00396364"/>
    <w:rsid w:val="003963E4"/>
    <w:rsid w:val="003963E9"/>
    <w:rsid w:val="00396425"/>
    <w:rsid w:val="0039645A"/>
    <w:rsid w:val="0039655F"/>
    <w:rsid w:val="0039659F"/>
    <w:rsid w:val="003965D8"/>
    <w:rsid w:val="003965EF"/>
    <w:rsid w:val="0039664A"/>
    <w:rsid w:val="00396671"/>
    <w:rsid w:val="0039670B"/>
    <w:rsid w:val="00396756"/>
    <w:rsid w:val="003967DE"/>
    <w:rsid w:val="0039682E"/>
    <w:rsid w:val="00396887"/>
    <w:rsid w:val="003968F8"/>
    <w:rsid w:val="00396957"/>
    <w:rsid w:val="003969FF"/>
    <w:rsid w:val="00396A5F"/>
    <w:rsid w:val="00396B58"/>
    <w:rsid w:val="00396C6F"/>
    <w:rsid w:val="00396C94"/>
    <w:rsid w:val="00396D01"/>
    <w:rsid w:val="00396D83"/>
    <w:rsid w:val="00396E07"/>
    <w:rsid w:val="00397066"/>
    <w:rsid w:val="00397167"/>
    <w:rsid w:val="003971CB"/>
    <w:rsid w:val="003971D7"/>
    <w:rsid w:val="003974E9"/>
    <w:rsid w:val="00397581"/>
    <w:rsid w:val="0039758E"/>
    <w:rsid w:val="0039768F"/>
    <w:rsid w:val="00397734"/>
    <w:rsid w:val="00397743"/>
    <w:rsid w:val="00397773"/>
    <w:rsid w:val="003978FB"/>
    <w:rsid w:val="00397903"/>
    <w:rsid w:val="0039791E"/>
    <w:rsid w:val="0039792A"/>
    <w:rsid w:val="003979F6"/>
    <w:rsid w:val="00397A2A"/>
    <w:rsid w:val="00397A4F"/>
    <w:rsid w:val="00397B82"/>
    <w:rsid w:val="00397BFB"/>
    <w:rsid w:val="00397D86"/>
    <w:rsid w:val="00397DBD"/>
    <w:rsid w:val="00397E6D"/>
    <w:rsid w:val="003A01A1"/>
    <w:rsid w:val="003A02E6"/>
    <w:rsid w:val="003A0322"/>
    <w:rsid w:val="003A0327"/>
    <w:rsid w:val="003A03DE"/>
    <w:rsid w:val="003A049A"/>
    <w:rsid w:val="003A04A4"/>
    <w:rsid w:val="003A04BC"/>
    <w:rsid w:val="003A05B1"/>
    <w:rsid w:val="003A05CB"/>
    <w:rsid w:val="003A05FC"/>
    <w:rsid w:val="003A062C"/>
    <w:rsid w:val="003A063B"/>
    <w:rsid w:val="003A06CE"/>
    <w:rsid w:val="003A0798"/>
    <w:rsid w:val="003A07DE"/>
    <w:rsid w:val="003A0839"/>
    <w:rsid w:val="003A0901"/>
    <w:rsid w:val="003A09C6"/>
    <w:rsid w:val="003A0A56"/>
    <w:rsid w:val="003A0BD7"/>
    <w:rsid w:val="003A0D4C"/>
    <w:rsid w:val="003A0D65"/>
    <w:rsid w:val="003A0DCC"/>
    <w:rsid w:val="003A0E61"/>
    <w:rsid w:val="003A0EC5"/>
    <w:rsid w:val="003A10E5"/>
    <w:rsid w:val="003A10EE"/>
    <w:rsid w:val="003A121D"/>
    <w:rsid w:val="003A1245"/>
    <w:rsid w:val="003A154D"/>
    <w:rsid w:val="003A162B"/>
    <w:rsid w:val="003A164F"/>
    <w:rsid w:val="003A1677"/>
    <w:rsid w:val="003A16BC"/>
    <w:rsid w:val="003A17AA"/>
    <w:rsid w:val="003A17DB"/>
    <w:rsid w:val="003A18A2"/>
    <w:rsid w:val="003A1994"/>
    <w:rsid w:val="003A1A98"/>
    <w:rsid w:val="003A1AB3"/>
    <w:rsid w:val="003A1C41"/>
    <w:rsid w:val="003A1EEE"/>
    <w:rsid w:val="003A1FB6"/>
    <w:rsid w:val="003A202E"/>
    <w:rsid w:val="003A21DE"/>
    <w:rsid w:val="003A22D8"/>
    <w:rsid w:val="003A22EB"/>
    <w:rsid w:val="003A2381"/>
    <w:rsid w:val="003A24CE"/>
    <w:rsid w:val="003A254F"/>
    <w:rsid w:val="003A258C"/>
    <w:rsid w:val="003A258F"/>
    <w:rsid w:val="003A25CA"/>
    <w:rsid w:val="003A2864"/>
    <w:rsid w:val="003A28AE"/>
    <w:rsid w:val="003A2954"/>
    <w:rsid w:val="003A2A24"/>
    <w:rsid w:val="003A2A9B"/>
    <w:rsid w:val="003A2B66"/>
    <w:rsid w:val="003A2BC3"/>
    <w:rsid w:val="003A2D9F"/>
    <w:rsid w:val="003A2E8D"/>
    <w:rsid w:val="003A2EEC"/>
    <w:rsid w:val="003A2EFF"/>
    <w:rsid w:val="003A30D1"/>
    <w:rsid w:val="003A30EC"/>
    <w:rsid w:val="003A3116"/>
    <w:rsid w:val="003A319B"/>
    <w:rsid w:val="003A31F0"/>
    <w:rsid w:val="003A32A1"/>
    <w:rsid w:val="003A3396"/>
    <w:rsid w:val="003A352C"/>
    <w:rsid w:val="003A3573"/>
    <w:rsid w:val="003A3613"/>
    <w:rsid w:val="003A3681"/>
    <w:rsid w:val="003A381E"/>
    <w:rsid w:val="003A387D"/>
    <w:rsid w:val="003A39B7"/>
    <w:rsid w:val="003A39C1"/>
    <w:rsid w:val="003A39D0"/>
    <w:rsid w:val="003A39E6"/>
    <w:rsid w:val="003A3C51"/>
    <w:rsid w:val="003A3C81"/>
    <w:rsid w:val="003A3CA2"/>
    <w:rsid w:val="003A3CC8"/>
    <w:rsid w:val="003A3CD5"/>
    <w:rsid w:val="003A3CE8"/>
    <w:rsid w:val="003A3D51"/>
    <w:rsid w:val="003A3F01"/>
    <w:rsid w:val="003A403D"/>
    <w:rsid w:val="003A409F"/>
    <w:rsid w:val="003A40B8"/>
    <w:rsid w:val="003A40F4"/>
    <w:rsid w:val="003A422C"/>
    <w:rsid w:val="003A422D"/>
    <w:rsid w:val="003A429C"/>
    <w:rsid w:val="003A44B1"/>
    <w:rsid w:val="003A44D8"/>
    <w:rsid w:val="003A456A"/>
    <w:rsid w:val="003A45C2"/>
    <w:rsid w:val="003A45CA"/>
    <w:rsid w:val="003A45EA"/>
    <w:rsid w:val="003A46DE"/>
    <w:rsid w:val="003A47C5"/>
    <w:rsid w:val="003A48C4"/>
    <w:rsid w:val="003A4984"/>
    <w:rsid w:val="003A49F6"/>
    <w:rsid w:val="003A49FF"/>
    <w:rsid w:val="003A4AE7"/>
    <w:rsid w:val="003A4B25"/>
    <w:rsid w:val="003A4B63"/>
    <w:rsid w:val="003A4C00"/>
    <w:rsid w:val="003A4D85"/>
    <w:rsid w:val="003A4E1F"/>
    <w:rsid w:val="003A4E8A"/>
    <w:rsid w:val="003A4EB3"/>
    <w:rsid w:val="003A4F1C"/>
    <w:rsid w:val="003A4F95"/>
    <w:rsid w:val="003A5005"/>
    <w:rsid w:val="003A52B2"/>
    <w:rsid w:val="003A52FB"/>
    <w:rsid w:val="003A534C"/>
    <w:rsid w:val="003A5422"/>
    <w:rsid w:val="003A542A"/>
    <w:rsid w:val="003A54E2"/>
    <w:rsid w:val="003A5696"/>
    <w:rsid w:val="003A5747"/>
    <w:rsid w:val="003A5893"/>
    <w:rsid w:val="003A5A7C"/>
    <w:rsid w:val="003A5B64"/>
    <w:rsid w:val="003A5C16"/>
    <w:rsid w:val="003A5CD4"/>
    <w:rsid w:val="003A5D38"/>
    <w:rsid w:val="003A5DE4"/>
    <w:rsid w:val="003A5E7C"/>
    <w:rsid w:val="003A6073"/>
    <w:rsid w:val="003A60E1"/>
    <w:rsid w:val="003A6145"/>
    <w:rsid w:val="003A6177"/>
    <w:rsid w:val="003A6181"/>
    <w:rsid w:val="003A61DF"/>
    <w:rsid w:val="003A6301"/>
    <w:rsid w:val="003A6304"/>
    <w:rsid w:val="003A63F6"/>
    <w:rsid w:val="003A641F"/>
    <w:rsid w:val="003A64E4"/>
    <w:rsid w:val="003A65B7"/>
    <w:rsid w:val="003A65C4"/>
    <w:rsid w:val="003A666A"/>
    <w:rsid w:val="003A66B5"/>
    <w:rsid w:val="003A66E9"/>
    <w:rsid w:val="003A680B"/>
    <w:rsid w:val="003A68E6"/>
    <w:rsid w:val="003A6930"/>
    <w:rsid w:val="003A6958"/>
    <w:rsid w:val="003A6A15"/>
    <w:rsid w:val="003A6B95"/>
    <w:rsid w:val="003A6BAC"/>
    <w:rsid w:val="003A6BAE"/>
    <w:rsid w:val="003A6D8C"/>
    <w:rsid w:val="003A6E12"/>
    <w:rsid w:val="003A6E56"/>
    <w:rsid w:val="003A6F55"/>
    <w:rsid w:val="003A6F65"/>
    <w:rsid w:val="003A7188"/>
    <w:rsid w:val="003A71D8"/>
    <w:rsid w:val="003A7219"/>
    <w:rsid w:val="003A72C3"/>
    <w:rsid w:val="003A72E9"/>
    <w:rsid w:val="003A739C"/>
    <w:rsid w:val="003A73AA"/>
    <w:rsid w:val="003A746E"/>
    <w:rsid w:val="003A764C"/>
    <w:rsid w:val="003A7869"/>
    <w:rsid w:val="003A78A0"/>
    <w:rsid w:val="003A7954"/>
    <w:rsid w:val="003A79C5"/>
    <w:rsid w:val="003A7A6A"/>
    <w:rsid w:val="003A7B85"/>
    <w:rsid w:val="003A7B8E"/>
    <w:rsid w:val="003A7CD0"/>
    <w:rsid w:val="003A7D17"/>
    <w:rsid w:val="003A7E47"/>
    <w:rsid w:val="003A7E8D"/>
    <w:rsid w:val="003A7EBB"/>
    <w:rsid w:val="003A7F2D"/>
    <w:rsid w:val="003B00DD"/>
    <w:rsid w:val="003B00FB"/>
    <w:rsid w:val="003B01C9"/>
    <w:rsid w:val="003B01E4"/>
    <w:rsid w:val="003B020D"/>
    <w:rsid w:val="003B0258"/>
    <w:rsid w:val="003B02ED"/>
    <w:rsid w:val="003B032A"/>
    <w:rsid w:val="003B037D"/>
    <w:rsid w:val="003B03BD"/>
    <w:rsid w:val="003B03EC"/>
    <w:rsid w:val="003B0442"/>
    <w:rsid w:val="003B0587"/>
    <w:rsid w:val="003B0707"/>
    <w:rsid w:val="003B07D7"/>
    <w:rsid w:val="003B0818"/>
    <w:rsid w:val="003B085A"/>
    <w:rsid w:val="003B08D5"/>
    <w:rsid w:val="003B08F5"/>
    <w:rsid w:val="003B09F1"/>
    <w:rsid w:val="003B0A4A"/>
    <w:rsid w:val="003B0A60"/>
    <w:rsid w:val="003B0B04"/>
    <w:rsid w:val="003B0D81"/>
    <w:rsid w:val="003B10AF"/>
    <w:rsid w:val="003B10D7"/>
    <w:rsid w:val="003B10DD"/>
    <w:rsid w:val="003B11A6"/>
    <w:rsid w:val="003B11CD"/>
    <w:rsid w:val="003B12D4"/>
    <w:rsid w:val="003B1658"/>
    <w:rsid w:val="003B167E"/>
    <w:rsid w:val="003B16E1"/>
    <w:rsid w:val="003B1702"/>
    <w:rsid w:val="003B1751"/>
    <w:rsid w:val="003B179A"/>
    <w:rsid w:val="003B17B1"/>
    <w:rsid w:val="003B17F1"/>
    <w:rsid w:val="003B1842"/>
    <w:rsid w:val="003B18C4"/>
    <w:rsid w:val="003B19D1"/>
    <w:rsid w:val="003B1A03"/>
    <w:rsid w:val="003B1A48"/>
    <w:rsid w:val="003B1A6C"/>
    <w:rsid w:val="003B1A73"/>
    <w:rsid w:val="003B1A88"/>
    <w:rsid w:val="003B1B39"/>
    <w:rsid w:val="003B1B85"/>
    <w:rsid w:val="003B1BE9"/>
    <w:rsid w:val="003B1D1D"/>
    <w:rsid w:val="003B1E8A"/>
    <w:rsid w:val="003B1EC9"/>
    <w:rsid w:val="003B1F84"/>
    <w:rsid w:val="003B1FF9"/>
    <w:rsid w:val="003B224A"/>
    <w:rsid w:val="003B22E1"/>
    <w:rsid w:val="003B258C"/>
    <w:rsid w:val="003B274C"/>
    <w:rsid w:val="003B2791"/>
    <w:rsid w:val="003B288D"/>
    <w:rsid w:val="003B28B0"/>
    <w:rsid w:val="003B28E4"/>
    <w:rsid w:val="003B29FD"/>
    <w:rsid w:val="003B2A11"/>
    <w:rsid w:val="003B2AFE"/>
    <w:rsid w:val="003B2B40"/>
    <w:rsid w:val="003B2BB2"/>
    <w:rsid w:val="003B2C7A"/>
    <w:rsid w:val="003B2CEC"/>
    <w:rsid w:val="003B2DBB"/>
    <w:rsid w:val="003B2E67"/>
    <w:rsid w:val="003B2F01"/>
    <w:rsid w:val="003B2F25"/>
    <w:rsid w:val="003B307D"/>
    <w:rsid w:val="003B3179"/>
    <w:rsid w:val="003B319F"/>
    <w:rsid w:val="003B337F"/>
    <w:rsid w:val="003B3489"/>
    <w:rsid w:val="003B3589"/>
    <w:rsid w:val="003B3650"/>
    <w:rsid w:val="003B3824"/>
    <w:rsid w:val="003B384A"/>
    <w:rsid w:val="003B385B"/>
    <w:rsid w:val="003B3982"/>
    <w:rsid w:val="003B39A1"/>
    <w:rsid w:val="003B3C00"/>
    <w:rsid w:val="003B3C47"/>
    <w:rsid w:val="003B3CC9"/>
    <w:rsid w:val="003B3EA5"/>
    <w:rsid w:val="003B3F0A"/>
    <w:rsid w:val="003B4017"/>
    <w:rsid w:val="003B40C8"/>
    <w:rsid w:val="003B410D"/>
    <w:rsid w:val="003B4147"/>
    <w:rsid w:val="003B41FE"/>
    <w:rsid w:val="003B421D"/>
    <w:rsid w:val="003B422A"/>
    <w:rsid w:val="003B4289"/>
    <w:rsid w:val="003B4369"/>
    <w:rsid w:val="003B4591"/>
    <w:rsid w:val="003B45D2"/>
    <w:rsid w:val="003B46E4"/>
    <w:rsid w:val="003B4879"/>
    <w:rsid w:val="003B48B6"/>
    <w:rsid w:val="003B49D4"/>
    <w:rsid w:val="003B4A23"/>
    <w:rsid w:val="003B4B2A"/>
    <w:rsid w:val="003B4B66"/>
    <w:rsid w:val="003B4B9B"/>
    <w:rsid w:val="003B4C28"/>
    <w:rsid w:val="003B4C33"/>
    <w:rsid w:val="003B4D0F"/>
    <w:rsid w:val="003B4D26"/>
    <w:rsid w:val="003B4D6D"/>
    <w:rsid w:val="003B4F5B"/>
    <w:rsid w:val="003B50C3"/>
    <w:rsid w:val="003B510E"/>
    <w:rsid w:val="003B5252"/>
    <w:rsid w:val="003B528C"/>
    <w:rsid w:val="003B52CE"/>
    <w:rsid w:val="003B53D6"/>
    <w:rsid w:val="003B53F4"/>
    <w:rsid w:val="003B54B7"/>
    <w:rsid w:val="003B54C2"/>
    <w:rsid w:val="003B54E8"/>
    <w:rsid w:val="003B570B"/>
    <w:rsid w:val="003B5710"/>
    <w:rsid w:val="003B57D8"/>
    <w:rsid w:val="003B57FE"/>
    <w:rsid w:val="003B5816"/>
    <w:rsid w:val="003B584E"/>
    <w:rsid w:val="003B5893"/>
    <w:rsid w:val="003B58B5"/>
    <w:rsid w:val="003B5B8E"/>
    <w:rsid w:val="003B5C08"/>
    <w:rsid w:val="003B5C4E"/>
    <w:rsid w:val="003B5C70"/>
    <w:rsid w:val="003B5C71"/>
    <w:rsid w:val="003B5D01"/>
    <w:rsid w:val="003B5F07"/>
    <w:rsid w:val="003B5F1B"/>
    <w:rsid w:val="003B5F91"/>
    <w:rsid w:val="003B636D"/>
    <w:rsid w:val="003B65F9"/>
    <w:rsid w:val="003B6670"/>
    <w:rsid w:val="003B66B9"/>
    <w:rsid w:val="003B678A"/>
    <w:rsid w:val="003B690A"/>
    <w:rsid w:val="003B694B"/>
    <w:rsid w:val="003B6A7F"/>
    <w:rsid w:val="003B6A94"/>
    <w:rsid w:val="003B6D20"/>
    <w:rsid w:val="003B70C5"/>
    <w:rsid w:val="003B70CB"/>
    <w:rsid w:val="003B70D3"/>
    <w:rsid w:val="003B710F"/>
    <w:rsid w:val="003B7171"/>
    <w:rsid w:val="003B764C"/>
    <w:rsid w:val="003B76C1"/>
    <w:rsid w:val="003B77A5"/>
    <w:rsid w:val="003B792C"/>
    <w:rsid w:val="003B7A62"/>
    <w:rsid w:val="003B7C33"/>
    <w:rsid w:val="003B7C53"/>
    <w:rsid w:val="003B7EFF"/>
    <w:rsid w:val="003B7FC7"/>
    <w:rsid w:val="003B7FD7"/>
    <w:rsid w:val="003C013A"/>
    <w:rsid w:val="003C015B"/>
    <w:rsid w:val="003C018E"/>
    <w:rsid w:val="003C0215"/>
    <w:rsid w:val="003C030B"/>
    <w:rsid w:val="003C05B7"/>
    <w:rsid w:val="003C06D5"/>
    <w:rsid w:val="003C0774"/>
    <w:rsid w:val="003C07FA"/>
    <w:rsid w:val="003C082D"/>
    <w:rsid w:val="003C0839"/>
    <w:rsid w:val="003C08A2"/>
    <w:rsid w:val="003C095D"/>
    <w:rsid w:val="003C0A08"/>
    <w:rsid w:val="003C0BC0"/>
    <w:rsid w:val="003C0BD0"/>
    <w:rsid w:val="003C0C18"/>
    <w:rsid w:val="003C0CE6"/>
    <w:rsid w:val="003C0D40"/>
    <w:rsid w:val="003C0E87"/>
    <w:rsid w:val="003C1007"/>
    <w:rsid w:val="003C12F4"/>
    <w:rsid w:val="003C1573"/>
    <w:rsid w:val="003C183C"/>
    <w:rsid w:val="003C1873"/>
    <w:rsid w:val="003C1B0D"/>
    <w:rsid w:val="003C1C8F"/>
    <w:rsid w:val="003C1CA8"/>
    <w:rsid w:val="003C1CD6"/>
    <w:rsid w:val="003C1D19"/>
    <w:rsid w:val="003C1D60"/>
    <w:rsid w:val="003C1D7A"/>
    <w:rsid w:val="003C1DF6"/>
    <w:rsid w:val="003C2063"/>
    <w:rsid w:val="003C219C"/>
    <w:rsid w:val="003C21BC"/>
    <w:rsid w:val="003C22F7"/>
    <w:rsid w:val="003C2449"/>
    <w:rsid w:val="003C248C"/>
    <w:rsid w:val="003C2524"/>
    <w:rsid w:val="003C25B2"/>
    <w:rsid w:val="003C25C3"/>
    <w:rsid w:val="003C25D2"/>
    <w:rsid w:val="003C25DE"/>
    <w:rsid w:val="003C261B"/>
    <w:rsid w:val="003C2730"/>
    <w:rsid w:val="003C27AE"/>
    <w:rsid w:val="003C2800"/>
    <w:rsid w:val="003C2860"/>
    <w:rsid w:val="003C289B"/>
    <w:rsid w:val="003C2902"/>
    <w:rsid w:val="003C29E6"/>
    <w:rsid w:val="003C2ADA"/>
    <w:rsid w:val="003C2B91"/>
    <w:rsid w:val="003C2C0B"/>
    <w:rsid w:val="003C2C92"/>
    <w:rsid w:val="003C2E16"/>
    <w:rsid w:val="003C2F1C"/>
    <w:rsid w:val="003C2F1E"/>
    <w:rsid w:val="003C2F4E"/>
    <w:rsid w:val="003C316F"/>
    <w:rsid w:val="003C3206"/>
    <w:rsid w:val="003C3272"/>
    <w:rsid w:val="003C32B2"/>
    <w:rsid w:val="003C32FE"/>
    <w:rsid w:val="003C33DA"/>
    <w:rsid w:val="003C3410"/>
    <w:rsid w:val="003C3653"/>
    <w:rsid w:val="003C3700"/>
    <w:rsid w:val="003C3719"/>
    <w:rsid w:val="003C3BE5"/>
    <w:rsid w:val="003C3C65"/>
    <w:rsid w:val="003C3CEE"/>
    <w:rsid w:val="003C3D94"/>
    <w:rsid w:val="003C3E47"/>
    <w:rsid w:val="003C3F29"/>
    <w:rsid w:val="003C3F87"/>
    <w:rsid w:val="003C41BA"/>
    <w:rsid w:val="003C425A"/>
    <w:rsid w:val="003C4347"/>
    <w:rsid w:val="003C4465"/>
    <w:rsid w:val="003C4519"/>
    <w:rsid w:val="003C451B"/>
    <w:rsid w:val="003C466A"/>
    <w:rsid w:val="003C4B71"/>
    <w:rsid w:val="003C4B99"/>
    <w:rsid w:val="003C4C1B"/>
    <w:rsid w:val="003C4C63"/>
    <w:rsid w:val="003C4C85"/>
    <w:rsid w:val="003C4D0A"/>
    <w:rsid w:val="003C4E24"/>
    <w:rsid w:val="003C4F83"/>
    <w:rsid w:val="003C5209"/>
    <w:rsid w:val="003C521A"/>
    <w:rsid w:val="003C5248"/>
    <w:rsid w:val="003C538E"/>
    <w:rsid w:val="003C53B0"/>
    <w:rsid w:val="003C552C"/>
    <w:rsid w:val="003C558E"/>
    <w:rsid w:val="003C55A2"/>
    <w:rsid w:val="003C5636"/>
    <w:rsid w:val="003C56F9"/>
    <w:rsid w:val="003C570C"/>
    <w:rsid w:val="003C586B"/>
    <w:rsid w:val="003C595D"/>
    <w:rsid w:val="003C596C"/>
    <w:rsid w:val="003C59ED"/>
    <w:rsid w:val="003C5A11"/>
    <w:rsid w:val="003C5ABC"/>
    <w:rsid w:val="003C5ACD"/>
    <w:rsid w:val="003C5B32"/>
    <w:rsid w:val="003C5C09"/>
    <w:rsid w:val="003C5C24"/>
    <w:rsid w:val="003C5E09"/>
    <w:rsid w:val="003C5E58"/>
    <w:rsid w:val="003C5E90"/>
    <w:rsid w:val="003C5F8E"/>
    <w:rsid w:val="003C609D"/>
    <w:rsid w:val="003C61F3"/>
    <w:rsid w:val="003C6224"/>
    <w:rsid w:val="003C6262"/>
    <w:rsid w:val="003C6263"/>
    <w:rsid w:val="003C6267"/>
    <w:rsid w:val="003C626E"/>
    <w:rsid w:val="003C6294"/>
    <w:rsid w:val="003C62EB"/>
    <w:rsid w:val="003C66C3"/>
    <w:rsid w:val="003C67B2"/>
    <w:rsid w:val="003C685C"/>
    <w:rsid w:val="003C6897"/>
    <w:rsid w:val="003C68F6"/>
    <w:rsid w:val="003C69F8"/>
    <w:rsid w:val="003C6A4F"/>
    <w:rsid w:val="003C6B03"/>
    <w:rsid w:val="003C6B3F"/>
    <w:rsid w:val="003C6BBE"/>
    <w:rsid w:val="003C6E6C"/>
    <w:rsid w:val="003C6FFE"/>
    <w:rsid w:val="003C7117"/>
    <w:rsid w:val="003C72B3"/>
    <w:rsid w:val="003C73E9"/>
    <w:rsid w:val="003C74A7"/>
    <w:rsid w:val="003C74AE"/>
    <w:rsid w:val="003C7541"/>
    <w:rsid w:val="003C7580"/>
    <w:rsid w:val="003C75F9"/>
    <w:rsid w:val="003C7646"/>
    <w:rsid w:val="003C7653"/>
    <w:rsid w:val="003C76F3"/>
    <w:rsid w:val="003C7795"/>
    <w:rsid w:val="003C77E6"/>
    <w:rsid w:val="003C7841"/>
    <w:rsid w:val="003C7926"/>
    <w:rsid w:val="003C79EB"/>
    <w:rsid w:val="003C7B38"/>
    <w:rsid w:val="003C7C56"/>
    <w:rsid w:val="003C7D13"/>
    <w:rsid w:val="003C7DB0"/>
    <w:rsid w:val="003C7F48"/>
    <w:rsid w:val="003D000E"/>
    <w:rsid w:val="003D00F8"/>
    <w:rsid w:val="003D00F9"/>
    <w:rsid w:val="003D0301"/>
    <w:rsid w:val="003D0390"/>
    <w:rsid w:val="003D0407"/>
    <w:rsid w:val="003D0432"/>
    <w:rsid w:val="003D0452"/>
    <w:rsid w:val="003D0472"/>
    <w:rsid w:val="003D04CC"/>
    <w:rsid w:val="003D04D7"/>
    <w:rsid w:val="003D05CD"/>
    <w:rsid w:val="003D06C0"/>
    <w:rsid w:val="003D0737"/>
    <w:rsid w:val="003D0916"/>
    <w:rsid w:val="003D09EC"/>
    <w:rsid w:val="003D09EF"/>
    <w:rsid w:val="003D09F0"/>
    <w:rsid w:val="003D0A00"/>
    <w:rsid w:val="003D0A6F"/>
    <w:rsid w:val="003D0BA5"/>
    <w:rsid w:val="003D0BDC"/>
    <w:rsid w:val="003D0BF0"/>
    <w:rsid w:val="003D0C52"/>
    <w:rsid w:val="003D0D95"/>
    <w:rsid w:val="003D0DA0"/>
    <w:rsid w:val="003D0EAB"/>
    <w:rsid w:val="003D0F33"/>
    <w:rsid w:val="003D1033"/>
    <w:rsid w:val="003D1098"/>
    <w:rsid w:val="003D110F"/>
    <w:rsid w:val="003D1132"/>
    <w:rsid w:val="003D1211"/>
    <w:rsid w:val="003D12EF"/>
    <w:rsid w:val="003D1383"/>
    <w:rsid w:val="003D140B"/>
    <w:rsid w:val="003D144D"/>
    <w:rsid w:val="003D1559"/>
    <w:rsid w:val="003D1587"/>
    <w:rsid w:val="003D161C"/>
    <w:rsid w:val="003D163B"/>
    <w:rsid w:val="003D1656"/>
    <w:rsid w:val="003D1788"/>
    <w:rsid w:val="003D17B6"/>
    <w:rsid w:val="003D181C"/>
    <w:rsid w:val="003D1823"/>
    <w:rsid w:val="003D1951"/>
    <w:rsid w:val="003D1956"/>
    <w:rsid w:val="003D19AF"/>
    <w:rsid w:val="003D1AE4"/>
    <w:rsid w:val="003D1B6C"/>
    <w:rsid w:val="003D1BDA"/>
    <w:rsid w:val="003D1CAD"/>
    <w:rsid w:val="003D1CB9"/>
    <w:rsid w:val="003D1CD6"/>
    <w:rsid w:val="003D1D38"/>
    <w:rsid w:val="003D1DF3"/>
    <w:rsid w:val="003D1F6A"/>
    <w:rsid w:val="003D1FFC"/>
    <w:rsid w:val="003D2221"/>
    <w:rsid w:val="003D2261"/>
    <w:rsid w:val="003D22CC"/>
    <w:rsid w:val="003D2331"/>
    <w:rsid w:val="003D23A4"/>
    <w:rsid w:val="003D24B8"/>
    <w:rsid w:val="003D24D0"/>
    <w:rsid w:val="003D25EB"/>
    <w:rsid w:val="003D26FA"/>
    <w:rsid w:val="003D28A5"/>
    <w:rsid w:val="003D28BB"/>
    <w:rsid w:val="003D290D"/>
    <w:rsid w:val="003D29E5"/>
    <w:rsid w:val="003D2A37"/>
    <w:rsid w:val="003D2B17"/>
    <w:rsid w:val="003D2B1A"/>
    <w:rsid w:val="003D2B6B"/>
    <w:rsid w:val="003D2BBA"/>
    <w:rsid w:val="003D2CC6"/>
    <w:rsid w:val="003D2CD7"/>
    <w:rsid w:val="003D2D44"/>
    <w:rsid w:val="003D2ECE"/>
    <w:rsid w:val="003D2FAA"/>
    <w:rsid w:val="003D2FDC"/>
    <w:rsid w:val="003D3098"/>
    <w:rsid w:val="003D314F"/>
    <w:rsid w:val="003D3221"/>
    <w:rsid w:val="003D3228"/>
    <w:rsid w:val="003D3285"/>
    <w:rsid w:val="003D332A"/>
    <w:rsid w:val="003D3360"/>
    <w:rsid w:val="003D336B"/>
    <w:rsid w:val="003D3465"/>
    <w:rsid w:val="003D3480"/>
    <w:rsid w:val="003D3508"/>
    <w:rsid w:val="003D35EE"/>
    <w:rsid w:val="003D3683"/>
    <w:rsid w:val="003D377A"/>
    <w:rsid w:val="003D38F6"/>
    <w:rsid w:val="003D39F2"/>
    <w:rsid w:val="003D39F6"/>
    <w:rsid w:val="003D3A1B"/>
    <w:rsid w:val="003D3AF9"/>
    <w:rsid w:val="003D3B26"/>
    <w:rsid w:val="003D3B9D"/>
    <w:rsid w:val="003D3DB3"/>
    <w:rsid w:val="003D3E39"/>
    <w:rsid w:val="003D3EFF"/>
    <w:rsid w:val="003D3F31"/>
    <w:rsid w:val="003D4081"/>
    <w:rsid w:val="003D40F4"/>
    <w:rsid w:val="003D4141"/>
    <w:rsid w:val="003D4221"/>
    <w:rsid w:val="003D435F"/>
    <w:rsid w:val="003D4377"/>
    <w:rsid w:val="003D4434"/>
    <w:rsid w:val="003D446D"/>
    <w:rsid w:val="003D4537"/>
    <w:rsid w:val="003D4580"/>
    <w:rsid w:val="003D4619"/>
    <w:rsid w:val="003D468D"/>
    <w:rsid w:val="003D469A"/>
    <w:rsid w:val="003D4716"/>
    <w:rsid w:val="003D47D5"/>
    <w:rsid w:val="003D484A"/>
    <w:rsid w:val="003D4873"/>
    <w:rsid w:val="003D4A1B"/>
    <w:rsid w:val="003D4A5F"/>
    <w:rsid w:val="003D4AA6"/>
    <w:rsid w:val="003D4C3E"/>
    <w:rsid w:val="003D4C6A"/>
    <w:rsid w:val="003D4D20"/>
    <w:rsid w:val="003D4D39"/>
    <w:rsid w:val="003D4D5D"/>
    <w:rsid w:val="003D4E95"/>
    <w:rsid w:val="003D4EC9"/>
    <w:rsid w:val="003D4F57"/>
    <w:rsid w:val="003D4FF5"/>
    <w:rsid w:val="003D505E"/>
    <w:rsid w:val="003D51AF"/>
    <w:rsid w:val="003D51B8"/>
    <w:rsid w:val="003D51F1"/>
    <w:rsid w:val="003D528A"/>
    <w:rsid w:val="003D5447"/>
    <w:rsid w:val="003D548A"/>
    <w:rsid w:val="003D548E"/>
    <w:rsid w:val="003D5492"/>
    <w:rsid w:val="003D552A"/>
    <w:rsid w:val="003D55BC"/>
    <w:rsid w:val="003D55DB"/>
    <w:rsid w:val="003D55F3"/>
    <w:rsid w:val="003D5612"/>
    <w:rsid w:val="003D5623"/>
    <w:rsid w:val="003D56D0"/>
    <w:rsid w:val="003D5716"/>
    <w:rsid w:val="003D5756"/>
    <w:rsid w:val="003D5792"/>
    <w:rsid w:val="003D57BF"/>
    <w:rsid w:val="003D580B"/>
    <w:rsid w:val="003D5825"/>
    <w:rsid w:val="003D5898"/>
    <w:rsid w:val="003D5969"/>
    <w:rsid w:val="003D5A7D"/>
    <w:rsid w:val="003D5AB0"/>
    <w:rsid w:val="003D5AD8"/>
    <w:rsid w:val="003D5C0D"/>
    <w:rsid w:val="003D5CF2"/>
    <w:rsid w:val="003D5D33"/>
    <w:rsid w:val="003D5DA6"/>
    <w:rsid w:val="003D5DD6"/>
    <w:rsid w:val="003D5FC3"/>
    <w:rsid w:val="003D6013"/>
    <w:rsid w:val="003D604E"/>
    <w:rsid w:val="003D6368"/>
    <w:rsid w:val="003D6427"/>
    <w:rsid w:val="003D6445"/>
    <w:rsid w:val="003D6451"/>
    <w:rsid w:val="003D647D"/>
    <w:rsid w:val="003D6507"/>
    <w:rsid w:val="003D650C"/>
    <w:rsid w:val="003D653D"/>
    <w:rsid w:val="003D6711"/>
    <w:rsid w:val="003D6769"/>
    <w:rsid w:val="003D67EE"/>
    <w:rsid w:val="003D69C3"/>
    <w:rsid w:val="003D69E4"/>
    <w:rsid w:val="003D6A0B"/>
    <w:rsid w:val="003D6A21"/>
    <w:rsid w:val="003D6AD6"/>
    <w:rsid w:val="003D6AF3"/>
    <w:rsid w:val="003D6B14"/>
    <w:rsid w:val="003D6B38"/>
    <w:rsid w:val="003D6B52"/>
    <w:rsid w:val="003D6BE6"/>
    <w:rsid w:val="003D6C69"/>
    <w:rsid w:val="003D6C97"/>
    <w:rsid w:val="003D6E44"/>
    <w:rsid w:val="003D6F40"/>
    <w:rsid w:val="003D71E5"/>
    <w:rsid w:val="003D7318"/>
    <w:rsid w:val="003D7341"/>
    <w:rsid w:val="003D73A8"/>
    <w:rsid w:val="003D7406"/>
    <w:rsid w:val="003D74FB"/>
    <w:rsid w:val="003D7518"/>
    <w:rsid w:val="003D7524"/>
    <w:rsid w:val="003D756C"/>
    <w:rsid w:val="003D7580"/>
    <w:rsid w:val="003D7593"/>
    <w:rsid w:val="003D7631"/>
    <w:rsid w:val="003D765B"/>
    <w:rsid w:val="003D7691"/>
    <w:rsid w:val="003D776F"/>
    <w:rsid w:val="003D7878"/>
    <w:rsid w:val="003D788F"/>
    <w:rsid w:val="003D78C3"/>
    <w:rsid w:val="003D78CD"/>
    <w:rsid w:val="003D7943"/>
    <w:rsid w:val="003D7A1F"/>
    <w:rsid w:val="003D7AE0"/>
    <w:rsid w:val="003D7B7D"/>
    <w:rsid w:val="003D7C26"/>
    <w:rsid w:val="003D7CB3"/>
    <w:rsid w:val="003D7D88"/>
    <w:rsid w:val="003D7DEE"/>
    <w:rsid w:val="003D7E32"/>
    <w:rsid w:val="003D7F95"/>
    <w:rsid w:val="003E0015"/>
    <w:rsid w:val="003E00F4"/>
    <w:rsid w:val="003E012A"/>
    <w:rsid w:val="003E02AE"/>
    <w:rsid w:val="003E0571"/>
    <w:rsid w:val="003E05B8"/>
    <w:rsid w:val="003E069B"/>
    <w:rsid w:val="003E06B3"/>
    <w:rsid w:val="003E07C7"/>
    <w:rsid w:val="003E0897"/>
    <w:rsid w:val="003E091D"/>
    <w:rsid w:val="003E0ABF"/>
    <w:rsid w:val="003E0C17"/>
    <w:rsid w:val="003E0C30"/>
    <w:rsid w:val="003E0DD8"/>
    <w:rsid w:val="003E0DDA"/>
    <w:rsid w:val="003E0DFC"/>
    <w:rsid w:val="003E0E6C"/>
    <w:rsid w:val="003E0E75"/>
    <w:rsid w:val="003E0EE1"/>
    <w:rsid w:val="003E0EEA"/>
    <w:rsid w:val="003E0F38"/>
    <w:rsid w:val="003E10FB"/>
    <w:rsid w:val="003E142C"/>
    <w:rsid w:val="003E147A"/>
    <w:rsid w:val="003E14F0"/>
    <w:rsid w:val="003E16A2"/>
    <w:rsid w:val="003E16F9"/>
    <w:rsid w:val="003E1793"/>
    <w:rsid w:val="003E180A"/>
    <w:rsid w:val="003E181D"/>
    <w:rsid w:val="003E1955"/>
    <w:rsid w:val="003E199C"/>
    <w:rsid w:val="003E19E6"/>
    <w:rsid w:val="003E19FA"/>
    <w:rsid w:val="003E1A0A"/>
    <w:rsid w:val="003E1BF8"/>
    <w:rsid w:val="003E1D2A"/>
    <w:rsid w:val="003E1D31"/>
    <w:rsid w:val="003E1D7E"/>
    <w:rsid w:val="003E1E6D"/>
    <w:rsid w:val="003E1F47"/>
    <w:rsid w:val="003E1FA6"/>
    <w:rsid w:val="003E2002"/>
    <w:rsid w:val="003E209E"/>
    <w:rsid w:val="003E20BF"/>
    <w:rsid w:val="003E210A"/>
    <w:rsid w:val="003E21C4"/>
    <w:rsid w:val="003E233B"/>
    <w:rsid w:val="003E2478"/>
    <w:rsid w:val="003E24BD"/>
    <w:rsid w:val="003E24F3"/>
    <w:rsid w:val="003E2670"/>
    <w:rsid w:val="003E26DA"/>
    <w:rsid w:val="003E2773"/>
    <w:rsid w:val="003E29C5"/>
    <w:rsid w:val="003E2A8F"/>
    <w:rsid w:val="003E2C81"/>
    <w:rsid w:val="003E2D5A"/>
    <w:rsid w:val="003E2DEF"/>
    <w:rsid w:val="003E2E7D"/>
    <w:rsid w:val="003E2F68"/>
    <w:rsid w:val="003E3014"/>
    <w:rsid w:val="003E30C6"/>
    <w:rsid w:val="003E316C"/>
    <w:rsid w:val="003E31FB"/>
    <w:rsid w:val="003E32E4"/>
    <w:rsid w:val="003E3306"/>
    <w:rsid w:val="003E36C5"/>
    <w:rsid w:val="003E376E"/>
    <w:rsid w:val="003E38C9"/>
    <w:rsid w:val="003E3A45"/>
    <w:rsid w:val="003E3A87"/>
    <w:rsid w:val="003E3AC6"/>
    <w:rsid w:val="003E3B3A"/>
    <w:rsid w:val="003E3BB9"/>
    <w:rsid w:val="003E3BE4"/>
    <w:rsid w:val="003E3CB1"/>
    <w:rsid w:val="003E3D4B"/>
    <w:rsid w:val="003E3D7A"/>
    <w:rsid w:val="003E3DD7"/>
    <w:rsid w:val="003E3E16"/>
    <w:rsid w:val="003E405E"/>
    <w:rsid w:val="003E4076"/>
    <w:rsid w:val="003E40DC"/>
    <w:rsid w:val="003E41EF"/>
    <w:rsid w:val="003E42A8"/>
    <w:rsid w:val="003E4356"/>
    <w:rsid w:val="003E4491"/>
    <w:rsid w:val="003E44BB"/>
    <w:rsid w:val="003E4557"/>
    <w:rsid w:val="003E45ED"/>
    <w:rsid w:val="003E4727"/>
    <w:rsid w:val="003E4738"/>
    <w:rsid w:val="003E473F"/>
    <w:rsid w:val="003E480D"/>
    <w:rsid w:val="003E484A"/>
    <w:rsid w:val="003E49E2"/>
    <w:rsid w:val="003E4A67"/>
    <w:rsid w:val="003E4A75"/>
    <w:rsid w:val="003E4C3E"/>
    <w:rsid w:val="003E4D26"/>
    <w:rsid w:val="003E4E0C"/>
    <w:rsid w:val="003E4E8F"/>
    <w:rsid w:val="003E4F23"/>
    <w:rsid w:val="003E4F73"/>
    <w:rsid w:val="003E5052"/>
    <w:rsid w:val="003E5131"/>
    <w:rsid w:val="003E5276"/>
    <w:rsid w:val="003E5362"/>
    <w:rsid w:val="003E551C"/>
    <w:rsid w:val="003E5656"/>
    <w:rsid w:val="003E5684"/>
    <w:rsid w:val="003E575D"/>
    <w:rsid w:val="003E57A5"/>
    <w:rsid w:val="003E58B2"/>
    <w:rsid w:val="003E58CA"/>
    <w:rsid w:val="003E5A9C"/>
    <w:rsid w:val="003E5BDF"/>
    <w:rsid w:val="003E5C2F"/>
    <w:rsid w:val="003E5D12"/>
    <w:rsid w:val="003E5D1B"/>
    <w:rsid w:val="003E5EE1"/>
    <w:rsid w:val="003E6066"/>
    <w:rsid w:val="003E6086"/>
    <w:rsid w:val="003E614C"/>
    <w:rsid w:val="003E616E"/>
    <w:rsid w:val="003E61A7"/>
    <w:rsid w:val="003E6290"/>
    <w:rsid w:val="003E63EE"/>
    <w:rsid w:val="003E6480"/>
    <w:rsid w:val="003E6537"/>
    <w:rsid w:val="003E6547"/>
    <w:rsid w:val="003E655C"/>
    <w:rsid w:val="003E65D1"/>
    <w:rsid w:val="003E67BE"/>
    <w:rsid w:val="003E6842"/>
    <w:rsid w:val="003E69A1"/>
    <w:rsid w:val="003E6B70"/>
    <w:rsid w:val="003E6C93"/>
    <w:rsid w:val="003E6D98"/>
    <w:rsid w:val="003E6E25"/>
    <w:rsid w:val="003E700D"/>
    <w:rsid w:val="003E70B8"/>
    <w:rsid w:val="003E7273"/>
    <w:rsid w:val="003E730B"/>
    <w:rsid w:val="003E7429"/>
    <w:rsid w:val="003E74C6"/>
    <w:rsid w:val="003E757C"/>
    <w:rsid w:val="003E7593"/>
    <w:rsid w:val="003E76D1"/>
    <w:rsid w:val="003E7894"/>
    <w:rsid w:val="003E78EC"/>
    <w:rsid w:val="003E7971"/>
    <w:rsid w:val="003E7A47"/>
    <w:rsid w:val="003E7AED"/>
    <w:rsid w:val="003E7B45"/>
    <w:rsid w:val="003E7C8F"/>
    <w:rsid w:val="003E7E13"/>
    <w:rsid w:val="003E7E40"/>
    <w:rsid w:val="003F01D4"/>
    <w:rsid w:val="003F0268"/>
    <w:rsid w:val="003F0275"/>
    <w:rsid w:val="003F0380"/>
    <w:rsid w:val="003F03BC"/>
    <w:rsid w:val="003F048F"/>
    <w:rsid w:val="003F0563"/>
    <w:rsid w:val="003F0626"/>
    <w:rsid w:val="003F076C"/>
    <w:rsid w:val="003F0813"/>
    <w:rsid w:val="003F0866"/>
    <w:rsid w:val="003F08C9"/>
    <w:rsid w:val="003F097A"/>
    <w:rsid w:val="003F0981"/>
    <w:rsid w:val="003F0988"/>
    <w:rsid w:val="003F0A48"/>
    <w:rsid w:val="003F0B23"/>
    <w:rsid w:val="003F0B7B"/>
    <w:rsid w:val="003F0C5B"/>
    <w:rsid w:val="003F0C97"/>
    <w:rsid w:val="003F0E72"/>
    <w:rsid w:val="003F0FC6"/>
    <w:rsid w:val="003F0FC8"/>
    <w:rsid w:val="003F0FEB"/>
    <w:rsid w:val="003F118B"/>
    <w:rsid w:val="003F11CB"/>
    <w:rsid w:val="003F1228"/>
    <w:rsid w:val="003F14EB"/>
    <w:rsid w:val="003F159C"/>
    <w:rsid w:val="003F15C4"/>
    <w:rsid w:val="003F164B"/>
    <w:rsid w:val="003F181F"/>
    <w:rsid w:val="003F1912"/>
    <w:rsid w:val="003F1958"/>
    <w:rsid w:val="003F1A2C"/>
    <w:rsid w:val="003F1B73"/>
    <w:rsid w:val="003F1C7E"/>
    <w:rsid w:val="003F1D01"/>
    <w:rsid w:val="003F1D44"/>
    <w:rsid w:val="003F1D62"/>
    <w:rsid w:val="003F1E47"/>
    <w:rsid w:val="003F1E9E"/>
    <w:rsid w:val="003F1EBB"/>
    <w:rsid w:val="003F1FD3"/>
    <w:rsid w:val="003F2022"/>
    <w:rsid w:val="003F203D"/>
    <w:rsid w:val="003F20F3"/>
    <w:rsid w:val="003F20F5"/>
    <w:rsid w:val="003F223E"/>
    <w:rsid w:val="003F2388"/>
    <w:rsid w:val="003F23BC"/>
    <w:rsid w:val="003F23C0"/>
    <w:rsid w:val="003F23EA"/>
    <w:rsid w:val="003F2472"/>
    <w:rsid w:val="003F24F2"/>
    <w:rsid w:val="003F28D5"/>
    <w:rsid w:val="003F2932"/>
    <w:rsid w:val="003F2968"/>
    <w:rsid w:val="003F2998"/>
    <w:rsid w:val="003F29EC"/>
    <w:rsid w:val="003F2BF1"/>
    <w:rsid w:val="003F2C49"/>
    <w:rsid w:val="003F2C4E"/>
    <w:rsid w:val="003F2CC5"/>
    <w:rsid w:val="003F2E5F"/>
    <w:rsid w:val="003F2F28"/>
    <w:rsid w:val="003F2FCB"/>
    <w:rsid w:val="003F30E3"/>
    <w:rsid w:val="003F3223"/>
    <w:rsid w:val="003F3425"/>
    <w:rsid w:val="003F3484"/>
    <w:rsid w:val="003F34CE"/>
    <w:rsid w:val="003F34FF"/>
    <w:rsid w:val="003F35B0"/>
    <w:rsid w:val="003F3663"/>
    <w:rsid w:val="003F36BD"/>
    <w:rsid w:val="003F3700"/>
    <w:rsid w:val="003F3717"/>
    <w:rsid w:val="003F3787"/>
    <w:rsid w:val="003F3792"/>
    <w:rsid w:val="003F3896"/>
    <w:rsid w:val="003F3AE6"/>
    <w:rsid w:val="003F3B12"/>
    <w:rsid w:val="003F3B59"/>
    <w:rsid w:val="003F3D08"/>
    <w:rsid w:val="003F3D45"/>
    <w:rsid w:val="003F3DC5"/>
    <w:rsid w:val="003F3EB7"/>
    <w:rsid w:val="003F3F0B"/>
    <w:rsid w:val="003F3FE4"/>
    <w:rsid w:val="003F419A"/>
    <w:rsid w:val="003F41D1"/>
    <w:rsid w:val="003F422C"/>
    <w:rsid w:val="003F42DD"/>
    <w:rsid w:val="003F4313"/>
    <w:rsid w:val="003F4341"/>
    <w:rsid w:val="003F436B"/>
    <w:rsid w:val="003F443D"/>
    <w:rsid w:val="003F4669"/>
    <w:rsid w:val="003F4741"/>
    <w:rsid w:val="003F4756"/>
    <w:rsid w:val="003F47EA"/>
    <w:rsid w:val="003F499D"/>
    <w:rsid w:val="003F4A79"/>
    <w:rsid w:val="003F4BB7"/>
    <w:rsid w:val="003F4C95"/>
    <w:rsid w:val="003F4CCE"/>
    <w:rsid w:val="003F4FA4"/>
    <w:rsid w:val="003F4FD5"/>
    <w:rsid w:val="003F50D7"/>
    <w:rsid w:val="003F51B8"/>
    <w:rsid w:val="003F51E3"/>
    <w:rsid w:val="003F5249"/>
    <w:rsid w:val="003F528A"/>
    <w:rsid w:val="003F52FF"/>
    <w:rsid w:val="003F5350"/>
    <w:rsid w:val="003F5443"/>
    <w:rsid w:val="003F556D"/>
    <w:rsid w:val="003F55EA"/>
    <w:rsid w:val="003F55EE"/>
    <w:rsid w:val="003F564D"/>
    <w:rsid w:val="003F56F6"/>
    <w:rsid w:val="003F5711"/>
    <w:rsid w:val="003F571D"/>
    <w:rsid w:val="003F5791"/>
    <w:rsid w:val="003F5801"/>
    <w:rsid w:val="003F5804"/>
    <w:rsid w:val="003F585E"/>
    <w:rsid w:val="003F5921"/>
    <w:rsid w:val="003F5A1F"/>
    <w:rsid w:val="003F5AFB"/>
    <w:rsid w:val="003F5B77"/>
    <w:rsid w:val="003F5BD3"/>
    <w:rsid w:val="003F5C54"/>
    <w:rsid w:val="003F5D49"/>
    <w:rsid w:val="003F5E7C"/>
    <w:rsid w:val="003F5EA7"/>
    <w:rsid w:val="003F6038"/>
    <w:rsid w:val="003F605B"/>
    <w:rsid w:val="003F605D"/>
    <w:rsid w:val="003F608B"/>
    <w:rsid w:val="003F61A2"/>
    <w:rsid w:val="003F6235"/>
    <w:rsid w:val="003F62C9"/>
    <w:rsid w:val="003F670E"/>
    <w:rsid w:val="003F672D"/>
    <w:rsid w:val="003F6B35"/>
    <w:rsid w:val="003F6B95"/>
    <w:rsid w:val="003F6BD5"/>
    <w:rsid w:val="003F6DFC"/>
    <w:rsid w:val="003F6E9E"/>
    <w:rsid w:val="003F6ED1"/>
    <w:rsid w:val="003F6EDA"/>
    <w:rsid w:val="003F6EEC"/>
    <w:rsid w:val="003F6F4E"/>
    <w:rsid w:val="003F717B"/>
    <w:rsid w:val="003F71C8"/>
    <w:rsid w:val="003F7257"/>
    <w:rsid w:val="003F730C"/>
    <w:rsid w:val="003F7314"/>
    <w:rsid w:val="003F734D"/>
    <w:rsid w:val="003F737F"/>
    <w:rsid w:val="003F7413"/>
    <w:rsid w:val="003F7500"/>
    <w:rsid w:val="003F75F1"/>
    <w:rsid w:val="003F76E8"/>
    <w:rsid w:val="003F7700"/>
    <w:rsid w:val="003F7740"/>
    <w:rsid w:val="003F7961"/>
    <w:rsid w:val="003F79AE"/>
    <w:rsid w:val="003F7BD9"/>
    <w:rsid w:val="003F7C91"/>
    <w:rsid w:val="003F7D06"/>
    <w:rsid w:val="003F7D62"/>
    <w:rsid w:val="003F7F5E"/>
    <w:rsid w:val="00400088"/>
    <w:rsid w:val="00400107"/>
    <w:rsid w:val="004001B7"/>
    <w:rsid w:val="00400231"/>
    <w:rsid w:val="004002E6"/>
    <w:rsid w:val="00400316"/>
    <w:rsid w:val="004003BF"/>
    <w:rsid w:val="0040052E"/>
    <w:rsid w:val="004005A0"/>
    <w:rsid w:val="004005D6"/>
    <w:rsid w:val="00400688"/>
    <w:rsid w:val="00400846"/>
    <w:rsid w:val="004008B5"/>
    <w:rsid w:val="004008E5"/>
    <w:rsid w:val="00400B9F"/>
    <w:rsid w:val="00400BB2"/>
    <w:rsid w:val="00400C9D"/>
    <w:rsid w:val="00400CEC"/>
    <w:rsid w:val="00400DA5"/>
    <w:rsid w:val="00400E12"/>
    <w:rsid w:val="00400E7D"/>
    <w:rsid w:val="00400FAC"/>
    <w:rsid w:val="00401043"/>
    <w:rsid w:val="004010B1"/>
    <w:rsid w:val="0040113A"/>
    <w:rsid w:val="0040122D"/>
    <w:rsid w:val="00401260"/>
    <w:rsid w:val="004012B8"/>
    <w:rsid w:val="004012D3"/>
    <w:rsid w:val="004013B1"/>
    <w:rsid w:val="00401556"/>
    <w:rsid w:val="004015C5"/>
    <w:rsid w:val="00401737"/>
    <w:rsid w:val="004017D4"/>
    <w:rsid w:val="0040191E"/>
    <w:rsid w:val="004019EF"/>
    <w:rsid w:val="00401BC5"/>
    <w:rsid w:val="00401DCF"/>
    <w:rsid w:val="00401DE3"/>
    <w:rsid w:val="00401F72"/>
    <w:rsid w:val="00401F78"/>
    <w:rsid w:val="00401F9E"/>
    <w:rsid w:val="004020C0"/>
    <w:rsid w:val="00402178"/>
    <w:rsid w:val="00402316"/>
    <w:rsid w:val="00402387"/>
    <w:rsid w:val="00402480"/>
    <w:rsid w:val="004024DB"/>
    <w:rsid w:val="00402554"/>
    <w:rsid w:val="004025E2"/>
    <w:rsid w:val="00402756"/>
    <w:rsid w:val="004029D2"/>
    <w:rsid w:val="00402A48"/>
    <w:rsid w:val="00402B0D"/>
    <w:rsid w:val="00402BA8"/>
    <w:rsid w:val="00402BCB"/>
    <w:rsid w:val="00402C5E"/>
    <w:rsid w:val="00402C7B"/>
    <w:rsid w:val="00402D12"/>
    <w:rsid w:val="00402D40"/>
    <w:rsid w:val="00402D8F"/>
    <w:rsid w:val="00402FC7"/>
    <w:rsid w:val="00402FF4"/>
    <w:rsid w:val="00403047"/>
    <w:rsid w:val="0040305C"/>
    <w:rsid w:val="004030ED"/>
    <w:rsid w:val="00403192"/>
    <w:rsid w:val="004032AB"/>
    <w:rsid w:val="00403455"/>
    <w:rsid w:val="00403540"/>
    <w:rsid w:val="004035B7"/>
    <w:rsid w:val="004035F5"/>
    <w:rsid w:val="0040360B"/>
    <w:rsid w:val="00403B70"/>
    <w:rsid w:val="00403BAB"/>
    <w:rsid w:val="00403C28"/>
    <w:rsid w:val="00403D17"/>
    <w:rsid w:val="00403DEB"/>
    <w:rsid w:val="004040F4"/>
    <w:rsid w:val="00404113"/>
    <w:rsid w:val="00404163"/>
    <w:rsid w:val="004041BE"/>
    <w:rsid w:val="004041D3"/>
    <w:rsid w:val="004041F3"/>
    <w:rsid w:val="00404224"/>
    <w:rsid w:val="004042E8"/>
    <w:rsid w:val="004044A0"/>
    <w:rsid w:val="00404534"/>
    <w:rsid w:val="00404560"/>
    <w:rsid w:val="0040490C"/>
    <w:rsid w:val="0040496A"/>
    <w:rsid w:val="00404971"/>
    <w:rsid w:val="004049D8"/>
    <w:rsid w:val="00404A16"/>
    <w:rsid w:val="00404A1C"/>
    <w:rsid w:val="00404AAE"/>
    <w:rsid w:val="00404B7C"/>
    <w:rsid w:val="00404C02"/>
    <w:rsid w:val="00404C28"/>
    <w:rsid w:val="00404C35"/>
    <w:rsid w:val="00404C43"/>
    <w:rsid w:val="00404CE7"/>
    <w:rsid w:val="00404D05"/>
    <w:rsid w:val="00404D9D"/>
    <w:rsid w:val="00404E9B"/>
    <w:rsid w:val="00404F79"/>
    <w:rsid w:val="00405023"/>
    <w:rsid w:val="00405122"/>
    <w:rsid w:val="004052E0"/>
    <w:rsid w:val="004054D5"/>
    <w:rsid w:val="004054F5"/>
    <w:rsid w:val="0040552B"/>
    <w:rsid w:val="00405545"/>
    <w:rsid w:val="0040554E"/>
    <w:rsid w:val="004055F2"/>
    <w:rsid w:val="00405786"/>
    <w:rsid w:val="00405787"/>
    <w:rsid w:val="00405979"/>
    <w:rsid w:val="004059CB"/>
    <w:rsid w:val="00405A18"/>
    <w:rsid w:val="00405A22"/>
    <w:rsid w:val="00405AA5"/>
    <w:rsid w:val="00405C96"/>
    <w:rsid w:val="00405E06"/>
    <w:rsid w:val="00405E1B"/>
    <w:rsid w:val="00405EEF"/>
    <w:rsid w:val="00406144"/>
    <w:rsid w:val="00406225"/>
    <w:rsid w:val="004062E8"/>
    <w:rsid w:val="004062EC"/>
    <w:rsid w:val="004063CB"/>
    <w:rsid w:val="004063CC"/>
    <w:rsid w:val="004063D9"/>
    <w:rsid w:val="004063E0"/>
    <w:rsid w:val="004063E5"/>
    <w:rsid w:val="00406497"/>
    <w:rsid w:val="004064C7"/>
    <w:rsid w:val="00406549"/>
    <w:rsid w:val="00406575"/>
    <w:rsid w:val="0040664B"/>
    <w:rsid w:val="00406669"/>
    <w:rsid w:val="0040666F"/>
    <w:rsid w:val="004066A1"/>
    <w:rsid w:val="00406707"/>
    <w:rsid w:val="0040675D"/>
    <w:rsid w:val="00406766"/>
    <w:rsid w:val="00406AAF"/>
    <w:rsid w:val="00406BDB"/>
    <w:rsid w:val="00406C7D"/>
    <w:rsid w:val="00406D7B"/>
    <w:rsid w:val="00406DB8"/>
    <w:rsid w:val="00406DD4"/>
    <w:rsid w:val="00406E6B"/>
    <w:rsid w:val="00406EB4"/>
    <w:rsid w:val="00406F0F"/>
    <w:rsid w:val="00407094"/>
    <w:rsid w:val="004070C3"/>
    <w:rsid w:val="00407114"/>
    <w:rsid w:val="0040711D"/>
    <w:rsid w:val="00407130"/>
    <w:rsid w:val="004071C2"/>
    <w:rsid w:val="004072A3"/>
    <w:rsid w:val="004072CC"/>
    <w:rsid w:val="004073B6"/>
    <w:rsid w:val="0040741A"/>
    <w:rsid w:val="00407649"/>
    <w:rsid w:val="00407651"/>
    <w:rsid w:val="0040776F"/>
    <w:rsid w:val="00407792"/>
    <w:rsid w:val="00407A77"/>
    <w:rsid w:val="00407AD2"/>
    <w:rsid w:val="00407B1E"/>
    <w:rsid w:val="00407C70"/>
    <w:rsid w:val="00407CEF"/>
    <w:rsid w:val="00407D9E"/>
    <w:rsid w:val="00407E80"/>
    <w:rsid w:val="00410039"/>
    <w:rsid w:val="00410060"/>
    <w:rsid w:val="004100D2"/>
    <w:rsid w:val="0041018C"/>
    <w:rsid w:val="0041039C"/>
    <w:rsid w:val="004103AA"/>
    <w:rsid w:val="004103D6"/>
    <w:rsid w:val="0041042A"/>
    <w:rsid w:val="004104A7"/>
    <w:rsid w:val="004104B3"/>
    <w:rsid w:val="00410693"/>
    <w:rsid w:val="00410760"/>
    <w:rsid w:val="00410786"/>
    <w:rsid w:val="0041092F"/>
    <w:rsid w:val="004109D7"/>
    <w:rsid w:val="00410A63"/>
    <w:rsid w:val="00410D2D"/>
    <w:rsid w:val="00410E4A"/>
    <w:rsid w:val="00410FCB"/>
    <w:rsid w:val="0041100D"/>
    <w:rsid w:val="004110BA"/>
    <w:rsid w:val="004111CA"/>
    <w:rsid w:val="00411419"/>
    <w:rsid w:val="00411584"/>
    <w:rsid w:val="004116BC"/>
    <w:rsid w:val="00411750"/>
    <w:rsid w:val="0041179E"/>
    <w:rsid w:val="004117C4"/>
    <w:rsid w:val="00411856"/>
    <w:rsid w:val="0041192D"/>
    <w:rsid w:val="00411956"/>
    <w:rsid w:val="004119C0"/>
    <w:rsid w:val="004119C4"/>
    <w:rsid w:val="00411D6A"/>
    <w:rsid w:val="00411E48"/>
    <w:rsid w:val="00411FB4"/>
    <w:rsid w:val="004120D2"/>
    <w:rsid w:val="004120D7"/>
    <w:rsid w:val="004121BE"/>
    <w:rsid w:val="004121D1"/>
    <w:rsid w:val="004123F9"/>
    <w:rsid w:val="0041243B"/>
    <w:rsid w:val="004124AF"/>
    <w:rsid w:val="00412505"/>
    <w:rsid w:val="0041264E"/>
    <w:rsid w:val="00412798"/>
    <w:rsid w:val="004128B3"/>
    <w:rsid w:val="00412957"/>
    <w:rsid w:val="00412997"/>
    <w:rsid w:val="00412A18"/>
    <w:rsid w:val="00412A7D"/>
    <w:rsid w:val="00412A8B"/>
    <w:rsid w:val="00412ACF"/>
    <w:rsid w:val="00412B64"/>
    <w:rsid w:val="00412E09"/>
    <w:rsid w:val="00412EA4"/>
    <w:rsid w:val="00412F62"/>
    <w:rsid w:val="00412F96"/>
    <w:rsid w:val="00413070"/>
    <w:rsid w:val="004130CA"/>
    <w:rsid w:val="00413115"/>
    <w:rsid w:val="00413119"/>
    <w:rsid w:val="004132A3"/>
    <w:rsid w:val="00413351"/>
    <w:rsid w:val="004135FE"/>
    <w:rsid w:val="0041362B"/>
    <w:rsid w:val="0041364E"/>
    <w:rsid w:val="0041368E"/>
    <w:rsid w:val="004136DF"/>
    <w:rsid w:val="00413744"/>
    <w:rsid w:val="0041384D"/>
    <w:rsid w:val="0041389C"/>
    <w:rsid w:val="004138AF"/>
    <w:rsid w:val="004138D8"/>
    <w:rsid w:val="0041394D"/>
    <w:rsid w:val="004139A3"/>
    <w:rsid w:val="004139E8"/>
    <w:rsid w:val="00413A2C"/>
    <w:rsid w:val="00413A85"/>
    <w:rsid w:val="00413AA7"/>
    <w:rsid w:val="00413ADC"/>
    <w:rsid w:val="00413BBF"/>
    <w:rsid w:val="00413D16"/>
    <w:rsid w:val="00413D5F"/>
    <w:rsid w:val="00413F01"/>
    <w:rsid w:val="00413FD1"/>
    <w:rsid w:val="00414013"/>
    <w:rsid w:val="004140AF"/>
    <w:rsid w:val="004140B8"/>
    <w:rsid w:val="00414153"/>
    <w:rsid w:val="004141D4"/>
    <w:rsid w:val="0041425F"/>
    <w:rsid w:val="004144C2"/>
    <w:rsid w:val="00414512"/>
    <w:rsid w:val="004146DC"/>
    <w:rsid w:val="004147B0"/>
    <w:rsid w:val="004147D6"/>
    <w:rsid w:val="0041481A"/>
    <w:rsid w:val="0041491A"/>
    <w:rsid w:val="004149AF"/>
    <w:rsid w:val="00414A77"/>
    <w:rsid w:val="00414AA9"/>
    <w:rsid w:val="00414AC1"/>
    <w:rsid w:val="00414AE7"/>
    <w:rsid w:val="00414C61"/>
    <w:rsid w:val="00414E0D"/>
    <w:rsid w:val="00414E22"/>
    <w:rsid w:val="00414F1E"/>
    <w:rsid w:val="00414F39"/>
    <w:rsid w:val="00414F93"/>
    <w:rsid w:val="00414FBD"/>
    <w:rsid w:val="0041508A"/>
    <w:rsid w:val="00415159"/>
    <w:rsid w:val="004155AE"/>
    <w:rsid w:val="00415693"/>
    <w:rsid w:val="004157B3"/>
    <w:rsid w:val="004158B9"/>
    <w:rsid w:val="0041597C"/>
    <w:rsid w:val="004159E1"/>
    <w:rsid w:val="004159EC"/>
    <w:rsid w:val="00415B27"/>
    <w:rsid w:val="00415BB5"/>
    <w:rsid w:val="00415BD9"/>
    <w:rsid w:val="00415BFD"/>
    <w:rsid w:val="00415C79"/>
    <w:rsid w:val="00415CE2"/>
    <w:rsid w:val="00415D92"/>
    <w:rsid w:val="00415E01"/>
    <w:rsid w:val="00415ED1"/>
    <w:rsid w:val="00415F94"/>
    <w:rsid w:val="00415FE1"/>
    <w:rsid w:val="004161BD"/>
    <w:rsid w:val="0041628F"/>
    <w:rsid w:val="0041629F"/>
    <w:rsid w:val="004162D2"/>
    <w:rsid w:val="00416349"/>
    <w:rsid w:val="0041658E"/>
    <w:rsid w:val="0041666A"/>
    <w:rsid w:val="0041673C"/>
    <w:rsid w:val="004168C0"/>
    <w:rsid w:val="0041692B"/>
    <w:rsid w:val="004169CF"/>
    <w:rsid w:val="00416CB1"/>
    <w:rsid w:val="00416CC2"/>
    <w:rsid w:val="00416DEE"/>
    <w:rsid w:val="00416E63"/>
    <w:rsid w:val="00416F48"/>
    <w:rsid w:val="00416FFD"/>
    <w:rsid w:val="00417059"/>
    <w:rsid w:val="0041714B"/>
    <w:rsid w:val="004171CE"/>
    <w:rsid w:val="00417200"/>
    <w:rsid w:val="00417225"/>
    <w:rsid w:val="00417245"/>
    <w:rsid w:val="0041725B"/>
    <w:rsid w:val="0041729E"/>
    <w:rsid w:val="00417379"/>
    <w:rsid w:val="00417671"/>
    <w:rsid w:val="00417861"/>
    <w:rsid w:val="00417B7E"/>
    <w:rsid w:val="00417BBA"/>
    <w:rsid w:val="00417CCD"/>
    <w:rsid w:val="00417DB0"/>
    <w:rsid w:val="00420166"/>
    <w:rsid w:val="0042016F"/>
    <w:rsid w:val="00420181"/>
    <w:rsid w:val="004201AB"/>
    <w:rsid w:val="00420250"/>
    <w:rsid w:val="004202E4"/>
    <w:rsid w:val="004202FF"/>
    <w:rsid w:val="0042044B"/>
    <w:rsid w:val="004205AE"/>
    <w:rsid w:val="004205F1"/>
    <w:rsid w:val="0042061B"/>
    <w:rsid w:val="0042064A"/>
    <w:rsid w:val="00420797"/>
    <w:rsid w:val="00420804"/>
    <w:rsid w:val="0042091A"/>
    <w:rsid w:val="00420C2F"/>
    <w:rsid w:val="00420D33"/>
    <w:rsid w:val="00420DB7"/>
    <w:rsid w:val="00420DB9"/>
    <w:rsid w:val="00420E2D"/>
    <w:rsid w:val="00420EA7"/>
    <w:rsid w:val="00421054"/>
    <w:rsid w:val="0042109C"/>
    <w:rsid w:val="0042111C"/>
    <w:rsid w:val="004211D4"/>
    <w:rsid w:val="004213B5"/>
    <w:rsid w:val="00421438"/>
    <w:rsid w:val="004214E8"/>
    <w:rsid w:val="004214F9"/>
    <w:rsid w:val="0042150C"/>
    <w:rsid w:val="0042152D"/>
    <w:rsid w:val="0042166A"/>
    <w:rsid w:val="00421679"/>
    <w:rsid w:val="00421763"/>
    <w:rsid w:val="004217BA"/>
    <w:rsid w:val="004217DF"/>
    <w:rsid w:val="00421976"/>
    <w:rsid w:val="00421BB6"/>
    <w:rsid w:val="00421C7B"/>
    <w:rsid w:val="00421D7F"/>
    <w:rsid w:val="00421FE9"/>
    <w:rsid w:val="00422059"/>
    <w:rsid w:val="0042224A"/>
    <w:rsid w:val="004222B5"/>
    <w:rsid w:val="00422342"/>
    <w:rsid w:val="0042234E"/>
    <w:rsid w:val="0042239D"/>
    <w:rsid w:val="004224D9"/>
    <w:rsid w:val="0042261B"/>
    <w:rsid w:val="004226A7"/>
    <w:rsid w:val="004227BE"/>
    <w:rsid w:val="004227EE"/>
    <w:rsid w:val="004228B7"/>
    <w:rsid w:val="00422961"/>
    <w:rsid w:val="00422B4A"/>
    <w:rsid w:val="00422B5D"/>
    <w:rsid w:val="00422B91"/>
    <w:rsid w:val="00422CAF"/>
    <w:rsid w:val="00422E7B"/>
    <w:rsid w:val="00422EF8"/>
    <w:rsid w:val="00422F98"/>
    <w:rsid w:val="00423045"/>
    <w:rsid w:val="004230B0"/>
    <w:rsid w:val="0042310E"/>
    <w:rsid w:val="0042312D"/>
    <w:rsid w:val="00423242"/>
    <w:rsid w:val="00423267"/>
    <w:rsid w:val="0042345C"/>
    <w:rsid w:val="004234FA"/>
    <w:rsid w:val="00423607"/>
    <w:rsid w:val="00423660"/>
    <w:rsid w:val="0042379F"/>
    <w:rsid w:val="0042380C"/>
    <w:rsid w:val="004238FC"/>
    <w:rsid w:val="00423ADE"/>
    <w:rsid w:val="00423B1B"/>
    <w:rsid w:val="00423C35"/>
    <w:rsid w:val="00423C76"/>
    <w:rsid w:val="00423C8E"/>
    <w:rsid w:val="00423CAA"/>
    <w:rsid w:val="00423CE0"/>
    <w:rsid w:val="00423D65"/>
    <w:rsid w:val="00423D86"/>
    <w:rsid w:val="00423DE1"/>
    <w:rsid w:val="00423E63"/>
    <w:rsid w:val="00423E92"/>
    <w:rsid w:val="00423F5B"/>
    <w:rsid w:val="00423F93"/>
    <w:rsid w:val="00423FE0"/>
    <w:rsid w:val="004240D1"/>
    <w:rsid w:val="004240D7"/>
    <w:rsid w:val="0042418E"/>
    <w:rsid w:val="0042418F"/>
    <w:rsid w:val="004241E9"/>
    <w:rsid w:val="0042423E"/>
    <w:rsid w:val="0042427E"/>
    <w:rsid w:val="004242A8"/>
    <w:rsid w:val="004242A9"/>
    <w:rsid w:val="0042445A"/>
    <w:rsid w:val="00424468"/>
    <w:rsid w:val="00424625"/>
    <w:rsid w:val="00424795"/>
    <w:rsid w:val="004247A8"/>
    <w:rsid w:val="004247B4"/>
    <w:rsid w:val="004247C5"/>
    <w:rsid w:val="004247D3"/>
    <w:rsid w:val="00424922"/>
    <w:rsid w:val="00424A16"/>
    <w:rsid w:val="00424B03"/>
    <w:rsid w:val="00424B19"/>
    <w:rsid w:val="00424B6A"/>
    <w:rsid w:val="00424BBC"/>
    <w:rsid w:val="00424BCD"/>
    <w:rsid w:val="00424D99"/>
    <w:rsid w:val="00424F1A"/>
    <w:rsid w:val="004250A6"/>
    <w:rsid w:val="004250F8"/>
    <w:rsid w:val="0042520A"/>
    <w:rsid w:val="00425255"/>
    <w:rsid w:val="00425289"/>
    <w:rsid w:val="0042534C"/>
    <w:rsid w:val="00425534"/>
    <w:rsid w:val="00425619"/>
    <w:rsid w:val="00425682"/>
    <w:rsid w:val="004257B3"/>
    <w:rsid w:val="004258FA"/>
    <w:rsid w:val="004259F2"/>
    <w:rsid w:val="004259F5"/>
    <w:rsid w:val="00425B17"/>
    <w:rsid w:val="00425B19"/>
    <w:rsid w:val="00425BD9"/>
    <w:rsid w:val="00425BDD"/>
    <w:rsid w:val="00425CB5"/>
    <w:rsid w:val="00425CD2"/>
    <w:rsid w:val="00425CDD"/>
    <w:rsid w:val="00425D7D"/>
    <w:rsid w:val="00425D9E"/>
    <w:rsid w:val="00425DB4"/>
    <w:rsid w:val="00425E01"/>
    <w:rsid w:val="00425E53"/>
    <w:rsid w:val="00425F3B"/>
    <w:rsid w:val="00425FB5"/>
    <w:rsid w:val="004261EF"/>
    <w:rsid w:val="004261F0"/>
    <w:rsid w:val="00426217"/>
    <w:rsid w:val="00426244"/>
    <w:rsid w:val="00426321"/>
    <w:rsid w:val="004263B8"/>
    <w:rsid w:val="00426403"/>
    <w:rsid w:val="004264C3"/>
    <w:rsid w:val="00426523"/>
    <w:rsid w:val="00426537"/>
    <w:rsid w:val="004267C8"/>
    <w:rsid w:val="00426856"/>
    <w:rsid w:val="00426ADD"/>
    <w:rsid w:val="00426B0C"/>
    <w:rsid w:val="00426B14"/>
    <w:rsid w:val="00426DA0"/>
    <w:rsid w:val="004270F5"/>
    <w:rsid w:val="00427291"/>
    <w:rsid w:val="00427304"/>
    <w:rsid w:val="004274A2"/>
    <w:rsid w:val="00427534"/>
    <w:rsid w:val="00427570"/>
    <w:rsid w:val="004276E5"/>
    <w:rsid w:val="00427783"/>
    <w:rsid w:val="004277AB"/>
    <w:rsid w:val="00427852"/>
    <w:rsid w:val="0042789C"/>
    <w:rsid w:val="00427951"/>
    <w:rsid w:val="00427A32"/>
    <w:rsid w:val="00427A51"/>
    <w:rsid w:val="00427B2D"/>
    <w:rsid w:val="00427D14"/>
    <w:rsid w:val="00427DCA"/>
    <w:rsid w:val="00427E22"/>
    <w:rsid w:val="00427E7A"/>
    <w:rsid w:val="00427F20"/>
    <w:rsid w:val="00427F85"/>
    <w:rsid w:val="00427FC8"/>
    <w:rsid w:val="00427FEE"/>
    <w:rsid w:val="00427FF5"/>
    <w:rsid w:val="00430052"/>
    <w:rsid w:val="00430088"/>
    <w:rsid w:val="004300C8"/>
    <w:rsid w:val="00430176"/>
    <w:rsid w:val="004301EF"/>
    <w:rsid w:val="00430266"/>
    <w:rsid w:val="0043028D"/>
    <w:rsid w:val="0043029C"/>
    <w:rsid w:val="004303B1"/>
    <w:rsid w:val="004303C1"/>
    <w:rsid w:val="004303F3"/>
    <w:rsid w:val="004306C1"/>
    <w:rsid w:val="0043075E"/>
    <w:rsid w:val="00430902"/>
    <w:rsid w:val="004309DC"/>
    <w:rsid w:val="004309EC"/>
    <w:rsid w:val="00430B9D"/>
    <w:rsid w:val="00430D90"/>
    <w:rsid w:val="00431004"/>
    <w:rsid w:val="00431024"/>
    <w:rsid w:val="004310B3"/>
    <w:rsid w:val="00431196"/>
    <w:rsid w:val="004311B7"/>
    <w:rsid w:val="00431487"/>
    <w:rsid w:val="004314FB"/>
    <w:rsid w:val="00431595"/>
    <w:rsid w:val="00431675"/>
    <w:rsid w:val="0043181F"/>
    <w:rsid w:val="004319D6"/>
    <w:rsid w:val="004319F0"/>
    <w:rsid w:val="00431A7D"/>
    <w:rsid w:val="00431AE3"/>
    <w:rsid w:val="00431B1A"/>
    <w:rsid w:val="00431B7B"/>
    <w:rsid w:val="00431BA8"/>
    <w:rsid w:val="00431BAD"/>
    <w:rsid w:val="00431C23"/>
    <w:rsid w:val="00431C43"/>
    <w:rsid w:val="00431CA9"/>
    <w:rsid w:val="00431D1E"/>
    <w:rsid w:val="00431DDF"/>
    <w:rsid w:val="00431F92"/>
    <w:rsid w:val="00432010"/>
    <w:rsid w:val="0043202D"/>
    <w:rsid w:val="0043211A"/>
    <w:rsid w:val="00432211"/>
    <w:rsid w:val="004322EA"/>
    <w:rsid w:val="00432313"/>
    <w:rsid w:val="00432330"/>
    <w:rsid w:val="00432347"/>
    <w:rsid w:val="00432478"/>
    <w:rsid w:val="004324BC"/>
    <w:rsid w:val="004324BF"/>
    <w:rsid w:val="00432535"/>
    <w:rsid w:val="004325A8"/>
    <w:rsid w:val="004325B4"/>
    <w:rsid w:val="0043267F"/>
    <w:rsid w:val="004328CE"/>
    <w:rsid w:val="0043296B"/>
    <w:rsid w:val="004329B7"/>
    <w:rsid w:val="00432AC0"/>
    <w:rsid w:val="00432B75"/>
    <w:rsid w:val="00432BBC"/>
    <w:rsid w:val="00432CA8"/>
    <w:rsid w:val="00432DEE"/>
    <w:rsid w:val="00432FCE"/>
    <w:rsid w:val="00433097"/>
    <w:rsid w:val="004331AB"/>
    <w:rsid w:val="00433204"/>
    <w:rsid w:val="0043326F"/>
    <w:rsid w:val="004332B9"/>
    <w:rsid w:val="004332DE"/>
    <w:rsid w:val="00433474"/>
    <w:rsid w:val="004334A2"/>
    <w:rsid w:val="0043355B"/>
    <w:rsid w:val="00433568"/>
    <w:rsid w:val="004335A1"/>
    <w:rsid w:val="004337B8"/>
    <w:rsid w:val="0043384A"/>
    <w:rsid w:val="00433875"/>
    <w:rsid w:val="004338F4"/>
    <w:rsid w:val="00433934"/>
    <w:rsid w:val="00433964"/>
    <w:rsid w:val="004339FE"/>
    <w:rsid w:val="00433C1F"/>
    <w:rsid w:val="00433D13"/>
    <w:rsid w:val="00433D14"/>
    <w:rsid w:val="00433D67"/>
    <w:rsid w:val="00433F2B"/>
    <w:rsid w:val="00433F84"/>
    <w:rsid w:val="00434132"/>
    <w:rsid w:val="0043421F"/>
    <w:rsid w:val="0043424C"/>
    <w:rsid w:val="0043438D"/>
    <w:rsid w:val="00434399"/>
    <w:rsid w:val="0043475B"/>
    <w:rsid w:val="004348F4"/>
    <w:rsid w:val="0043490F"/>
    <w:rsid w:val="0043496E"/>
    <w:rsid w:val="004349CA"/>
    <w:rsid w:val="00434A83"/>
    <w:rsid w:val="00434AA8"/>
    <w:rsid w:val="00434B29"/>
    <w:rsid w:val="00434BE3"/>
    <w:rsid w:val="00434C15"/>
    <w:rsid w:val="00434CD4"/>
    <w:rsid w:val="00434D47"/>
    <w:rsid w:val="00434DAD"/>
    <w:rsid w:val="00434DB0"/>
    <w:rsid w:val="00434E09"/>
    <w:rsid w:val="00434E58"/>
    <w:rsid w:val="00434EFE"/>
    <w:rsid w:val="004350D7"/>
    <w:rsid w:val="00435194"/>
    <w:rsid w:val="00435313"/>
    <w:rsid w:val="004353A4"/>
    <w:rsid w:val="004353E4"/>
    <w:rsid w:val="00435590"/>
    <w:rsid w:val="00435677"/>
    <w:rsid w:val="00435763"/>
    <w:rsid w:val="004357CC"/>
    <w:rsid w:val="00435803"/>
    <w:rsid w:val="004358D8"/>
    <w:rsid w:val="00435960"/>
    <w:rsid w:val="00435B53"/>
    <w:rsid w:val="00435B8C"/>
    <w:rsid w:val="00435C9E"/>
    <w:rsid w:val="00435CE4"/>
    <w:rsid w:val="00435D9C"/>
    <w:rsid w:val="00435DC8"/>
    <w:rsid w:val="00435F1A"/>
    <w:rsid w:val="00435F48"/>
    <w:rsid w:val="00435F53"/>
    <w:rsid w:val="00435FDC"/>
    <w:rsid w:val="00435FF2"/>
    <w:rsid w:val="0043605C"/>
    <w:rsid w:val="00436091"/>
    <w:rsid w:val="00436126"/>
    <w:rsid w:val="0043615A"/>
    <w:rsid w:val="004361BC"/>
    <w:rsid w:val="00436213"/>
    <w:rsid w:val="00436253"/>
    <w:rsid w:val="00436341"/>
    <w:rsid w:val="00436509"/>
    <w:rsid w:val="0043652C"/>
    <w:rsid w:val="004366C4"/>
    <w:rsid w:val="00436769"/>
    <w:rsid w:val="004367FD"/>
    <w:rsid w:val="00436A5E"/>
    <w:rsid w:val="00436AD8"/>
    <w:rsid w:val="00436B12"/>
    <w:rsid w:val="00436B8D"/>
    <w:rsid w:val="00436B9E"/>
    <w:rsid w:val="00436C0A"/>
    <w:rsid w:val="00436C7D"/>
    <w:rsid w:val="00436DB9"/>
    <w:rsid w:val="00436F3A"/>
    <w:rsid w:val="00436FAB"/>
    <w:rsid w:val="00437038"/>
    <w:rsid w:val="0043720C"/>
    <w:rsid w:val="004372FE"/>
    <w:rsid w:val="0043732F"/>
    <w:rsid w:val="004373BA"/>
    <w:rsid w:val="004373FA"/>
    <w:rsid w:val="0043749B"/>
    <w:rsid w:val="004375C9"/>
    <w:rsid w:val="004376A4"/>
    <w:rsid w:val="004376A6"/>
    <w:rsid w:val="00437712"/>
    <w:rsid w:val="004377D0"/>
    <w:rsid w:val="004378F7"/>
    <w:rsid w:val="004379B4"/>
    <w:rsid w:val="004379C5"/>
    <w:rsid w:val="00437AA7"/>
    <w:rsid w:val="00437AF2"/>
    <w:rsid w:val="00437B58"/>
    <w:rsid w:val="00437BED"/>
    <w:rsid w:val="00437C88"/>
    <w:rsid w:val="00437EA8"/>
    <w:rsid w:val="00437EEA"/>
    <w:rsid w:val="00437FB2"/>
    <w:rsid w:val="00437FB4"/>
    <w:rsid w:val="00437FE8"/>
    <w:rsid w:val="004401A8"/>
    <w:rsid w:val="004401EE"/>
    <w:rsid w:val="00440229"/>
    <w:rsid w:val="0044022C"/>
    <w:rsid w:val="0044029D"/>
    <w:rsid w:val="004402C1"/>
    <w:rsid w:val="00440304"/>
    <w:rsid w:val="00440319"/>
    <w:rsid w:val="0044036F"/>
    <w:rsid w:val="00440403"/>
    <w:rsid w:val="00440429"/>
    <w:rsid w:val="00440432"/>
    <w:rsid w:val="0044055B"/>
    <w:rsid w:val="004405BC"/>
    <w:rsid w:val="004405CF"/>
    <w:rsid w:val="0044078C"/>
    <w:rsid w:val="00440812"/>
    <w:rsid w:val="00440889"/>
    <w:rsid w:val="00440939"/>
    <w:rsid w:val="00440968"/>
    <w:rsid w:val="00440AD4"/>
    <w:rsid w:val="00440B72"/>
    <w:rsid w:val="00440BF2"/>
    <w:rsid w:val="00440CD5"/>
    <w:rsid w:val="00440DFB"/>
    <w:rsid w:val="00440F7B"/>
    <w:rsid w:val="0044108C"/>
    <w:rsid w:val="00441151"/>
    <w:rsid w:val="004412E0"/>
    <w:rsid w:val="004413A4"/>
    <w:rsid w:val="00441459"/>
    <w:rsid w:val="0044155A"/>
    <w:rsid w:val="004415EF"/>
    <w:rsid w:val="0044162B"/>
    <w:rsid w:val="00441708"/>
    <w:rsid w:val="004417B4"/>
    <w:rsid w:val="00441866"/>
    <w:rsid w:val="0044197A"/>
    <w:rsid w:val="004419C2"/>
    <w:rsid w:val="00441A40"/>
    <w:rsid w:val="00441C22"/>
    <w:rsid w:val="00441D9D"/>
    <w:rsid w:val="00441DA6"/>
    <w:rsid w:val="00441DE0"/>
    <w:rsid w:val="00441E14"/>
    <w:rsid w:val="00441F33"/>
    <w:rsid w:val="00441FF2"/>
    <w:rsid w:val="00442017"/>
    <w:rsid w:val="004420C3"/>
    <w:rsid w:val="00442125"/>
    <w:rsid w:val="00442235"/>
    <w:rsid w:val="00442308"/>
    <w:rsid w:val="00442381"/>
    <w:rsid w:val="00442405"/>
    <w:rsid w:val="004425D3"/>
    <w:rsid w:val="004425F2"/>
    <w:rsid w:val="004428A5"/>
    <w:rsid w:val="0044291E"/>
    <w:rsid w:val="004429A1"/>
    <w:rsid w:val="004429D6"/>
    <w:rsid w:val="00442A49"/>
    <w:rsid w:val="00442B57"/>
    <w:rsid w:val="00442B8E"/>
    <w:rsid w:val="00442C12"/>
    <w:rsid w:val="00442C76"/>
    <w:rsid w:val="00442D6D"/>
    <w:rsid w:val="00442E45"/>
    <w:rsid w:val="00442F8C"/>
    <w:rsid w:val="00443044"/>
    <w:rsid w:val="0044305A"/>
    <w:rsid w:val="0044308D"/>
    <w:rsid w:val="004430EA"/>
    <w:rsid w:val="0044316C"/>
    <w:rsid w:val="004433AD"/>
    <w:rsid w:val="00443407"/>
    <w:rsid w:val="0044341B"/>
    <w:rsid w:val="004435F9"/>
    <w:rsid w:val="00443723"/>
    <w:rsid w:val="00443890"/>
    <w:rsid w:val="004438BC"/>
    <w:rsid w:val="004439C6"/>
    <w:rsid w:val="00443A81"/>
    <w:rsid w:val="00443B00"/>
    <w:rsid w:val="00443C6B"/>
    <w:rsid w:val="00443C77"/>
    <w:rsid w:val="00443D01"/>
    <w:rsid w:val="00443D42"/>
    <w:rsid w:val="00443D75"/>
    <w:rsid w:val="00443EDB"/>
    <w:rsid w:val="00443F67"/>
    <w:rsid w:val="00443FF8"/>
    <w:rsid w:val="0044420D"/>
    <w:rsid w:val="004442AE"/>
    <w:rsid w:val="004442C1"/>
    <w:rsid w:val="0044431B"/>
    <w:rsid w:val="00444323"/>
    <w:rsid w:val="004443AB"/>
    <w:rsid w:val="00444637"/>
    <w:rsid w:val="0044466A"/>
    <w:rsid w:val="00444772"/>
    <w:rsid w:val="004447A3"/>
    <w:rsid w:val="004447AE"/>
    <w:rsid w:val="004447BD"/>
    <w:rsid w:val="004447D3"/>
    <w:rsid w:val="00444906"/>
    <w:rsid w:val="0044494D"/>
    <w:rsid w:val="004449FC"/>
    <w:rsid w:val="00444A00"/>
    <w:rsid w:val="00444A0B"/>
    <w:rsid w:val="00444B44"/>
    <w:rsid w:val="00444C19"/>
    <w:rsid w:val="00444C94"/>
    <w:rsid w:val="00444E98"/>
    <w:rsid w:val="00444EDF"/>
    <w:rsid w:val="00444F4D"/>
    <w:rsid w:val="00444F95"/>
    <w:rsid w:val="0044507D"/>
    <w:rsid w:val="0044535E"/>
    <w:rsid w:val="0044539E"/>
    <w:rsid w:val="00445483"/>
    <w:rsid w:val="0044549E"/>
    <w:rsid w:val="0044555C"/>
    <w:rsid w:val="0044558D"/>
    <w:rsid w:val="00445629"/>
    <w:rsid w:val="00445763"/>
    <w:rsid w:val="0044585E"/>
    <w:rsid w:val="00445889"/>
    <w:rsid w:val="004458A9"/>
    <w:rsid w:val="00445939"/>
    <w:rsid w:val="00445978"/>
    <w:rsid w:val="0044598B"/>
    <w:rsid w:val="00445995"/>
    <w:rsid w:val="004459AA"/>
    <w:rsid w:val="00445B40"/>
    <w:rsid w:val="00445B4A"/>
    <w:rsid w:val="00445B9C"/>
    <w:rsid w:val="00445C47"/>
    <w:rsid w:val="00445C7C"/>
    <w:rsid w:val="00445C9A"/>
    <w:rsid w:val="00445E0E"/>
    <w:rsid w:val="00445E6F"/>
    <w:rsid w:val="00445E77"/>
    <w:rsid w:val="00445EB3"/>
    <w:rsid w:val="00445FBB"/>
    <w:rsid w:val="004460C5"/>
    <w:rsid w:val="00446157"/>
    <w:rsid w:val="00446162"/>
    <w:rsid w:val="00446197"/>
    <w:rsid w:val="004461DF"/>
    <w:rsid w:val="00446201"/>
    <w:rsid w:val="004462F7"/>
    <w:rsid w:val="0044638C"/>
    <w:rsid w:val="004465B3"/>
    <w:rsid w:val="00446755"/>
    <w:rsid w:val="00446790"/>
    <w:rsid w:val="004469F3"/>
    <w:rsid w:val="004469FD"/>
    <w:rsid w:val="00446A05"/>
    <w:rsid w:val="00446A0F"/>
    <w:rsid w:val="00446A92"/>
    <w:rsid w:val="00446B72"/>
    <w:rsid w:val="00446B86"/>
    <w:rsid w:val="00446D79"/>
    <w:rsid w:val="00446DBF"/>
    <w:rsid w:val="00446E46"/>
    <w:rsid w:val="00446FD7"/>
    <w:rsid w:val="0044701E"/>
    <w:rsid w:val="00447125"/>
    <w:rsid w:val="0044747A"/>
    <w:rsid w:val="00447550"/>
    <w:rsid w:val="00447553"/>
    <w:rsid w:val="004475FD"/>
    <w:rsid w:val="0044778F"/>
    <w:rsid w:val="0044780B"/>
    <w:rsid w:val="0044784C"/>
    <w:rsid w:val="0044785E"/>
    <w:rsid w:val="0044793F"/>
    <w:rsid w:val="00447A4E"/>
    <w:rsid w:val="00447A97"/>
    <w:rsid w:val="00447AB9"/>
    <w:rsid w:val="00447AED"/>
    <w:rsid w:val="00447BDC"/>
    <w:rsid w:val="00447C6F"/>
    <w:rsid w:val="00447C87"/>
    <w:rsid w:val="00447D3B"/>
    <w:rsid w:val="00447DF0"/>
    <w:rsid w:val="00447E98"/>
    <w:rsid w:val="00447F98"/>
    <w:rsid w:val="004500A3"/>
    <w:rsid w:val="004500C0"/>
    <w:rsid w:val="00450143"/>
    <w:rsid w:val="0045014C"/>
    <w:rsid w:val="004501A7"/>
    <w:rsid w:val="0045020E"/>
    <w:rsid w:val="00450297"/>
    <w:rsid w:val="004502E0"/>
    <w:rsid w:val="00450446"/>
    <w:rsid w:val="004504D3"/>
    <w:rsid w:val="004506D9"/>
    <w:rsid w:val="00450729"/>
    <w:rsid w:val="00450814"/>
    <w:rsid w:val="00450878"/>
    <w:rsid w:val="004508A9"/>
    <w:rsid w:val="0045096F"/>
    <w:rsid w:val="00450977"/>
    <w:rsid w:val="004509AF"/>
    <w:rsid w:val="004509DA"/>
    <w:rsid w:val="00450B83"/>
    <w:rsid w:val="00450D33"/>
    <w:rsid w:val="00450D3B"/>
    <w:rsid w:val="00450D98"/>
    <w:rsid w:val="00450D9C"/>
    <w:rsid w:val="00450E0D"/>
    <w:rsid w:val="00451144"/>
    <w:rsid w:val="0045125E"/>
    <w:rsid w:val="00451358"/>
    <w:rsid w:val="0045137C"/>
    <w:rsid w:val="004514F3"/>
    <w:rsid w:val="0045174A"/>
    <w:rsid w:val="00451756"/>
    <w:rsid w:val="0045182F"/>
    <w:rsid w:val="00451899"/>
    <w:rsid w:val="00451C62"/>
    <w:rsid w:val="00451D71"/>
    <w:rsid w:val="00451EDA"/>
    <w:rsid w:val="00451FF1"/>
    <w:rsid w:val="0045203A"/>
    <w:rsid w:val="00452113"/>
    <w:rsid w:val="004521FF"/>
    <w:rsid w:val="0045229F"/>
    <w:rsid w:val="0045267F"/>
    <w:rsid w:val="00452780"/>
    <w:rsid w:val="004527F5"/>
    <w:rsid w:val="00452A62"/>
    <w:rsid w:val="00452AA7"/>
    <w:rsid w:val="00452B40"/>
    <w:rsid w:val="00452BB9"/>
    <w:rsid w:val="00452DA6"/>
    <w:rsid w:val="00452E0E"/>
    <w:rsid w:val="00452E41"/>
    <w:rsid w:val="004531DC"/>
    <w:rsid w:val="004531ED"/>
    <w:rsid w:val="0045320C"/>
    <w:rsid w:val="00453221"/>
    <w:rsid w:val="00453318"/>
    <w:rsid w:val="00453450"/>
    <w:rsid w:val="004534FC"/>
    <w:rsid w:val="00453582"/>
    <w:rsid w:val="00453654"/>
    <w:rsid w:val="004537DD"/>
    <w:rsid w:val="00453842"/>
    <w:rsid w:val="004538DB"/>
    <w:rsid w:val="0045391F"/>
    <w:rsid w:val="00453B88"/>
    <w:rsid w:val="00453BFC"/>
    <w:rsid w:val="00453DF7"/>
    <w:rsid w:val="00453E30"/>
    <w:rsid w:val="00453E57"/>
    <w:rsid w:val="00453E7E"/>
    <w:rsid w:val="00453EE1"/>
    <w:rsid w:val="004540A9"/>
    <w:rsid w:val="00454120"/>
    <w:rsid w:val="0045416C"/>
    <w:rsid w:val="00454180"/>
    <w:rsid w:val="004541FD"/>
    <w:rsid w:val="0045424C"/>
    <w:rsid w:val="00454251"/>
    <w:rsid w:val="004542C0"/>
    <w:rsid w:val="0045430A"/>
    <w:rsid w:val="00454422"/>
    <w:rsid w:val="00454597"/>
    <w:rsid w:val="004545EC"/>
    <w:rsid w:val="0045460E"/>
    <w:rsid w:val="004546A8"/>
    <w:rsid w:val="004546FA"/>
    <w:rsid w:val="00454795"/>
    <w:rsid w:val="004548FF"/>
    <w:rsid w:val="00454A70"/>
    <w:rsid w:val="00454AE8"/>
    <w:rsid w:val="00454B51"/>
    <w:rsid w:val="00454BC2"/>
    <w:rsid w:val="00454C2A"/>
    <w:rsid w:val="00454CD9"/>
    <w:rsid w:val="00454D11"/>
    <w:rsid w:val="00454D6F"/>
    <w:rsid w:val="00454DBB"/>
    <w:rsid w:val="00454DC9"/>
    <w:rsid w:val="00454EA8"/>
    <w:rsid w:val="00454ED2"/>
    <w:rsid w:val="00454F4C"/>
    <w:rsid w:val="00454FED"/>
    <w:rsid w:val="0045501D"/>
    <w:rsid w:val="00455095"/>
    <w:rsid w:val="00455099"/>
    <w:rsid w:val="00455221"/>
    <w:rsid w:val="004552D7"/>
    <w:rsid w:val="0045545D"/>
    <w:rsid w:val="0045547C"/>
    <w:rsid w:val="004554DC"/>
    <w:rsid w:val="004554E5"/>
    <w:rsid w:val="004554F9"/>
    <w:rsid w:val="00455557"/>
    <w:rsid w:val="004556D8"/>
    <w:rsid w:val="00455896"/>
    <w:rsid w:val="0045589B"/>
    <w:rsid w:val="00455936"/>
    <w:rsid w:val="00455C5D"/>
    <w:rsid w:val="00455DD2"/>
    <w:rsid w:val="00455E31"/>
    <w:rsid w:val="00455E93"/>
    <w:rsid w:val="00455EA3"/>
    <w:rsid w:val="00455EC8"/>
    <w:rsid w:val="00455EE3"/>
    <w:rsid w:val="00455F75"/>
    <w:rsid w:val="0045614A"/>
    <w:rsid w:val="00456269"/>
    <w:rsid w:val="0045632A"/>
    <w:rsid w:val="0045632F"/>
    <w:rsid w:val="00456470"/>
    <w:rsid w:val="0045648A"/>
    <w:rsid w:val="00456529"/>
    <w:rsid w:val="0045654D"/>
    <w:rsid w:val="00456562"/>
    <w:rsid w:val="004565B4"/>
    <w:rsid w:val="004565E3"/>
    <w:rsid w:val="004565FB"/>
    <w:rsid w:val="00456690"/>
    <w:rsid w:val="004566DF"/>
    <w:rsid w:val="004567CB"/>
    <w:rsid w:val="004569F6"/>
    <w:rsid w:val="00456B5F"/>
    <w:rsid w:val="00456BDE"/>
    <w:rsid w:val="00456C66"/>
    <w:rsid w:val="00456CC0"/>
    <w:rsid w:val="00456EDE"/>
    <w:rsid w:val="004571E4"/>
    <w:rsid w:val="00457245"/>
    <w:rsid w:val="004572F6"/>
    <w:rsid w:val="004573F6"/>
    <w:rsid w:val="00457654"/>
    <w:rsid w:val="00457754"/>
    <w:rsid w:val="004578A1"/>
    <w:rsid w:val="00457BFE"/>
    <w:rsid w:val="00457CFE"/>
    <w:rsid w:val="00457D2D"/>
    <w:rsid w:val="00460013"/>
    <w:rsid w:val="004603C5"/>
    <w:rsid w:val="004605D9"/>
    <w:rsid w:val="00460655"/>
    <w:rsid w:val="00460748"/>
    <w:rsid w:val="00460827"/>
    <w:rsid w:val="0046082B"/>
    <w:rsid w:val="004608D1"/>
    <w:rsid w:val="004608EF"/>
    <w:rsid w:val="0046092D"/>
    <w:rsid w:val="00460950"/>
    <w:rsid w:val="00460962"/>
    <w:rsid w:val="00460A7D"/>
    <w:rsid w:val="00460B97"/>
    <w:rsid w:val="00460BAC"/>
    <w:rsid w:val="00460C98"/>
    <w:rsid w:val="00460CAF"/>
    <w:rsid w:val="00460D37"/>
    <w:rsid w:val="00460E05"/>
    <w:rsid w:val="00460E38"/>
    <w:rsid w:val="00460F00"/>
    <w:rsid w:val="00460FBF"/>
    <w:rsid w:val="00460FCA"/>
    <w:rsid w:val="004610AC"/>
    <w:rsid w:val="004610B5"/>
    <w:rsid w:val="004611E6"/>
    <w:rsid w:val="004612C9"/>
    <w:rsid w:val="0046137D"/>
    <w:rsid w:val="004613EE"/>
    <w:rsid w:val="004615A6"/>
    <w:rsid w:val="00461752"/>
    <w:rsid w:val="0046175C"/>
    <w:rsid w:val="0046176D"/>
    <w:rsid w:val="004617E8"/>
    <w:rsid w:val="0046180C"/>
    <w:rsid w:val="00461825"/>
    <w:rsid w:val="00461BEB"/>
    <w:rsid w:val="00461C03"/>
    <w:rsid w:val="00461CCF"/>
    <w:rsid w:val="00461CD5"/>
    <w:rsid w:val="00461D88"/>
    <w:rsid w:val="00461DDE"/>
    <w:rsid w:val="00461E18"/>
    <w:rsid w:val="00461EDE"/>
    <w:rsid w:val="00461EEB"/>
    <w:rsid w:val="00461FAA"/>
    <w:rsid w:val="00462076"/>
    <w:rsid w:val="00462111"/>
    <w:rsid w:val="00462132"/>
    <w:rsid w:val="004622B5"/>
    <w:rsid w:val="004622FB"/>
    <w:rsid w:val="00462451"/>
    <w:rsid w:val="00462596"/>
    <w:rsid w:val="00462624"/>
    <w:rsid w:val="004626CD"/>
    <w:rsid w:val="004626CF"/>
    <w:rsid w:val="00462779"/>
    <w:rsid w:val="004627C9"/>
    <w:rsid w:val="004627FC"/>
    <w:rsid w:val="00462932"/>
    <w:rsid w:val="00462A6A"/>
    <w:rsid w:val="00462C72"/>
    <w:rsid w:val="00462D33"/>
    <w:rsid w:val="00462E49"/>
    <w:rsid w:val="00462FBD"/>
    <w:rsid w:val="00462FF0"/>
    <w:rsid w:val="00463152"/>
    <w:rsid w:val="00463249"/>
    <w:rsid w:val="004633F3"/>
    <w:rsid w:val="004634C6"/>
    <w:rsid w:val="004635A8"/>
    <w:rsid w:val="004635C9"/>
    <w:rsid w:val="00463623"/>
    <w:rsid w:val="0046366F"/>
    <w:rsid w:val="004636EA"/>
    <w:rsid w:val="0046371C"/>
    <w:rsid w:val="0046376F"/>
    <w:rsid w:val="004637ED"/>
    <w:rsid w:val="004638AC"/>
    <w:rsid w:val="004639A3"/>
    <w:rsid w:val="00463A2E"/>
    <w:rsid w:val="00463A48"/>
    <w:rsid w:val="00463C8F"/>
    <w:rsid w:val="00463CE1"/>
    <w:rsid w:val="00463E13"/>
    <w:rsid w:val="00463E80"/>
    <w:rsid w:val="00463EB8"/>
    <w:rsid w:val="00463F6E"/>
    <w:rsid w:val="0046405E"/>
    <w:rsid w:val="00464072"/>
    <w:rsid w:val="004640AD"/>
    <w:rsid w:val="00464130"/>
    <w:rsid w:val="00464309"/>
    <w:rsid w:val="0046435C"/>
    <w:rsid w:val="00464381"/>
    <w:rsid w:val="0046451D"/>
    <w:rsid w:val="00464749"/>
    <w:rsid w:val="004647FD"/>
    <w:rsid w:val="0046491B"/>
    <w:rsid w:val="00464A37"/>
    <w:rsid w:val="00464C07"/>
    <w:rsid w:val="00464CB4"/>
    <w:rsid w:val="00464CD8"/>
    <w:rsid w:val="00464DE6"/>
    <w:rsid w:val="00464ECF"/>
    <w:rsid w:val="00464F2B"/>
    <w:rsid w:val="00464FAA"/>
    <w:rsid w:val="00465092"/>
    <w:rsid w:val="0046516F"/>
    <w:rsid w:val="004653F4"/>
    <w:rsid w:val="0046544B"/>
    <w:rsid w:val="004654C3"/>
    <w:rsid w:val="00465632"/>
    <w:rsid w:val="004656B3"/>
    <w:rsid w:val="004656CE"/>
    <w:rsid w:val="00465718"/>
    <w:rsid w:val="0046584C"/>
    <w:rsid w:val="004659DE"/>
    <w:rsid w:val="00465A6E"/>
    <w:rsid w:val="00465B45"/>
    <w:rsid w:val="00465B70"/>
    <w:rsid w:val="00465D8B"/>
    <w:rsid w:val="00465E11"/>
    <w:rsid w:val="00465E17"/>
    <w:rsid w:val="00465EB5"/>
    <w:rsid w:val="00465F3E"/>
    <w:rsid w:val="00465FA1"/>
    <w:rsid w:val="00465FDE"/>
    <w:rsid w:val="00466046"/>
    <w:rsid w:val="00466058"/>
    <w:rsid w:val="004660C6"/>
    <w:rsid w:val="0046613C"/>
    <w:rsid w:val="00466154"/>
    <w:rsid w:val="004661A2"/>
    <w:rsid w:val="004661BA"/>
    <w:rsid w:val="00466322"/>
    <w:rsid w:val="00466325"/>
    <w:rsid w:val="004663C5"/>
    <w:rsid w:val="004663D9"/>
    <w:rsid w:val="004663DF"/>
    <w:rsid w:val="00466442"/>
    <w:rsid w:val="0046664E"/>
    <w:rsid w:val="00466701"/>
    <w:rsid w:val="0046675E"/>
    <w:rsid w:val="0046680F"/>
    <w:rsid w:val="00466818"/>
    <w:rsid w:val="0046689C"/>
    <w:rsid w:val="0046692E"/>
    <w:rsid w:val="00466944"/>
    <w:rsid w:val="004669CE"/>
    <w:rsid w:val="00466A3A"/>
    <w:rsid w:val="00466D6E"/>
    <w:rsid w:val="00466D81"/>
    <w:rsid w:val="00466E85"/>
    <w:rsid w:val="00466F70"/>
    <w:rsid w:val="00466FBB"/>
    <w:rsid w:val="00466FC7"/>
    <w:rsid w:val="004670D5"/>
    <w:rsid w:val="004672E6"/>
    <w:rsid w:val="00467316"/>
    <w:rsid w:val="00467419"/>
    <w:rsid w:val="00467529"/>
    <w:rsid w:val="00467554"/>
    <w:rsid w:val="00467605"/>
    <w:rsid w:val="00467700"/>
    <w:rsid w:val="0046774E"/>
    <w:rsid w:val="0046790B"/>
    <w:rsid w:val="00467944"/>
    <w:rsid w:val="0046795A"/>
    <w:rsid w:val="004679AD"/>
    <w:rsid w:val="004679FF"/>
    <w:rsid w:val="00467A27"/>
    <w:rsid w:val="00467A7E"/>
    <w:rsid w:val="00467AAA"/>
    <w:rsid w:val="00467B1C"/>
    <w:rsid w:val="00467C01"/>
    <w:rsid w:val="00467C10"/>
    <w:rsid w:val="00467C19"/>
    <w:rsid w:val="00467C26"/>
    <w:rsid w:val="00467CD2"/>
    <w:rsid w:val="00467DC9"/>
    <w:rsid w:val="00467F3F"/>
    <w:rsid w:val="0047005C"/>
    <w:rsid w:val="00470315"/>
    <w:rsid w:val="00470323"/>
    <w:rsid w:val="004703F7"/>
    <w:rsid w:val="004704A1"/>
    <w:rsid w:val="004705A6"/>
    <w:rsid w:val="004705D9"/>
    <w:rsid w:val="00470696"/>
    <w:rsid w:val="00470700"/>
    <w:rsid w:val="00470745"/>
    <w:rsid w:val="0047074E"/>
    <w:rsid w:val="004707EF"/>
    <w:rsid w:val="0047082A"/>
    <w:rsid w:val="0047085E"/>
    <w:rsid w:val="004708C6"/>
    <w:rsid w:val="00470936"/>
    <w:rsid w:val="00470952"/>
    <w:rsid w:val="004709BB"/>
    <w:rsid w:val="004709DD"/>
    <w:rsid w:val="00470C5D"/>
    <w:rsid w:val="00470C6A"/>
    <w:rsid w:val="00470CC1"/>
    <w:rsid w:val="00470CEC"/>
    <w:rsid w:val="00470D33"/>
    <w:rsid w:val="00470D3B"/>
    <w:rsid w:val="00470ED0"/>
    <w:rsid w:val="00470FEF"/>
    <w:rsid w:val="0047102B"/>
    <w:rsid w:val="0047105B"/>
    <w:rsid w:val="004710E9"/>
    <w:rsid w:val="004711AC"/>
    <w:rsid w:val="0047124F"/>
    <w:rsid w:val="004712FD"/>
    <w:rsid w:val="00471320"/>
    <w:rsid w:val="00471476"/>
    <w:rsid w:val="00471602"/>
    <w:rsid w:val="00471695"/>
    <w:rsid w:val="00471838"/>
    <w:rsid w:val="004719AE"/>
    <w:rsid w:val="004719E6"/>
    <w:rsid w:val="004719FB"/>
    <w:rsid w:val="00471A6C"/>
    <w:rsid w:val="00471C40"/>
    <w:rsid w:val="00471C71"/>
    <w:rsid w:val="00471D88"/>
    <w:rsid w:val="00471FC5"/>
    <w:rsid w:val="004720D1"/>
    <w:rsid w:val="004720F7"/>
    <w:rsid w:val="00472149"/>
    <w:rsid w:val="004721FA"/>
    <w:rsid w:val="00472280"/>
    <w:rsid w:val="004722AD"/>
    <w:rsid w:val="004722E1"/>
    <w:rsid w:val="0047254A"/>
    <w:rsid w:val="00472561"/>
    <w:rsid w:val="00472738"/>
    <w:rsid w:val="004727BF"/>
    <w:rsid w:val="00472803"/>
    <w:rsid w:val="00472999"/>
    <w:rsid w:val="00472A29"/>
    <w:rsid w:val="00472AB6"/>
    <w:rsid w:val="00472B17"/>
    <w:rsid w:val="00472BA1"/>
    <w:rsid w:val="00472C20"/>
    <w:rsid w:val="00472DEA"/>
    <w:rsid w:val="00472F75"/>
    <w:rsid w:val="00473312"/>
    <w:rsid w:val="00473546"/>
    <w:rsid w:val="004737B0"/>
    <w:rsid w:val="004739D4"/>
    <w:rsid w:val="00473AF9"/>
    <w:rsid w:val="00473FF5"/>
    <w:rsid w:val="0047429E"/>
    <w:rsid w:val="004742FC"/>
    <w:rsid w:val="0047431C"/>
    <w:rsid w:val="004743A3"/>
    <w:rsid w:val="004743EE"/>
    <w:rsid w:val="00474478"/>
    <w:rsid w:val="004744EC"/>
    <w:rsid w:val="00474534"/>
    <w:rsid w:val="00474563"/>
    <w:rsid w:val="0047456B"/>
    <w:rsid w:val="004745B4"/>
    <w:rsid w:val="0047463B"/>
    <w:rsid w:val="0047476C"/>
    <w:rsid w:val="004747A6"/>
    <w:rsid w:val="004747BB"/>
    <w:rsid w:val="00474841"/>
    <w:rsid w:val="00474921"/>
    <w:rsid w:val="004749A1"/>
    <w:rsid w:val="004749B6"/>
    <w:rsid w:val="00474A37"/>
    <w:rsid w:val="00474A9A"/>
    <w:rsid w:val="00474B38"/>
    <w:rsid w:val="00474B85"/>
    <w:rsid w:val="00474C22"/>
    <w:rsid w:val="00474C78"/>
    <w:rsid w:val="00474D35"/>
    <w:rsid w:val="00474D3F"/>
    <w:rsid w:val="00474E57"/>
    <w:rsid w:val="00474EAE"/>
    <w:rsid w:val="00474F16"/>
    <w:rsid w:val="00474F5A"/>
    <w:rsid w:val="004750A4"/>
    <w:rsid w:val="004750A9"/>
    <w:rsid w:val="00475110"/>
    <w:rsid w:val="00475213"/>
    <w:rsid w:val="004752C1"/>
    <w:rsid w:val="004752EE"/>
    <w:rsid w:val="00475394"/>
    <w:rsid w:val="004753BE"/>
    <w:rsid w:val="00475404"/>
    <w:rsid w:val="00475419"/>
    <w:rsid w:val="0047543C"/>
    <w:rsid w:val="0047544B"/>
    <w:rsid w:val="00475544"/>
    <w:rsid w:val="00475578"/>
    <w:rsid w:val="00475727"/>
    <w:rsid w:val="0047576C"/>
    <w:rsid w:val="0047576E"/>
    <w:rsid w:val="004759D3"/>
    <w:rsid w:val="00475BD6"/>
    <w:rsid w:val="00475D7E"/>
    <w:rsid w:val="00475DE5"/>
    <w:rsid w:val="00475FE7"/>
    <w:rsid w:val="0047605D"/>
    <w:rsid w:val="0047628D"/>
    <w:rsid w:val="00476333"/>
    <w:rsid w:val="0047650E"/>
    <w:rsid w:val="00476531"/>
    <w:rsid w:val="004765A4"/>
    <w:rsid w:val="004765EF"/>
    <w:rsid w:val="0047662F"/>
    <w:rsid w:val="00476669"/>
    <w:rsid w:val="0047672B"/>
    <w:rsid w:val="0047677C"/>
    <w:rsid w:val="0047685C"/>
    <w:rsid w:val="00476869"/>
    <w:rsid w:val="00476920"/>
    <w:rsid w:val="00476DF6"/>
    <w:rsid w:val="00476E24"/>
    <w:rsid w:val="004772F9"/>
    <w:rsid w:val="00477301"/>
    <w:rsid w:val="00477404"/>
    <w:rsid w:val="0047745D"/>
    <w:rsid w:val="004775BC"/>
    <w:rsid w:val="00477702"/>
    <w:rsid w:val="00477711"/>
    <w:rsid w:val="00477792"/>
    <w:rsid w:val="00477831"/>
    <w:rsid w:val="00477876"/>
    <w:rsid w:val="0047788B"/>
    <w:rsid w:val="004778A6"/>
    <w:rsid w:val="00477918"/>
    <w:rsid w:val="00477A72"/>
    <w:rsid w:val="00477A82"/>
    <w:rsid w:val="00477AAC"/>
    <w:rsid w:val="00477BC9"/>
    <w:rsid w:val="00477BDC"/>
    <w:rsid w:val="00477BF3"/>
    <w:rsid w:val="00477C14"/>
    <w:rsid w:val="00477CAE"/>
    <w:rsid w:val="00477E8B"/>
    <w:rsid w:val="00477E91"/>
    <w:rsid w:val="00477F56"/>
    <w:rsid w:val="00477FC9"/>
    <w:rsid w:val="004800C4"/>
    <w:rsid w:val="00480243"/>
    <w:rsid w:val="004802DA"/>
    <w:rsid w:val="00480309"/>
    <w:rsid w:val="004803C1"/>
    <w:rsid w:val="00480423"/>
    <w:rsid w:val="00480499"/>
    <w:rsid w:val="004805A2"/>
    <w:rsid w:val="00480857"/>
    <w:rsid w:val="004808F5"/>
    <w:rsid w:val="00480943"/>
    <w:rsid w:val="00480949"/>
    <w:rsid w:val="004809D8"/>
    <w:rsid w:val="00480A66"/>
    <w:rsid w:val="00480B5A"/>
    <w:rsid w:val="00480C1C"/>
    <w:rsid w:val="00480F96"/>
    <w:rsid w:val="00481241"/>
    <w:rsid w:val="00481255"/>
    <w:rsid w:val="004812D9"/>
    <w:rsid w:val="0048134A"/>
    <w:rsid w:val="00481366"/>
    <w:rsid w:val="004813D1"/>
    <w:rsid w:val="004814B8"/>
    <w:rsid w:val="0048161D"/>
    <w:rsid w:val="004817B5"/>
    <w:rsid w:val="004817E3"/>
    <w:rsid w:val="00481818"/>
    <w:rsid w:val="00481825"/>
    <w:rsid w:val="0048189E"/>
    <w:rsid w:val="00481AB0"/>
    <w:rsid w:val="00481B46"/>
    <w:rsid w:val="00481D43"/>
    <w:rsid w:val="00481D9C"/>
    <w:rsid w:val="00481DBE"/>
    <w:rsid w:val="00481E58"/>
    <w:rsid w:val="00481EC0"/>
    <w:rsid w:val="00481FC4"/>
    <w:rsid w:val="00482044"/>
    <w:rsid w:val="004820C9"/>
    <w:rsid w:val="004820F9"/>
    <w:rsid w:val="004821DE"/>
    <w:rsid w:val="004822FB"/>
    <w:rsid w:val="00482519"/>
    <w:rsid w:val="00482672"/>
    <w:rsid w:val="004827A4"/>
    <w:rsid w:val="0048293D"/>
    <w:rsid w:val="00482A27"/>
    <w:rsid w:val="00482A5C"/>
    <w:rsid w:val="00482C08"/>
    <w:rsid w:val="00482C2B"/>
    <w:rsid w:val="00482D1E"/>
    <w:rsid w:val="00482D79"/>
    <w:rsid w:val="00482F38"/>
    <w:rsid w:val="00482F7D"/>
    <w:rsid w:val="0048301A"/>
    <w:rsid w:val="00483139"/>
    <w:rsid w:val="00483145"/>
    <w:rsid w:val="004831A1"/>
    <w:rsid w:val="0048324F"/>
    <w:rsid w:val="004832F4"/>
    <w:rsid w:val="004833C5"/>
    <w:rsid w:val="004834B0"/>
    <w:rsid w:val="00483598"/>
    <w:rsid w:val="004835DA"/>
    <w:rsid w:val="004836E3"/>
    <w:rsid w:val="004836EB"/>
    <w:rsid w:val="00483720"/>
    <w:rsid w:val="0048375A"/>
    <w:rsid w:val="004837C9"/>
    <w:rsid w:val="00483852"/>
    <w:rsid w:val="004838A1"/>
    <w:rsid w:val="00483934"/>
    <w:rsid w:val="0048396B"/>
    <w:rsid w:val="00483A3F"/>
    <w:rsid w:val="00483AAF"/>
    <w:rsid w:val="00483B65"/>
    <w:rsid w:val="004840AD"/>
    <w:rsid w:val="004840F2"/>
    <w:rsid w:val="00484133"/>
    <w:rsid w:val="004841A0"/>
    <w:rsid w:val="0048443B"/>
    <w:rsid w:val="0048445D"/>
    <w:rsid w:val="004844C9"/>
    <w:rsid w:val="00484588"/>
    <w:rsid w:val="0048477E"/>
    <w:rsid w:val="004847BF"/>
    <w:rsid w:val="004847C0"/>
    <w:rsid w:val="004847EC"/>
    <w:rsid w:val="00484818"/>
    <w:rsid w:val="00484873"/>
    <w:rsid w:val="0048498E"/>
    <w:rsid w:val="00484A99"/>
    <w:rsid w:val="00484B30"/>
    <w:rsid w:val="00484BD6"/>
    <w:rsid w:val="00484C73"/>
    <w:rsid w:val="00484C8A"/>
    <w:rsid w:val="00484CBA"/>
    <w:rsid w:val="0048534D"/>
    <w:rsid w:val="00485354"/>
    <w:rsid w:val="004853AD"/>
    <w:rsid w:val="0048547D"/>
    <w:rsid w:val="004854ED"/>
    <w:rsid w:val="00485563"/>
    <w:rsid w:val="00485929"/>
    <w:rsid w:val="0048599B"/>
    <w:rsid w:val="00485A2F"/>
    <w:rsid w:val="00485ACD"/>
    <w:rsid w:val="00485B25"/>
    <w:rsid w:val="00485B80"/>
    <w:rsid w:val="00485E27"/>
    <w:rsid w:val="0048601B"/>
    <w:rsid w:val="0048606C"/>
    <w:rsid w:val="00486202"/>
    <w:rsid w:val="004862A3"/>
    <w:rsid w:val="004862E5"/>
    <w:rsid w:val="00486366"/>
    <w:rsid w:val="00486430"/>
    <w:rsid w:val="00486432"/>
    <w:rsid w:val="0048650D"/>
    <w:rsid w:val="0048652F"/>
    <w:rsid w:val="00486539"/>
    <w:rsid w:val="0048668E"/>
    <w:rsid w:val="0048672F"/>
    <w:rsid w:val="0048677A"/>
    <w:rsid w:val="004869BD"/>
    <w:rsid w:val="00486A6C"/>
    <w:rsid w:val="00486B4D"/>
    <w:rsid w:val="00486B92"/>
    <w:rsid w:val="00486BE6"/>
    <w:rsid w:val="00486D42"/>
    <w:rsid w:val="00486DC1"/>
    <w:rsid w:val="00486DD7"/>
    <w:rsid w:val="00486E5E"/>
    <w:rsid w:val="00486EC9"/>
    <w:rsid w:val="00487210"/>
    <w:rsid w:val="00487358"/>
    <w:rsid w:val="0048745E"/>
    <w:rsid w:val="004874AF"/>
    <w:rsid w:val="00487528"/>
    <w:rsid w:val="00487578"/>
    <w:rsid w:val="004875CE"/>
    <w:rsid w:val="004875ED"/>
    <w:rsid w:val="00487632"/>
    <w:rsid w:val="00487719"/>
    <w:rsid w:val="004879C0"/>
    <w:rsid w:val="00487B53"/>
    <w:rsid w:val="00487B85"/>
    <w:rsid w:val="00487BC4"/>
    <w:rsid w:val="00487C24"/>
    <w:rsid w:val="00487C9A"/>
    <w:rsid w:val="00487DFA"/>
    <w:rsid w:val="00487E42"/>
    <w:rsid w:val="00487EEF"/>
    <w:rsid w:val="00487EF7"/>
    <w:rsid w:val="00487FCE"/>
    <w:rsid w:val="00490026"/>
    <w:rsid w:val="00490081"/>
    <w:rsid w:val="004900C9"/>
    <w:rsid w:val="00490142"/>
    <w:rsid w:val="004901BF"/>
    <w:rsid w:val="004902FC"/>
    <w:rsid w:val="0049033A"/>
    <w:rsid w:val="00490368"/>
    <w:rsid w:val="004903DA"/>
    <w:rsid w:val="00490450"/>
    <w:rsid w:val="00490530"/>
    <w:rsid w:val="0049059C"/>
    <w:rsid w:val="004905C2"/>
    <w:rsid w:val="00490631"/>
    <w:rsid w:val="004906C6"/>
    <w:rsid w:val="0049073E"/>
    <w:rsid w:val="00490782"/>
    <w:rsid w:val="0049087D"/>
    <w:rsid w:val="004909B3"/>
    <w:rsid w:val="00490A5E"/>
    <w:rsid w:val="00490A8D"/>
    <w:rsid w:val="00490B0B"/>
    <w:rsid w:val="00490B3E"/>
    <w:rsid w:val="00490C41"/>
    <w:rsid w:val="00490C68"/>
    <w:rsid w:val="00490CEA"/>
    <w:rsid w:val="00490DDC"/>
    <w:rsid w:val="00490DF0"/>
    <w:rsid w:val="00490DFB"/>
    <w:rsid w:val="00490E19"/>
    <w:rsid w:val="00490F0B"/>
    <w:rsid w:val="00490FA9"/>
    <w:rsid w:val="00491119"/>
    <w:rsid w:val="00491242"/>
    <w:rsid w:val="004912B5"/>
    <w:rsid w:val="00491336"/>
    <w:rsid w:val="00491397"/>
    <w:rsid w:val="004913AA"/>
    <w:rsid w:val="004913AB"/>
    <w:rsid w:val="004913B2"/>
    <w:rsid w:val="00491407"/>
    <w:rsid w:val="004914DA"/>
    <w:rsid w:val="00491544"/>
    <w:rsid w:val="00491564"/>
    <w:rsid w:val="004917F1"/>
    <w:rsid w:val="004917F6"/>
    <w:rsid w:val="00491870"/>
    <w:rsid w:val="00491903"/>
    <w:rsid w:val="0049190A"/>
    <w:rsid w:val="004919B7"/>
    <w:rsid w:val="00491A03"/>
    <w:rsid w:val="00491B29"/>
    <w:rsid w:val="00491CB4"/>
    <w:rsid w:val="00491D33"/>
    <w:rsid w:val="00491E89"/>
    <w:rsid w:val="00491FF9"/>
    <w:rsid w:val="00491FFE"/>
    <w:rsid w:val="004920B7"/>
    <w:rsid w:val="0049215B"/>
    <w:rsid w:val="00492261"/>
    <w:rsid w:val="004922E8"/>
    <w:rsid w:val="004923A2"/>
    <w:rsid w:val="004923CD"/>
    <w:rsid w:val="004923D4"/>
    <w:rsid w:val="004924B8"/>
    <w:rsid w:val="00492543"/>
    <w:rsid w:val="0049257C"/>
    <w:rsid w:val="0049270B"/>
    <w:rsid w:val="004927F2"/>
    <w:rsid w:val="00492957"/>
    <w:rsid w:val="004929AE"/>
    <w:rsid w:val="00492A5A"/>
    <w:rsid w:val="00492AD4"/>
    <w:rsid w:val="00492CC5"/>
    <w:rsid w:val="00492E22"/>
    <w:rsid w:val="00493099"/>
    <w:rsid w:val="00493203"/>
    <w:rsid w:val="004933DF"/>
    <w:rsid w:val="0049343D"/>
    <w:rsid w:val="004934B7"/>
    <w:rsid w:val="004934E5"/>
    <w:rsid w:val="00493525"/>
    <w:rsid w:val="0049359C"/>
    <w:rsid w:val="00493611"/>
    <w:rsid w:val="00493832"/>
    <w:rsid w:val="00493A3F"/>
    <w:rsid w:val="00493C46"/>
    <w:rsid w:val="00493CD6"/>
    <w:rsid w:val="00493D65"/>
    <w:rsid w:val="004940F0"/>
    <w:rsid w:val="00494114"/>
    <w:rsid w:val="00494299"/>
    <w:rsid w:val="004943A1"/>
    <w:rsid w:val="00494474"/>
    <w:rsid w:val="0049452D"/>
    <w:rsid w:val="0049464C"/>
    <w:rsid w:val="0049466F"/>
    <w:rsid w:val="0049468D"/>
    <w:rsid w:val="00494728"/>
    <w:rsid w:val="00494890"/>
    <w:rsid w:val="004948CD"/>
    <w:rsid w:val="004948EC"/>
    <w:rsid w:val="00494A19"/>
    <w:rsid w:val="00494B29"/>
    <w:rsid w:val="00494BCE"/>
    <w:rsid w:val="00494C79"/>
    <w:rsid w:val="00494CA0"/>
    <w:rsid w:val="00494D09"/>
    <w:rsid w:val="00494DBF"/>
    <w:rsid w:val="00494E2B"/>
    <w:rsid w:val="00494EF3"/>
    <w:rsid w:val="00494F9B"/>
    <w:rsid w:val="00494FB4"/>
    <w:rsid w:val="00495018"/>
    <w:rsid w:val="004950C0"/>
    <w:rsid w:val="00495129"/>
    <w:rsid w:val="0049525D"/>
    <w:rsid w:val="0049526A"/>
    <w:rsid w:val="0049526E"/>
    <w:rsid w:val="004952B7"/>
    <w:rsid w:val="00495434"/>
    <w:rsid w:val="004955E2"/>
    <w:rsid w:val="004956DD"/>
    <w:rsid w:val="00495793"/>
    <w:rsid w:val="0049579D"/>
    <w:rsid w:val="004957E3"/>
    <w:rsid w:val="004957FC"/>
    <w:rsid w:val="00495878"/>
    <w:rsid w:val="0049587C"/>
    <w:rsid w:val="00495905"/>
    <w:rsid w:val="00495A98"/>
    <w:rsid w:val="00495AA0"/>
    <w:rsid w:val="00495AF6"/>
    <w:rsid w:val="00495C61"/>
    <w:rsid w:val="00495D43"/>
    <w:rsid w:val="00495DAD"/>
    <w:rsid w:val="00495DB9"/>
    <w:rsid w:val="00495DD2"/>
    <w:rsid w:val="00496095"/>
    <w:rsid w:val="00496097"/>
    <w:rsid w:val="004960E4"/>
    <w:rsid w:val="004961DA"/>
    <w:rsid w:val="00496242"/>
    <w:rsid w:val="00496249"/>
    <w:rsid w:val="0049644B"/>
    <w:rsid w:val="004965A8"/>
    <w:rsid w:val="0049674F"/>
    <w:rsid w:val="004967D9"/>
    <w:rsid w:val="00496923"/>
    <w:rsid w:val="00496A97"/>
    <w:rsid w:val="00496A9D"/>
    <w:rsid w:val="00496AB9"/>
    <w:rsid w:val="00496C11"/>
    <w:rsid w:val="00496C17"/>
    <w:rsid w:val="00496CBC"/>
    <w:rsid w:val="00496D18"/>
    <w:rsid w:val="00496D3F"/>
    <w:rsid w:val="00496DC4"/>
    <w:rsid w:val="00496E41"/>
    <w:rsid w:val="00496F6F"/>
    <w:rsid w:val="00496FE2"/>
    <w:rsid w:val="00496FF5"/>
    <w:rsid w:val="004970D6"/>
    <w:rsid w:val="004970F0"/>
    <w:rsid w:val="004971CF"/>
    <w:rsid w:val="0049721C"/>
    <w:rsid w:val="004972A4"/>
    <w:rsid w:val="00497302"/>
    <w:rsid w:val="0049741B"/>
    <w:rsid w:val="0049759B"/>
    <w:rsid w:val="004976C0"/>
    <w:rsid w:val="00497709"/>
    <w:rsid w:val="0049780C"/>
    <w:rsid w:val="00497A8E"/>
    <w:rsid w:val="00497B2F"/>
    <w:rsid w:val="00497B3B"/>
    <w:rsid w:val="00497B48"/>
    <w:rsid w:val="00497B76"/>
    <w:rsid w:val="00497C89"/>
    <w:rsid w:val="00497C91"/>
    <w:rsid w:val="00497CF0"/>
    <w:rsid w:val="00497D62"/>
    <w:rsid w:val="00497DDC"/>
    <w:rsid w:val="00497DE7"/>
    <w:rsid w:val="00497E0F"/>
    <w:rsid w:val="00497E31"/>
    <w:rsid w:val="00497FE5"/>
    <w:rsid w:val="004A0043"/>
    <w:rsid w:val="004A0067"/>
    <w:rsid w:val="004A00DA"/>
    <w:rsid w:val="004A01F4"/>
    <w:rsid w:val="004A0260"/>
    <w:rsid w:val="004A02CF"/>
    <w:rsid w:val="004A02DC"/>
    <w:rsid w:val="004A0333"/>
    <w:rsid w:val="004A0553"/>
    <w:rsid w:val="004A05B9"/>
    <w:rsid w:val="004A05FC"/>
    <w:rsid w:val="004A07BE"/>
    <w:rsid w:val="004A095C"/>
    <w:rsid w:val="004A0A85"/>
    <w:rsid w:val="004A0C19"/>
    <w:rsid w:val="004A0D51"/>
    <w:rsid w:val="004A0D9A"/>
    <w:rsid w:val="004A0DC2"/>
    <w:rsid w:val="004A0F08"/>
    <w:rsid w:val="004A0F50"/>
    <w:rsid w:val="004A0FB4"/>
    <w:rsid w:val="004A0FBF"/>
    <w:rsid w:val="004A0FE0"/>
    <w:rsid w:val="004A119F"/>
    <w:rsid w:val="004A1266"/>
    <w:rsid w:val="004A135F"/>
    <w:rsid w:val="004A13E2"/>
    <w:rsid w:val="004A142E"/>
    <w:rsid w:val="004A16BF"/>
    <w:rsid w:val="004A1779"/>
    <w:rsid w:val="004A179A"/>
    <w:rsid w:val="004A1835"/>
    <w:rsid w:val="004A184C"/>
    <w:rsid w:val="004A188A"/>
    <w:rsid w:val="004A18E8"/>
    <w:rsid w:val="004A1979"/>
    <w:rsid w:val="004A199C"/>
    <w:rsid w:val="004A19AB"/>
    <w:rsid w:val="004A1A2E"/>
    <w:rsid w:val="004A1A93"/>
    <w:rsid w:val="004A1AD6"/>
    <w:rsid w:val="004A1B08"/>
    <w:rsid w:val="004A1B3C"/>
    <w:rsid w:val="004A1B6C"/>
    <w:rsid w:val="004A1BD3"/>
    <w:rsid w:val="004A1BE5"/>
    <w:rsid w:val="004A1C1B"/>
    <w:rsid w:val="004A1DBA"/>
    <w:rsid w:val="004A1E10"/>
    <w:rsid w:val="004A1F34"/>
    <w:rsid w:val="004A1F38"/>
    <w:rsid w:val="004A2049"/>
    <w:rsid w:val="004A20F4"/>
    <w:rsid w:val="004A2162"/>
    <w:rsid w:val="004A21BB"/>
    <w:rsid w:val="004A21EF"/>
    <w:rsid w:val="004A221A"/>
    <w:rsid w:val="004A226B"/>
    <w:rsid w:val="004A229B"/>
    <w:rsid w:val="004A22B5"/>
    <w:rsid w:val="004A233E"/>
    <w:rsid w:val="004A2654"/>
    <w:rsid w:val="004A27FB"/>
    <w:rsid w:val="004A2AA4"/>
    <w:rsid w:val="004A2B66"/>
    <w:rsid w:val="004A2B74"/>
    <w:rsid w:val="004A2C1C"/>
    <w:rsid w:val="004A2C9B"/>
    <w:rsid w:val="004A2D27"/>
    <w:rsid w:val="004A2EAA"/>
    <w:rsid w:val="004A2FC2"/>
    <w:rsid w:val="004A2FEA"/>
    <w:rsid w:val="004A3234"/>
    <w:rsid w:val="004A3264"/>
    <w:rsid w:val="004A375B"/>
    <w:rsid w:val="004A37E2"/>
    <w:rsid w:val="004A37ED"/>
    <w:rsid w:val="004A385B"/>
    <w:rsid w:val="004A38A5"/>
    <w:rsid w:val="004A39C0"/>
    <w:rsid w:val="004A3A1D"/>
    <w:rsid w:val="004A3BD8"/>
    <w:rsid w:val="004A3BDE"/>
    <w:rsid w:val="004A3C6C"/>
    <w:rsid w:val="004A3CC1"/>
    <w:rsid w:val="004A3D0D"/>
    <w:rsid w:val="004A3DC9"/>
    <w:rsid w:val="004A3FF1"/>
    <w:rsid w:val="004A4317"/>
    <w:rsid w:val="004A43B9"/>
    <w:rsid w:val="004A4511"/>
    <w:rsid w:val="004A4523"/>
    <w:rsid w:val="004A465F"/>
    <w:rsid w:val="004A467F"/>
    <w:rsid w:val="004A4760"/>
    <w:rsid w:val="004A488E"/>
    <w:rsid w:val="004A494D"/>
    <w:rsid w:val="004A49B0"/>
    <w:rsid w:val="004A4B89"/>
    <w:rsid w:val="004A4BD3"/>
    <w:rsid w:val="004A4C75"/>
    <w:rsid w:val="004A4CA1"/>
    <w:rsid w:val="004A5044"/>
    <w:rsid w:val="004A504B"/>
    <w:rsid w:val="004A506F"/>
    <w:rsid w:val="004A5166"/>
    <w:rsid w:val="004A5174"/>
    <w:rsid w:val="004A51C0"/>
    <w:rsid w:val="004A5212"/>
    <w:rsid w:val="004A5213"/>
    <w:rsid w:val="004A529C"/>
    <w:rsid w:val="004A53AF"/>
    <w:rsid w:val="004A53BB"/>
    <w:rsid w:val="004A53DC"/>
    <w:rsid w:val="004A54CE"/>
    <w:rsid w:val="004A565E"/>
    <w:rsid w:val="004A5768"/>
    <w:rsid w:val="004A5856"/>
    <w:rsid w:val="004A5871"/>
    <w:rsid w:val="004A5A1B"/>
    <w:rsid w:val="004A5AED"/>
    <w:rsid w:val="004A5C1E"/>
    <w:rsid w:val="004A5C20"/>
    <w:rsid w:val="004A5D36"/>
    <w:rsid w:val="004A5E79"/>
    <w:rsid w:val="004A5E98"/>
    <w:rsid w:val="004A6143"/>
    <w:rsid w:val="004A618D"/>
    <w:rsid w:val="004A6205"/>
    <w:rsid w:val="004A63E3"/>
    <w:rsid w:val="004A6453"/>
    <w:rsid w:val="004A6484"/>
    <w:rsid w:val="004A649D"/>
    <w:rsid w:val="004A64F0"/>
    <w:rsid w:val="004A6800"/>
    <w:rsid w:val="004A6969"/>
    <w:rsid w:val="004A6B4A"/>
    <w:rsid w:val="004A6C61"/>
    <w:rsid w:val="004A6C9C"/>
    <w:rsid w:val="004A6D82"/>
    <w:rsid w:val="004A6E7E"/>
    <w:rsid w:val="004A6FB1"/>
    <w:rsid w:val="004A7087"/>
    <w:rsid w:val="004A713E"/>
    <w:rsid w:val="004A7415"/>
    <w:rsid w:val="004A7447"/>
    <w:rsid w:val="004A75B4"/>
    <w:rsid w:val="004A77CC"/>
    <w:rsid w:val="004A780C"/>
    <w:rsid w:val="004A79CC"/>
    <w:rsid w:val="004A7AEC"/>
    <w:rsid w:val="004A7B29"/>
    <w:rsid w:val="004A7C8D"/>
    <w:rsid w:val="004A7CB3"/>
    <w:rsid w:val="004A7CB4"/>
    <w:rsid w:val="004A7D28"/>
    <w:rsid w:val="004A7F9A"/>
    <w:rsid w:val="004B0053"/>
    <w:rsid w:val="004B0127"/>
    <w:rsid w:val="004B0174"/>
    <w:rsid w:val="004B036A"/>
    <w:rsid w:val="004B03D1"/>
    <w:rsid w:val="004B06C4"/>
    <w:rsid w:val="004B084D"/>
    <w:rsid w:val="004B0931"/>
    <w:rsid w:val="004B0B67"/>
    <w:rsid w:val="004B0C91"/>
    <w:rsid w:val="004B0F4D"/>
    <w:rsid w:val="004B0F72"/>
    <w:rsid w:val="004B11AD"/>
    <w:rsid w:val="004B1275"/>
    <w:rsid w:val="004B1280"/>
    <w:rsid w:val="004B1409"/>
    <w:rsid w:val="004B1441"/>
    <w:rsid w:val="004B145D"/>
    <w:rsid w:val="004B1682"/>
    <w:rsid w:val="004B1746"/>
    <w:rsid w:val="004B17C2"/>
    <w:rsid w:val="004B1893"/>
    <w:rsid w:val="004B18E6"/>
    <w:rsid w:val="004B18ED"/>
    <w:rsid w:val="004B1923"/>
    <w:rsid w:val="004B1A43"/>
    <w:rsid w:val="004B1D9F"/>
    <w:rsid w:val="004B2095"/>
    <w:rsid w:val="004B209C"/>
    <w:rsid w:val="004B229C"/>
    <w:rsid w:val="004B22ED"/>
    <w:rsid w:val="004B2323"/>
    <w:rsid w:val="004B24B1"/>
    <w:rsid w:val="004B251C"/>
    <w:rsid w:val="004B2534"/>
    <w:rsid w:val="004B28BB"/>
    <w:rsid w:val="004B2959"/>
    <w:rsid w:val="004B29BB"/>
    <w:rsid w:val="004B2A38"/>
    <w:rsid w:val="004B2B4B"/>
    <w:rsid w:val="004B2BBA"/>
    <w:rsid w:val="004B2E73"/>
    <w:rsid w:val="004B2E97"/>
    <w:rsid w:val="004B2EFF"/>
    <w:rsid w:val="004B2F60"/>
    <w:rsid w:val="004B2F79"/>
    <w:rsid w:val="004B3117"/>
    <w:rsid w:val="004B32B7"/>
    <w:rsid w:val="004B3306"/>
    <w:rsid w:val="004B332A"/>
    <w:rsid w:val="004B3332"/>
    <w:rsid w:val="004B3357"/>
    <w:rsid w:val="004B34E7"/>
    <w:rsid w:val="004B35D4"/>
    <w:rsid w:val="004B3672"/>
    <w:rsid w:val="004B36BA"/>
    <w:rsid w:val="004B36DD"/>
    <w:rsid w:val="004B3732"/>
    <w:rsid w:val="004B37AE"/>
    <w:rsid w:val="004B38C0"/>
    <w:rsid w:val="004B38E7"/>
    <w:rsid w:val="004B3A97"/>
    <w:rsid w:val="004B3BE5"/>
    <w:rsid w:val="004B3C06"/>
    <w:rsid w:val="004B3C1A"/>
    <w:rsid w:val="004B3D8E"/>
    <w:rsid w:val="004B3DB8"/>
    <w:rsid w:val="004B3E4B"/>
    <w:rsid w:val="004B3F3C"/>
    <w:rsid w:val="004B3FFF"/>
    <w:rsid w:val="004B4023"/>
    <w:rsid w:val="004B41A1"/>
    <w:rsid w:val="004B435F"/>
    <w:rsid w:val="004B43BA"/>
    <w:rsid w:val="004B43C8"/>
    <w:rsid w:val="004B4539"/>
    <w:rsid w:val="004B45B8"/>
    <w:rsid w:val="004B45E9"/>
    <w:rsid w:val="004B461D"/>
    <w:rsid w:val="004B4793"/>
    <w:rsid w:val="004B47A5"/>
    <w:rsid w:val="004B47FE"/>
    <w:rsid w:val="004B488B"/>
    <w:rsid w:val="004B4931"/>
    <w:rsid w:val="004B4AD3"/>
    <w:rsid w:val="004B4CA9"/>
    <w:rsid w:val="004B4D18"/>
    <w:rsid w:val="004B4DE9"/>
    <w:rsid w:val="004B4F6A"/>
    <w:rsid w:val="004B517D"/>
    <w:rsid w:val="004B52DA"/>
    <w:rsid w:val="004B52E9"/>
    <w:rsid w:val="004B5464"/>
    <w:rsid w:val="004B5470"/>
    <w:rsid w:val="004B54D8"/>
    <w:rsid w:val="004B55FC"/>
    <w:rsid w:val="004B58AA"/>
    <w:rsid w:val="004B58C2"/>
    <w:rsid w:val="004B5929"/>
    <w:rsid w:val="004B5AA0"/>
    <w:rsid w:val="004B5B0A"/>
    <w:rsid w:val="004B5B5A"/>
    <w:rsid w:val="004B5C16"/>
    <w:rsid w:val="004B5CEA"/>
    <w:rsid w:val="004B5D9E"/>
    <w:rsid w:val="004B5EA6"/>
    <w:rsid w:val="004B5EED"/>
    <w:rsid w:val="004B5F6E"/>
    <w:rsid w:val="004B5FBB"/>
    <w:rsid w:val="004B6028"/>
    <w:rsid w:val="004B6100"/>
    <w:rsid w:val="004B6254"/>
    <w:rsid w:val="004B62FB"/>
    <w:rsid w:val="004B63C4"/>
    <w:rsid w:val="004B6432"/>
    <w:rsid w:val="004B648B"/>
    <w:rsid w:val="004B665D"/>
    <w:rsid w:val="004B66BE"/>
    <w:rsid w:val="004B673A"/>
    <w:rsid w:val="004B68A0"/>
    <w:rsid w:val="004B691A"/>
    <w:rsid w:val="004B6B8F"/>
    <w:rsid w:val="004B6B93"/>
    <w:rsid w:val="004B6C68"/>
    <w:rsid w:val="004B6CE2"/>
    <w:rsid w:val="004B6DB0"/>
    <w:rsid w:val="004B6E85"/>
    <w:rsid w:val="004B6EFC"/>
    <w:rsid w:val="004B7003"/>
    <w:rsid w:val="004B702A"/>
    <w:rsid w:val="004B7123"/>
    <w:rsid w:val="004B7169"/>
    <w:rsid w:val="004B71ED"/>
    <w:rsid w:val="004B7258"/>
    <w:rsid w:val="004B72F2"/>
    <w:rsid w:val="004B7409"/>
    <w:rsid w:val="004B75FB"/>
    <w:rsid w:val="004B76FA"/>
    <w:rsid w:val="004B7764"/>
    <w:rsid w:val="004B77C6"/>
    <w:rsid w:val="004B7844"/>
    <w:rsid w:val="004B7878"/>
    <w:rsid w:val="004B7992"/>
    <w:rsid w:val="004B79EB"/>
    <w:rsid w:val="004B7AC2"/>
    <w:rsid w:val="004B7D39"/>
    <w:rsid w:val="004B7E86"/>
    <w:rsid w:val="004B7F85"/>
    <w:rsid w:val="004B7FA1"/>
    <w:rsid w:val="004C01AA"/>
    <w:rsid w:val="004C02D3"/>
    <w:rsid w:val="004C0578"/>
    <w:rsid w:val="004C061D"/>
    <w:rsid w:val="004C0744"/>
    <w:rsid w:val="004C076E"/>
    <w:rsid w:val="004C0904"/>
    <w:rsid w:val="004C0920"/>
    <w:rsid w:val="004C09E8"/>
    <w:rsid w:val="004C0A54"/>
    <w:rsid w:val="004C0B30"/>
    <w:rsid w:val="004C0B7A"/>
    <w:rsid w:val="004C0BFA"/>
    <w:rsid w:val="004C0C42"/>
    <w:rsid w:val="004C0DD0"/>
    <w:rsid w:val="004C0DF2"/>
    <w:rsid w:val="004C0E74"/>
    <w:rsid w:val="004C116E"/>
    <w:rsid w:val="004C11D3"/>
    <w:rsid w:val="004C13F1"/>
    <w:rsid w:val="004C14B5"/>
    <w:rsid w:val="004C1580"/>
    <w:rsid w:val="004C169A"/>
    <w:rsid w:val="004C16DC"/>
    <w:rsid w:val="004C17B0"/>
    <w:rsid w:val="004C17F9"/>
    <w:rsid w:val="004C186C"/>
    <w:rsid w:val="004C1874"/>
    <w:rsid w:val="004C19AB"/>
    <w:rsid w:val="004C1A6C"/>
    <w:rsid w:val="004C1ADA"/>
    <w:rsid w:val="004C1AF8"/>
    <w:rsid w:val="004C1B18"/>
    <w:rsid w:val="004C1C70"/>
    <w:rsid w:val="004C1CC0"/>
    <w:rsid w:val="004C1DE7"/>
    <w:rsid w:val="004C1E7A"/>
    <w:rsid w:val="004C2007"/>
    <w:rsid w:val="004C2091"/>
    <w:rsid w:val="004C20C3"/>
    <w:rsid w:val="004C21B6"/>
    <w:rsid w:val="004C22F3"/>
    <w:rsid w:val="004C254C"/>
    <w:rsid w:val="004C26FB"/>
    <w:rsid w:val="004C272D"/>
    <w:rsid w:val="004C275E"/>
    <w:rsid w:val="004C2896"/>
    <w:rsid w:val="004C28CF"/>
    <w:rsid w:val="004C2929"/>
    <w:rsid w:val="004C29F0"/>
    <w:rsid w:val="004C2A67"/>
    <w:rsid w:val="004C2AAE"/>
    <w:rsid w:val="004C2ADC"/>
    <w:rsid w:val="004C2B06"/>
    <w:rsid w:val="004C2B57"/>
    <w:rsid w:val="004C2B68"/>
    <w:rsid w:val="004C2D03"/>
    <w:rsid w:val="004C2D11"/>
    <w:rsid w:val="004C2E80"/>
    <w:rsid w:val="004C2FC1"/>
    <w:rsid w:val="004C331B"/>
    <w:rsid w:val="004C3462"/>
    <w:rsid w:val="004C3526"/>
    <w:rsid w:val="004C355A"/>
    <w:rsid w:val="004C35E9"/>
    <w:rsid w:val="004C3619"/>
    <w:rsid w:val="004C3787"/>
    <w:rsid w:val="004C388D"/>
    <w:rsid w:val="004C3972"/>
    <w:rsid w:val="004C3A3B"/>
    <w:rsid w:val="004C3A8A"/>
    <w:rsid w:val="004C3ADF"/>
    <w:rsid w:val="004C3B01"/>
    <w:rsid w:val="004C3CB1"/>
    <w:rsid w:val="004C3D4B"/>
    <w:rsid w:val="004C3EC1"/>
    <w:rsid w:val="004C3F79"/>
    <w:rsid w:val="004C419A"/>
    <w:rsid w:val="004C4332"/>
    <w:rsid w:val="004C43A0"/>
    <w:rsid w:val="004C4547"/>
    <w:rsid w:val="004C4A32"/>
    <w:rsid w:val="004C4A64"/>
    <w:rsid w:val="004C4CBB"/>
    <w:rsid w:val="004C4CF5"/>
    <w:rsid w:val="004C4D5F"/>
    <w:rsid w:val="004C4E14"/>
    <w:rsid w:val="004C4EE7"/>
    <w:rsid w:val="004C4F82"/>
    <w:rsid w:val="004C4FC6"/>
    <w:rsid w:val="004C4FE2"/>
    <w:rsid w:val="004C505B"/>
    <w:rsid w:val="004C513E"/>
    <w:rsid w:val="004C51D7"/>
    <w:rsid w:val="004C52D9"/>
    <w:rsid w:val="004C5365"/>
    <w:rsid w:val="004C53C1"/>
    <w:rsid w:val="004C5461"/>
    <w:rsid w:val="004C5530"/>
    <w:rsid w:val="004C5571"/>
    <w:rsid w:val="004C5573"/>
    <w:rsid w:val="004C567B"/>
    <w:rsid w:val="004C5823"/>
    <w:rsid w:val="004C582E"/>
    <w:rsid w:val="004C5878"/>
    <w:rsid w:val="004C58C6"/>
    <w:rsid w:val="004C595A"/>
    <w:rsid w:val="004C598E"/>
    <w:rsid w:val="004C59A8"/>
    <w:rsid w:val="004C59E4"/>
    <w:rsid w:val="004C5A0B"/>
    <w:rsid w:val="004C5A1D"/>
    <w:rsid w:val="004C5A33"/>
    <w:rsid w:val="004C5AC9"/>
    <w:rsid w:val="004C5AD3"/>
    <w:rsid w:val="004C5BEB"/>
    <w:rsid w:val="004C5BF2"/>
    <w:rsid w:val="004C5BF8"/>
    <w:rsid w:val="004C5E4F"/>
    <w:rsid w:val="004C5FF5"/>
    <w:rsid w:val="004C61A8"/>
    <w:rsid w:val="004C61CA"/>
    <w:rsid w:val="004C6369"/>
    <w:rsid w:val="004C64CF"/>
    <w:rsid w:val="004C6506"/>
    <w:rsid w:val="004C6530"/>
    <w:rsid w:val="004C6542"/>
    <w:rsid w:val="004C661D"/>
    <w:rsid w:val="004C6626"/>
    <w:rsid w:val="004C6662"/>
    <w:rsid w:val="004C66F5"/>
    <w:rsid w:val="004C6865"/>
    <w:rsid w:val="004C68CC"/>
    <w:rsid w:val="004C6B11"/>
    <w:rsid w:val="004C6BEC"/>
    <w:rsid w:val="004C6DCD"/>
    <w:rsid w:val="004C6E94"/>
    <w:rsid w:val="004C6EE0"/>
    <w:rsid w:val="004C7034"/>
    <w:rsid w:val="004C7061"/>
    <w:rsid w:val="004C708E"/>
    <w:rsid w:val="004C7269"/>
    <w:rsid w:val="004C72B7"/>
    <w:rsid w:val="004C72F9"/>
    <w:rsid w:val="004C74C9"/>
    <w:rsid w:val="004C75B0"/>
    <w:rsid w:val="004C772D"/>
    <w:rsid w:val="004C784C"/>
    <w:rsid w:val="004C7915"/>
    <w:rsid w:val="004C7941"/>
    <w:rsid w:val="004C7A3C"/>
    <w:rsid w:val="004C7AD8"/>
    <w:rsid w:val="004C7C95"/>
    <w:rsid w:val="004C7CEF"/>
    <w:rsid w:val="004C7E0E"/>
    <w:rsid w:val="004C7F2E"/>
    <w:rsid w:val="004C7F42"/>
    <w:rsid w:val="004C7F48"/>
    <w:rsid w:val="004C7F87"/>
    <w:rsid w:val="004C7F96"/>
    <w:rsid w:val="004C7FAA"/>
    <w:rsid w:val="004D0039"/>
    <w:rsid w:val="004D0116"/>
    <w:rsid w:val="004D0204"/>
    <w:rsid w:val="004D0255"/>
    <w:rsid w:val="004D03DA"/>
    <w:rsid w:val="004D0406"/>
    <w:rsid w:val="004D04D9"/>
    <w:rsid w:val="004D04FD"/>
    <w:rsid w:val="004D05FE"/>
    <w:rsid w:val="004D0618"/>
    <w:rsid w:val="004D0656"/>
    <w:rsid w:val="004D07B4"/>
    <w:rsid w:val="004D07EC"/>
    <w:rsid w:val="004D0868"/>
    <w:rsid w:val="004D086E"/>
    <w:rsid w:val="004D0A41"/>
    <w:rsid w:val="004D0C35"/>
    <w:rsid w:val="004D0D16"/>
    <w:rsid w:val="004D0D4C"/>
    <w:rsid w:val="004D0ECE"/>
    <w:rsid w:val="004D109B"/>
    <w:rsid w:val="004D113A"/>
    <w:rsid w:val="004D1225"/>
    <w:rsid w:val="004D1251"/>
    <w:rsid w:val="004D1277"/>
    <w:rsid w:val="004D12CA"/>
    <w:rsid w:val="004D1321"/>
    <w:rsid w:val="004D1372"/>
    <w:rsid w:val="004D137C"/>
    <w:rsid w:val="004D1528"/>
    <w:rsid w:val="004D15E3"/>
    <w:rsid w:val="004D1948"/>
    <w:rsid w:val="004D1994"/>
    <w:rsid w:val="004D19F1"/>
    <w:rsid w:val="004D1C10"/>
    <w:rsid w:val="004D1CD5"/>
    <w:rsid w:val="004D1E37"/>
    <w:rsid w:val="004D1F51"/>
    <w:rsid w:val="004D22B7"/>
    <w:rsid w:val="004D23C0"/>
    <w:rsid w:val="004D24BF"/>
    <w:rsid w:val="004D255E"/>
    <w:rsid w:val="004D2571"/>
    <w:rsid w:val="004D2648"/>
    <w:rsid w:val="004D2711"/>
    <w:rsid w:val="004D274A"/>
    <w:rsid w:val="004D2860"/>
    <w:rsid w:val="004D28D6"/>
    <w:rsid w:val="004D2A49"/>
    <w:rsid w:val="004D2A4C"/>
    <w:rsid w:val="004D2ACC"/>
    <w:rsid w:val="004D2BEF"/>
    <w:rsid w:val="004D2C5F"/>
    <w:rsid w:val="004D2D4A"/>
    <w:rsid w:val="004D2D8A"/>
    <w:rsid w:val="004D2EC6"/>
    <w:rsid w:val="004D2FC0"/>
    <w:rsid w:val="004D3084"/>
    <w:rsid w:val="004D3189"/>
    <w:rsid w:val="004D31D7"/>
    <w:rsid w:val="004D3270"/>
    <w:rsid w:val="004D327D"/>
    <w:rsid w:val="004D3303"/>
    <w:rsid w:val="004D3334"/>
    <w:rsid w:val="004D336A"/>
    <w:rsid w:val="004D34BB"/>
    <w:rsid w:val="004D3560"/>
    <w:rsid w:val="004D35B8"/>
    <w:rsid w:val="004D365C"/>
    <w:rsid w:val="004D365E"/>
    <w:rsid w:val="004D3771"/>
    <w:rsid w:val="004D37BA"/>
    <w:rsid w:val="004D37CA"/>
    <w:rsid w:val="004D37D6"/>
    <w:rsid w:val="004D385E"/>
    <w:rsid w:val="004D38F6"/>
    <w:rsid w:val="004D39FC"/>
    <w:rsid w:val="004D3B4D"/>
    <w:rsid w:val="004D3BAD"/>
    <w:rsid w:val="004D3BFF"/>
    <w:rsid w:val="004D3CCB"/>
    <w:rsid w:val="004D3D2D"/>
    <w:rsid w:val="004D3E92"/>
    <w:rsid w:val="004D3F41"/>
    <w:rsid w:val="004D3F42"/>
    <w:rsid w:val="004D4044"/>
    <w:rsid w:val="004D40C3"/>
    <w:rsid w:val="004D412B"/>
    <w:rsid w:val="004D4228"/>
    <w:rsid w:val="004D4238"/>
    <w:rsid w:val="004D42C6"/>
    <w:rsid w:val="004D4348"/>
    <w:rsid w:val="004D44AC"/>
    <w:rsid w:val="004D45F2"/>
    <w:rsid w:val="004D460E"/>
    <w:rsid w:val="004D4A42"/>
    <w:rsid w:val="004D4B17"/>
    <w:rsid w:val="004D4C27"/>
    <w:rsid w:val="004D4CCD"/>
    <w:rsid w:val="004D4E1F"/>
    <w:rsid w:val="004D4E20"/>
    <w:rsid w:val="004D4E9B"/>
    <w:rsid w:val="004D4F55"/>
    <w:rsid w:val="004D4F66"/>
    <w:rsid w:val="004D50A4"/>
    <w:rsid w:val="004D52EB"/>
    <w:rsid w:val="004D5316"/>
    <w:rsid w:val="004D539C"/>
    <w:rsid w:val="004D5438"/>
    <w:rsid w:val="004D54A7"/>
    <w:rsid w:val="004D54C1"/>
    <w:rsid w:val="004D54F7"/>
    <w:rsid w:val="004D5729"/>
    <w:rsid w:val="004D574D"/>
    <w:rsid w:val="004D587E"/>
    <w:rsid w:val="004D5943"/>
    <w:rsid w:val="004D59D8"/>
    <w:rsid w:val="004D5A8A"/>
    <w:rsid w:val="004D5B5A"/>
    <w:rsid w:val="004D5C75"/>
    <w:rsid w:val="004D5C8A"/>
    <w:rsid w:val="004D5C9B"/>
    <w:rsid w:val="004D5CB7"/>
    <w:rsid w:val="004D5D27"/>
    <w:rsid w:val="004D5DED"/>
    <w:rsid w:val="004D5E94"/>
    <w:rsid w:val="004D60BF"/>
    <w:rsid w:val="004D60D4"/>
    <w:rsid w:val="004D6245"/>
    <w:rsid w:val="004D62E3"/>
    <w:rsid w:val="004D635B"/>
    <w:rsid w:val="004D639C"/>
    <w:rsid w:val="004D63D0"/>
    <w:rsid w:val="004D63D4"/>
    <w:rsid w:val="004D6511"/>
    <w:rsid w:val="004D6515"/>
    <w:rsid w:val="004D66A0"/>
    <w:rsid w:val="004D68D9"/>
    <w:rsid w:val="004D69B1"/>
    <w:rsid w:val="004D6A94"/>
    <w:rsid w:val="004D6B26"/>
    <w:rsid w:val="004D6B89"/>
    <w:rsid w:val="004D6C12"/>
    <w:rsid w:val="004D6C1B"/>
    <w:rsid w:val="004D6C51"/>
    <w:rsid w:val="004D6D8F"/>
    <w:rsid w:val="004D6DB4"/>
    <w:rsid w:val="004D6EAC"/>
    <w:rsid w:val="004D70E2"/>
    <w:rsid w:val="004D7182"/>
    <w:rsid w:val="004D718D"/>
    <w:rsid w:val="004D71BB"/>
    <w:rsid w:val="004D71F1"/>
    <w:rsid w:val="004D7244"/>
    <w:rsid w:val="004D72DF"/>
    <w:rsid w:val="004D73E3"/>
    <w:rsid w:val="004D7406"/>
    <w:rsid w:val="004D7415"/>
    <w:rsid w:val="004D76E4"/>
    <w:rsid w:val="004D77F0"/>
    <w:rsid w:val="004D78E6"/>
    <w:rsid w:val="004D7924"/>
    <w:rsid w:val="004D7974"/>
    <w:rsid w:val="004D7AB5"/>
    <w:rsid w:val="004D7BAC"/>
    <w:rsid w:val="004D7C14"/>
    <w:rsid w:val="004D7C96"/>
    <w:rsid w:val="004D7CCD"/>
    <w:rsid w:val="004D7D27"/>
    <w:rsid w:val="004D7DA1"/>
    <w:rsid w:val="004D7DA5"/>
    <w:rsid w:val="004D7F14"/>
    <w:rsid w:val="004D7F30"/>
    <w:rsid w:val="004E0019"/>
    <w:rsid w:val="004E0028"/>
    <w:rsid w:val="004E00BB"/>
    <w:rsid w:val="004E0120"/>
    <w:rsid w:val="004E0175"/>
    <w:rsid w:val="004E018D"/>
    <w:rsid w:val="004E01DD"/>
    <w:rsid w:val="004E03CD"/>
    <w:rsid w:val="004E03DC"/>
    <w:rsid w:val="004E03F5"/>
    <w:rsid w:val="004E03FD"/>
    <w:rsid w:val="004E04F6"/>
    <w:rsid w:val="004E05ED"/>
    <w:rsid w:val="004E061A"/>
    <w:rsid w:val="004E07C9"/>
    <w:rsid w:val="004E0807"/>
    <w:rsid w:val="004E080B"/>
    <w:rsid w:val="004E085A"/>
    <w:rsid w:val="004E087C"/>
    <w:rsid w:val="004E0979"/>
    <w:rsid w:val="004E0A62"/>
    <w:rsid w:val="004E0A67"/>
    <w:rsid w:val="004E0C2C"/>
    <w:rsid w:val="004E0F4C"/>
    <w:rsid w:val="004E100D"/>
    <w:rsid w:val="004E11FD"/>
    <w:rsid w:val="004E1292"/>
    <w:rsid w:val="004E12E7"/>
    <w:rsid w:val="004E158C"/>
    <w:rsid w:val="004E15F2"/>
    <w:rsid w:val="004E1759"/>
    <w:rsid w:val="004E17D5"/>
    <w:rsid w:val="004E19C8"/>
    <w:rsid w:val="004E1A25"/>
    <w:rsid w:val="004E1A3B"/>
    <w:rsid w:val="004E1A55"/>
    <w:rsid w:val="004E1B42"/>
    <w:rsid w:val="004E1B82"/>
    <w:rsid w:val="004E1C2E"/>
    <w:rsid w:val="004E1C4E"/>
    <w:rsid w:val="004E1EBF"/>
    <w:rsid w:val="004E201E"/>
    <w:rsid w:val="004E2068"/>
    <w:rsid w:val="004E2094"/>
    <w:rsid w:val="004E20FA"/>
    <w:rsid w:val="004E2117"/>
    <w:rsid w:val="004E21B3"/>
    <w:rsid w:val="004E2313"/>
    <w:rsid w:val="004E2396"/>
    <w:rsid w:val="004E240C"/>
    <w:rsid w:val="004E244D"/>
    <w:rsid w:val="004E24AF"/>
    <w:rsid w:val="004E2541"/>
    <w:rsid w:val="004E2584"/>
    <w:rsid w:val="004E26E1"/>
    <w:rsid w:val="004E2827"/>
    <w:rsid w:val="004E285C"/>
    <w:rsid w:val="004E28CB"/>
    <w:rsid w:val="004E2C35"/>
    <w:rsid w:val="004E2D51"/>
    <w:rsid w:val="004E2DCE"/>
    <w:rsid w:val="004E3007"/>
    <w:rsid w:val="004E3014"/>
    <w:rsid w:val="004E307A"/>
    <w:rsid w:val="004E31F7"/>
    <w:rsid w:val="004E3204"/>
    <w:rsid w:val="004E3303"/>
    <w:rsid w:val="004E34E8"/>
    <w:rsid w:val="004E3595"/>
    <w:rsid w:val="004E364A"/>
    <w:rsid w:val="004E36AE"/>
    <w:rsid w:val="004E3731"/>
    <w:rsid w:val="004E388D"/>
    <w:rsid w:val="004E389E"/>
    <w:rsid w:val="004E3922"/>
    <w:rsid w:val="004E3B03"/>
    <w:rsid w:val="004E3B94"/>
    <w:rsid w:val="004E3C02"/>
    <w:rsid w:val="004E3C8F"/>
    <w:rsid w:val="004E3CDC"/>
    <w:rsid w:val="004E3D14"/>
    <w:rsid w:val="004E3D7B"/>
    <w:rsid w:val="004E3E86"/>
    <w:rsid w:val="004E3EFF"/>
    <w:rsid w:val="004E3F59"/>
    <w:rsid w:val="004E3FF0"/>
    <w:rsid w:val="004E4011"/>
    <w:rsid w:val="004E40DB"/>
    <w:rsid w:val="004E41F3"/>
    <w:rsid w:val="004E428D"/>
    <w:rsid w:val="004E42D8"/>
    <w:rsid w:val="004E439F"/>
    <w:rsid w:val="004E4440"/>
    <w:rsid w:val="004E4447"/>
    <w:rsid w:val="004E4553"/>
    <w:rsid w:val="004E4561"/>
    <w:rsid w:val="004E464C"/>
    <w:rsid w:val="004E4674"/>
    <w:rsid w:val="004E46C8"/>
    <w:rsid w:val="004E4759"/>
    <w:rsid w:val="004E47FD"/>
    <w:rsid w:val="004E4840"/>
    <w:rsid w:val="004E48BD"/>
    <w:rsid w:val="004E48CD"/>
    <w:rsid w:val="004E49D2"/>
    <w:rsid w:val="004E4DC1"/>
    <w:rsid w:val="004E4E48"/>
    <w:rsid w:val="004E4ED6"/>
    <w:rsid w:val="004E4F28"/>
    <w:rsid w:val="004E4F59"/>
    <w:rsid w:val="004E503B"/>
    <w:rsid w:val="004E51E7"/>
    <w:rsid w:val="004E5205"/>
    <w:rsid w:val="004E5208"/>
    <w:rsid w:val="004E5253"/>
    <w:rsid w:val="004E54D0"/>
    <w:rsid w:val="004E5508"/>
    <w:rsid w:val="004E56A2"/>
    <w:rsid w:val="004E56F8"/>
    <w:rsid w:val="004E5944"/>
    <w:rsid w:val="004E5946"/>
    <w:rsid w:val="004E5A80"/>
    <w:rsid w:val="004E5A83"/>
    <w:rsid w:val="004E5C53"/>
    <w:rsid w:val="004E5D59"/>
    <w:rsid w:val="004E5DCB"/>
    <w:rsid w:val="004E5F29"/>
    <w:rsid w:val="004E5F36"/>
    <w:rsid w:val="004E5F80"/>
    <w:rsid w:val="004E5FCA"/>
    <w:rsid w:val="004E6079"/>
    <w:rsid w:val="004E6160"/>
    <w:rsid w:val="004E6200"/>
    <w:rsid w:val="004E6680"/>
    <w:rsid w:val="004E66C8"/>
    <w:rsid w:val="004E67B8"/>
    <w:rsid w:val="004E67F6"/>
    <w:rsid w:val="004E685B"/>
    <w:rsid w:val="004E68FB"/>
    <w:rsid w:val="004E69A5"/>
    <w:rsid w:val="004E69E8"/>
    <w:rsid w:val="004E6A5C"/>
    <w:rsid w:val="004E6AC0"/>
    <w:rsid w:val="004E6D62"/>
    <w:rsid w:val="004E6ED4"/>
    <w:rsid w:val="004E6F5D"/>
    <w:rsid w:val="004E6F77"/>
    <w:rsid w:val="004E700B"/>
    <w:rsid w:val="004E7168"/>
    <w:rsid w:val="004E71DE"/>
    <w:rsid w:val="004E7212"/>
    <w:rsid w:val="004E7229"/>
    <w:rsid w:val="004E7250"/>
    <w:rsid w:val="004E72DE"/>
    <w:rsid w:val="004E739B"/>
    <w:rsid w:val="004E73CA"/>
    <w:rsid w:val="004E73D8"/>
    <w:rsid w:val="004E73F0"/>
    <w:rsid w:val="004E74D3"/>
    <w:rsid w:val="004E75E4"/>
    <w:rsid w:val="004E75FD"/>
    <w:rsid w:val="004E7699"/>
    <w:rsid w:val="004E76D3"/>
    <w:rsid w:val="004E7800"/>
    <w:rsid w:val="004E780F"/>
    <w:rsid w:val="004E7814"/>
    <w:rsid w:val="004E7871"/>
    <w:rsid w:val="004E7C25"/>
    <w:rsid w:val="004E7C92"/>
    <w:rsid w:val="004E7FC8"/>
    <w:rsid w:val="004F002D"/>
    <w:rsid w:val="004F00C4"/>
    <w:rsid w:val="004F01A1"/>
    <w:rsid w:val="004F0200"/>
    <w:rsid w:val="004F0262"/>
    <w:rsid w:val="004F0402"/>
    <w:rsid w:val="004F0433"/>
    <w:rsid w:val="004F044C"/>
    <w:rsid w:val="004F04B2"/>
    <w:rsid w:val="004F04CD"/>
    <w:rsid w:val="004F04FD"/>
    <w:rsid w:val="004F057A"/>
    <w:rsid w:val="004F057C"/>
    <w:rsid w:val="004F0765"/>
    <w:rsid w:val="004F079E"/>
    <w:rsid w:val="004F0829"/>
    <w:rsid w:val="004F082B"/>
    <w:rsid w:val="004F09B8"/>
    <w:rsid w:val="004F09D6"/>
    <w:rsid w:val="004F0A1A"/>
    <w:rsid w:val="004F0C73"/>
    <w:rsid w:val="004F0C8C"/>
    <w:rsid w:val="004F0CD6"/>
    <w:rsid w:val="004F0D0B"/>
    <w:rsid w:val="004F0EAA"/>
    <w:rsid w:val="004F0EFD"/>
    <w:rsid w:val="004F0F19"/>
    <w:rsid w:val="004F102E"/>
    <w:rsid w:val="004F10C3"/>
    <w:rsid w:val="004F11C5"/>
    <w:rsid w:val="004F11D3"/>
    <w:rsid w:val="004F1321"/>
    <w:rsid w:val="004F139B"/>
    <w:rsid w:val="004F147F"/>
    <w:rsid w:val="004F14FB"/>
    <w:rsid w:val="004F1547"/>
    <w:rsid w:val="004F15AC"/>
    <w:rsid w:val="004F1693"/>
    <w:rsid w:val="004F16AD"/>
    <w:rsid w:val="004F16E7"/>
    <w:rsid w:val="004F1747"/>
    <w:rsid w:val="004F183E"/>
    <w:rsid w:val="004F1904"/>
    <w:rsid w:val="004F1978"/>
    <w:rsid w:val="004F19FB"/>
    <w:rsid w:val="004F1B2D"/>
    <w:rsid w:val="004F1BC9"/>
    <w:rsid w:val="004F1C5C"/>
    <w:rsid w:val="004F1CF1"/>
    <w:rsid w:val="004F1DA1"/>
    <w:rsid w:val="004F1EA3"/>
    <w:rsid w:val="004F20B7"/>
    <w:rsid w:val="004F247A"/>
    <w:rsid w:val="004F251E"/>
    <w:rsid w:val="004F2595"/>
    <w:rsid w:val="004F25A7"/>
    <w:rsid w:val="004F260F"/>
    <w:rsid w:val="004F2666"/>
    <w:rsid w:val="004F26D5"/>
    <w:rsid w:val="004F278A"/>
    <w:rsid w:val="004F28DE"/>
    <w:rsid w:val="004F2937"/>
    <w:rsid w:val="004F2A6D"/>
    <w:rsid w:val="004F2B25"/>
    <w:rsid w:val="004F2BA9"/>
    <w:rsid w:val="004F2C96"/>
    <w:rsid w:val="004F2D12"/>
    <w:rsid w:val="004F2E6B"/>
    <w:rsid w:val="004F2E6D"/>
    <w:rsid w:val="004F2EBD"/>
    <w:rsid w:val="004F2F59"/>
    <w:rsid w:val="004F2F88"/>
    <w:rsid w:val="004F2FFA"/>
    <w:rsid w:val="004F305F"/>
    <w:rsid w:val="004F3066"/>
    <w:rsid w:val="004F3131"/>
    <w:rsid w:val="004F31AD"/>
    <w:rsid w:val="004F31BE"/>
    <w:rsid w:val="004F31EC"/>
    <w:rsid w:val="004F33F9"/>
    <w:rsid w:val="004F3489"/>
    <w:rsid w:val="004F34E0"/>
    <w:rsid w:val="004F34EA"/>
    <w:rsid w:val="004F3504"/>
    <w:rsid w:val="004F3583"/>
    <w:rsid w:val="004F3912"/>
    <w:rsid w:val="004F3970"/>
    <w:rsid w:val="004F3A57"/>
    <w:rsid w:val="004F3CF5"/>
    <w:rsid w:val="004F3D79"/>
    <w:rsid w:val="004F3E64"/>
    <w:rsid w:val="004F3EC2"/>
    <w:rsid w:val="004F3F2C"/>
    <w:rsid w:val="004F4007"/>
    <w:rsid w:val="004F4058"/>
    <w:rsid w:val="004F405E"/>
    <w:rsid w:val="004F4154"/>
    <w:rsid w:val="004F417B"/>
    <w:rsid w:val="004F4329"/>
    <w:rsid w:val="004F436B"/>
    <w:rsid w:val="004F43B6"/>
    <w:rsid w:val="004F43DE"/>
    <w:rsid w:val="004F443D"/>
    <w:rsid w:val="004F4455"/>
    <w:rsid w:val="004F44B5"/>
    <w:rsid w:val="004F44FE"/>
    <w:rsid w:val="004F4600"/>
    <w:rsid w:val="004F4647"/>
    <w:rsid w:val="004F472D"/>
    <w:rsid w:val="004F47CE"/>
    <w:rsid w:val="004F4804"/>
    <w:rsid w:val="004F4831"/>
    <w:rsid w:val="004F484B"/>
    <w:rsid w:val="004F489F"/>
    <w:rsid w:val="004F49B9"/>
    <w:rsid w:val="004F4B11"/>
    <w:rsid w:val="004F4B5A"/>
    <w:rsid w:val="004F4BB4"/>
    <w:rsid w:val="004F4CB0"/>
    <w:rsid w:val="004F4CDE"/>
    <w:rsid w:val="004F4D54"/>
    <w:rsid w:val="004F4E0B"/>
    <w:rsid w:val="004F4E82"/>
    <w:rsid w:val="004F5023"/>
    <w:rsid w:val="004F51E8"/>
    <w:rsid w:val="004F52D9"/>
    <w:rsid w:val="004F532B"/>
    <w:rsid w:val="004F54D9"/>
    <w:rsid w:val="004F5510"/>
    <w:rsid w:val="004F55A7"/>
    <w:rsid w:val="004F55C0"/>
    <w:rsid w:val="004F5607"/>
    <w:rsid w:val="004F5705"/>
    <w:rsid w:val="004F571D"/>
    <w:rsid w:val="004F57DE"/>
    <w:rsid w:val="004F580C"/>
    <w:rsid w:val="004F58DB"/>
    <w:rsid w:val="004F59A3"/>
    <w:rsid w:val="004F5AA2"/>
    <w:rsid w:val="004F5C7A"/>
    <w:rsid w:val="004F5CA9"/>
    <w:rsid w:val="004F5E1A"/>
    <w:rsid w:val="004F5EC7"/>
    <w:rsid w:val="004F5F2B"/>
    <w:rsid w:val="004F5FB2"/>
    <w:rsid w:val="004F5FCD"/>
    <w:rsid w:val="004F603C"/>
    <w:rsid w:val="004F6425"/>
    <w:rsid w:val="004F6453"/>
    <w:rsid w:val="004F6565"/>
    <w:rsid w:val="004F6776"/>
    <w:rsid w:val="004F677A"/>
    <w:rsid w:val="004F67D7"/>
    <w:rsid w:val="004F683A"/>
    <w:rsid w:val="004F68BA"/>
    <w:rsid w:val="004F68C1"/>
    <w:rsid w:val="004F6921"/>
    <w:rsid w:val="004F6933"/>
    <w:rsid w:val="004F6A0A"/>
    <w:rsid w:val="004F6B14"/>
    <w:rsid w:val="004F6B41"/>
    <w:rsid w:val="004F6B76"/>
    <w:rsid w:val="004F6BB9"/>
    <w:rsid w:val="004F6C72"/>
    <w:rsid w:val="004F6E4F"/>
    <w:rsid w:val="004F6EEB"/>
    <w:rsid w:val="004F70B9"/>
    <w:rsid w:val="004F72B9"/>
    <w:rsid w:val="004F73ED"/>
    <w:rsid w:val="004F747F"/>
    <w:rsid w:val="004F7491"/>
    <w:rsid w:val="004F74EE"/>
    <w:rsid w:val="004F7587"/>
    <w:rsid w:val="004F75A1"/>
    <w:rsid w:val="004F766F"/>
    <w:rsid w:val="004F76A0"/>
    <w:rsid w:val="004F7754"/>
    <w:rsid w:val="004F77B2"/>
    <w:rsid w:val="004F78C9"/>
    <w:rsid w:val="004F796C"/>
    <w:rsid w:val="004F796D"/>
    <w:rsid w:val="004F79B2"/>
    <w:rsid w:val="004F7BA9"/>
    <w:rsid w:val="004F7BEB"/>
    <w:rsid w:val="004F7D42"/>
    <w:rsid w:val="004F7DD6"/>
    <w:rsid w:val="004F7E2C"/>
    <w:rsid w:val="004F7E35"/>
    <w:rsid w:val="004F7EDD"/>
    <w:rsid w:val="004F7F3E"/>
    <w:rsid w:val="004F7FD5"/>
    <w:rsid w:val="004F7FED"/>
    <w:rsid w:val="004F7FFD"/>
    <w:rsid w:val="00500159"/>
    <w:rsid w:val="0050017D"/>
    <w:rsid w:val="00500197"/>
    <w:rsid w:val="005001B4"/>
    <w:rsid w:val="0050029E"/>
    <w:rsid w:val="00500307"/>
    <w:rsid w:val="005003AC"/>
    <w:rsid w:val="00500470"/>
    <w:rsid w:val="0050063E"/>
    <w:rsid w:val="00500772"/>
    <w:rsid w:val="00500ABE"/>
    <w:rsid w:val="00500BAB"/>
    <w:rsid w:val="00500CD2"/>
    <w:rsid w:val="00500D3B"/>
    <w:rsid w:val="00500D6B"/>
    <w:rsid w:val="00500DA1"/>
    <w:rsid w:val="00500DCD"/>
    <w:rsid w:val="00500E83"/>
    <w:rsid w:val="00500EE6"/>
    <w:rsid w:val="00500F59"/>
    <w:rsid w:val="00501045"/>
    <w:rsid w:val="0050111C"/>
    <w:rsid w:val="0050113C"/>
    <w:rsid w:val="0050118B"/>
    <w:rsid w:val="005012E5"/>
    <w:rsid w:val="005012FE"/>
    <w:rsid w:val="0050130D"/>
    <w:rsid w:val="0050152D"/>
    <w:rsid w:val="0050156C"/>
    <w:rsid w:val="00501620"/>
    <w:rsid w:val="00501646"/>
    <w:rsid w:val="00501675"/>
    <w:rsid w:val="0050169F"/>
    <w:rsid w:val="005016F9"/>
    <w:rsid w:val="005017AB"/>
    <w:rsid w:val="005017CE"/>
    <w:rsid w:val="00501B35"/>
    <w:rsid w:val="00501B9D"/>
    <w:rsid w:val="00501BF1"/>
    <w:rsid w:val="00501C38"/>
    <w:rsid w:val="00501CBC"/>
    <w:rsid w:val="00501DDF"/>
    <w:rsid w:val="00501E05"/>
    <w:rsid w:val="005020A5"/>
    <w:rsid w:val="005020C6"/>
    <w:rsid w:val="005021B2"/>
    <w:rsid w:val="005021E7"/>
    <w:rsid w:val="005021EF"/>
    <w:rsid w:val="005022BC"/>
    <w:rsid w:val="005022DA"/>
    <w:rsid w:val="0050242C"/>
    <w:rsid w:val="00502552"/>
    <w:rsid w:val="005025CA"/>
    <w:rsid w:val="00502617"/>
    <w:rsid w:val="0050262E"/>
    <w:rsid w:val="00502689"/>
    <w:rsid w:val="00502827"/>
    <w:rsid w:val="005029DB"/>
    <w:rsid w:val="00502A52"/>
    <w:rsid w:val="00502A55"/>
    <w:rsid w:val="00502ABA"/>
    <w:rsid w:val="00502CF0"/>
    <w:rsid w:val="00502E02"/>
    <w:rsid w:val="00502E52"/>
    <w:rsid w:val="00502F44"/>
    <w:rsid w:val="00502FA3"/>
    <w:rsid w:val="00503060"/>
    <w:rsid w:val="0050307A"/>
    <w:rsid w:val="005031B8"/>
    <w:rsid w:val="005032CC"/>
    <w:rsid w:val="005032D4"/>
    <w:rsid w:val="00503418"/>
    <w:rsid w:val="005035FC"/>
    <w:rsid w:val="0050366B"/>
    <w:rsid w:val="0050369F"/>
    <w:rsid w:val="005036C4"/>
    <w:rsid w:val="00503702"/>
    <w:rsid w:val="005038BC"/>
    <w:rsid w:val="00503940"/>
    <w:rsid w:val="00503AD3"/>
    <w:rsid w:val="00503B2C"/>
    <w:rsid w:val="00503BC2"/>
    <w:rsid w:val="00503E9B"/>
    <w:rsid w:val="00503EF3"/>
    <w:rsid w:val="00503FA0"/>
    <w:rsid w:val="00504030"/>
    <w:rsid w:val="005040CE"/>
    <w:rsid w:val="005040D6"/>
    <w:rsid w:val="00504111"/>
    <w:rsid w:val="0050411C"/>
    <w:rsid w:val="00504194"/>
    <w:rsid w:val="005041CC"/>
    <w:rsid w:val="00504395"/>
    <w:rsid w:val="005043F6"/>
    <w:rsid w:val="005044BD"/>
    <w:rsid w:val="005044C9"/>
    <w:rsid w:val="0050451C"/>
    <w:rsid w:val="00504582"/>
    <w:rsid w:val="0050458C"/>
    <w:rsid w:val="005046A6"/>
    <w:rsid w:val="0050471B"/>
    <w:rsid w:val="0050478B"/>
    <w:rsid w:val="005047C8"/>
    <w:rsid w:val="005048BC"/>
    <w:rsid w:val="005048CB"/>
    <w:rsid w:val="005048D9"/>
    <w:rsid w:val="00504A22"/>
    <w:rsid w:val="00504A66"/>
    <w:rsid w:val="00504A73"/>
    <w:rsid w:val="00504B93"/>
    <w:rsid w:val="00504C78"/>
    <w:rsid w:val="00504EB9"/>
    <w:rsid w:val="00505053"/>
    <w:rsid w:val="005050B0"/>
    <w:rsid w:val="0050516F"/>
    <w:rsid w:val="005051B7"/>
    <w:rsid w:val="005052C9"/>
    <w:rsid w:val="005053BA"/>
    <w:rsid w:val="00505402"/>
    <w:rsid w:val="0050546C"/>
    <w:rsid w:val="0050554F"/>
    <w:rsid w:val="005055EC"/>
    <w:rsid w:val="005055FE"/>
    <w:rsid w:val="00505645"/>
    <w:rsid w:val="005056B7"/>
    <w:rsid w:val="005057A9"/>
    <w:rsid w:val="0050580C"/>
    <w:rsid w:val="005059D3"/>
    <w:rsid w:val="00505C05"/>
    <w:rsid w:val="00505C16"/>
    <w:rsid w:val="00505C70"/>
    <w:rsid w:val="00505CF1"/>
    <w:rsid w:val="00505D3E"/>
    <w:rsid w:val="00505DE0"/>
    <w:rsid w:val="00505E98"/>
    <w:rsid w:val="00505FBA"/>
    <w:rsid w:val="0050608B"/>
    <w:rsid w:val="005061BE"/>
    <w:rsid w:val="005061DE"/>
    <w:rsid w:val="005061ED"/>
    <w:rsid w:val="0050625D"/>
    <w:rsid w:val="0050626D"/>
    <w:rsid w:val="00506323"/>
    <w:rsid w:val="0050649A"/>
    <w:rsid w:val="005064FB"/>
    <w:rsid w:val="00506701"/>
    <w:rsid w:val="00506852"/>
    <w:rsid w:val="005068EE"/>
    <w:rsid w:val="00506964"/>
    <w:rsid w:val="005069C5"/>
    <w:rsid w:val="00506B4C"/>
    <w:rsid w:val="00506B58"/>
    <w:rsid w:val="00506CF2"/>
    <w:rsid w:val="00506D0F"/>
    <w:rsid w:val="00506D1B"/>
    <w:rsid w:val="00506D7D"/>
    <w:rsid w:val="00506DA8"/>
    <w:rsid w:val="00506DD6"/>
    <w:rsid w:val="00506E3C"/>
    <w:rsid w:val="0050709F"/>
    <w:rsid w:val="005070D1"/>
    <w:rsid w:val="0050715B"/>
    <w:rsid w:val="0050720B"/>
    <w:rsid w:val="00507237"/>
    <w:rsid w:val="00507284"/>
    <w:rsid w:val="0050730A"/>
    <w:rsid w:val="00507415"/>
    <w:rsid w:val="0050742D"/>
    <w:rsid w:val="00507452"/>
    <w:rsid w:val="005075DA"/>
    <w:rsid w:val="005075E7"/>
    <w:rsid w:val="00507611"/>
    <w:rsid w:val="0050767B"/>
    <w:rsid w:val="00507682"/>
    <w:rsid w:val="0050769E"/>
    <w:rsid w:val="005076FF"/>
    <w:rsid w:val="00507744"/>
    <w:rsid w:val="005078D8"/>
    <w:rsid w:val="00507907"/>
    <w:rsid w:val="00507919"/>
    <w:rsid w:val="00507BAC"/>
    <w:rsid w:val="00507BB0"/>
    <w:rsid w:val="00507CA8"/>
    <w:rsid w:val="00507D3A"/>
    <w:rsid w:val="00507D52"/>
    <w:rsid w:val="00507D78"/>
    <w:rsid w:val="00507EC0"/>
    <w:rsid w:val="00507F32"/>
    <w:rsid w:val="00507FED"/>
    <w:rsid w:val="0051002E"/>
    <w:rsid w:val="00510183"/>
    <w:rsid w:val="005103A3"/>
    <w:rsid w:val="005103A8"/>
    <w:rsid w:val="00510406"/>
    <w:rsid w:val="00510494"/>
    <w:rsid w:val="005106F3"/>
    <w:rsid w:val="0051070E"/>
    <w:rsid w:val="00510798"/>
    <w:rsid w:val="0051097D"/>
    <w:rsid w:val="00510A9C"/>
    <w:rsid w:val="00510A9E"/>
    <w:rsid w:val="00510B21"/>
    <w:rsid w:val="00510B3B"/>
    <w:rsid w:val="00510BB6"/>
    <w:rsid w:val="00510BE3"/>
    <w:rsid w:val="00510C40"/>
    <w:rsid w:val="00510D37"/>
    <w:rsid w:val="00510D40"/>
    <w:rsid w:val="00510D67"/>
    <w:rsid w:val="00510DF2"/>
    <w:rsid w:val="00510E1B"/>
    <w:rsid w:val="00510E4D"/>
    <w:rsid w:val="00510E68"/>
    <w:rsid w:val="00510EAF"/>
    <w:rsid w:val="005110D8"/>
    <w:rsid w:val="00511143"/>
    <w:rsid w:val="0051116F"/>
    <w:rsid w:val="00511177"/>
    <w:rsid w:val="00511301"/>
    <w:rsid w:val="00511312"/>
    <w:rsid w:val="00511315"/>
    <w:rsid w:val="00511418"/>
    <w:rsid w:val="005115FC"/>
    <w:rsid w:val="005117E2"/>
    <w:rsid w:val="00511821"/>
    <w:rsid w:val="0051182E"/>
    <w:rsid w:val="005118FA"/>
    <w:rsid w:val="00511954"/>
    <w:rsid w:val="00511A31"/>
    <w:rsid w:val="00511AD6"/>
    <w:rsid w:val="00511B37"/>
    <w:rsid w:val="00511B68"/>
    <w:rsid w:val="00511BB8"/>
    <w:rsid w:val="00511BDB"/>
    <w:rsid w:val="00511C0D"/>
    <w:rsid w:val="00511CE1"/>
    <w:rsid w:val="00511D0F"/>
    <w:rsid w:val="00511D5C"/>
    <w:rsid w:val="00511DAB"/>
    <w:rsid w:val="00511DE7"/>
    <w:rsid w:val="00511F66"/>
    <w:rsid w:val="00511F7A"/>
    <w:rsid w:val="00511FAF"/>
    <w:rsid w:val="00512215"/>
    <w:rsid w:val="00512374"/>
    <w:rsid w:val="00512392"/>
    <w:rsid w:val="0051243D"/>
    <w:rsid w:val="0051246B"/>
    <w:rsid w:val="00512470"/>
    <w:rsid w:val="005124AB"/>
    <w:rsid w:val="0051258D"/>
    <w:rsid w:val="005125B1"/>
    <w:rsid w:val="005125D2"/>
    <w:rsid w:val="0051268F"/>
    <w:rsid w:val="0051276F"/>
    <w:rsid w:val="00512930"/>
    <w:rsid w:val="005129D3"/>
    <w:rsid w:val="00512BA2"/>
    <w:rsid w:val="00512C7E"/>
    <w:rsid w:val="00512CD9"/>
    <w:rsid w:val="00512CEE"/>
    <w:rsid w:val="00512D9E"/>
    <w:rsid w:val="00512DB8"/>
    <w:rsid w:val="00513048"/>
    <w:rsid w:val="00513188"/>
    <w:rsid w:val="00513219"/>
    <w:rsid w:val="0051331E"/>
    <w:rsid w:val="005134D0"/>
    <w:rsid w:val="0051366F"/>
    <w:rsid w:val="0051376F"/>
    <w:rsid w:val="005139DD"/>
    <w:rsid w:val="00513ABB"/>
    <w:rsid w:val="00513C7B"/>
    <w:rsid w:val="00513D36"/>
    <w:rsid w:val="00513E27"/>
    <w:rsid w:val="00513E61"/>
    <w:rsid w:val="00513FBC"/>
    <w:rsid w:val="00513FF2"/>
    <w:rsid w:val="00514056"/>
    <w:rsid w:val="005140AC"/>
    <w:rsid w:val="00514254"/>
    <w:rsid w:val="00514255"/>
    <w:rsid w:val="0051426A"/>
    <w:rsid w:val="0051428F"/>
    <w:rsid w:val="005142B2"/>
    <w:rsid w:val="0051431C"/>
    <w:rsid w:val="005143B0"/>
    <w:rsid w:val="00514495"/>
    <w:rsid w:val="005144AA"/>
    <w:rsid w:val="005144B3"/>
    <w:rsid w:val="00514536"/>
    <w:rsid w:val="00514656"/>
    <w:rsid w:val="0051465F"/>
    <w:rsid w:val="0051473E"/>
    <w:rsid w:val="005147E1"/>
    <w:rsid w:val="005149B4"/>
    <w:rsid w:val="00514A08"/>
    <w:rsid w:val="00514AB3"/>
    <w:rsid w:val="00514BAD"/>
    <w:rsid w:val="00514BC2"/>
    <w:rsid w:val="00514BF4"/>
    <w:rsid w:val="00514CE2"/>
    <w:rsid w:val="00514F63"/>
    <w:rsid w:val="00514F8B"/>
    <w:rsid w:val="00515100"/>
    <w:rsid w:val="00515272"/>
    <w:rsid w:val="005152EA"/>
    <w:rsid w:val="0051537C"/>
    <w:rsid w:val="00515412"/>
    <w:rsid w:val="0051543E"/>
    <w:rsid w:val="005154DA"/>
    <w:rsid w:val="00515528"/>
    <w:rsid w:val="005155DD"/>
    <w:rsid w:val="0051564E"/>
    <w:rsid w:val="0051578C"/>
    <w:rsid w:val="00515883"/>
    <w:rsid w:val="005158A0"/>
    <w:rsid w:val="00515964"/>
    <w:rsid w:val="00515A47"/>
    <w:rsid w:val="00515A5B"/>
    <w:rsid w:val="00515BC2"/>
    <w:rsid w:val="00515C2A"/>
    <w:rsid w:val="00515C44"/>
    <w:rsid w:val="00515C65"/>
    <w:rsid w:val="00515CD2"/>
    <w:rsid w:val="00515D50"/>
    <w:rsid w:val="00515DCB"/>
    <w:rsid w:val="00515E60"/>
    <w:rsid w:val="00515F3B"/>
    <w:rsid w:val="005160A6"/>
    <w:rsid w:val="005161C5"/>
    <w:rsid w:val="005162BF"/>
    <w:rsid w:val="0051634E"/>
    <w:rsid w:val="0051639F"/>
    <w:rsid w:val="005163E4"/>
    <w:rsid w:val="0051664A"/>
    <w:rsid w:val="005166CE"/>
    <w:rsid w:val="005167C0"/>
    <w:rsid w:val="00516896"/>
    <w:rsid w:val="005168E1"/>
    <w:rsid w:val="0051698F"/>
    <w:rsid w:val="00516A41"/>
    <w:rsid w:val="00516C28"/>
    <w:rsid w:val="00516D99"/>
    <w:rsid w:val="00516DB5"/>
    <w:rsid w:val="00516DEF"/>
    <w:rsid w:val="00517066"/>
    <w:rsid w:val="00517226"/>
    <w:rsid w:val="0051726D"/>
    <w:rsid w:val="005174CC"/>
    <w:rsid w:val="00517530"/>
    <w:rsid w:val="00517686"/>
    <w:rsid w:val="00517740"/>
    <w:rsid w:val="0051780C"/>
    <w:rsid w:val="0051784C"/>
    <w:rsid w:val="005178DC"/>
    <w:rsid w:val="00517993"/>
    <w:rsid w:val="0051799F"/>
    <w:rsid w:val="00517A05"/>
    <w:rsid w:val="00517A3D"/>
    <w:rsid w:val="00517A3E"/>
    <w:rsid w:val="00517BB1"/>
    <w:rsid w:val="00517C6A"/>
    <w:rsid w:val="00517CD4"/>
    <w:rsid w:val="00517D41"/>
    <w:rsid w:val="00517D56"/>
    <w:rsid w:val="00517DFB"/>
    <w:rsid w:val="005200CA"/>
    <w:rsid w:val="005200DE"/>
    <w:rsid w:val="005200E8"/>
    <w:rsid w:val="005201AC"/>
    <w:rsid w:val="005203F8"/>
    <w:rsid w:val="0052045A"/>
    <w:rsid w:val="005205AF"/>
    <w:rsid w:val="005206CC"/>
    <w:rsid w:val="00520826"/>
    <w:rsid w:val="00520A29"/>
    <w:rsid w:val="00520C0F"/>
    <w:rsid w:val="00520C19"/>
    <w:rsid w:val="00520C47"/>
    <w:rsid w:val="00520D02"/>
    <w:rsid w:val="00520D67"/>
    <w:rsid w:val="00520E3B"/>
    <w:rsid w:val="00520EB6"/>
    <w:rsid w:val="00521106"/>
    <w:rsid w:val="00521166"/>
    <w:rsid w:val="005211A0"/>
    <w:rsid w:val="0052129E"/>
    <w:rsid w:val="005212BA"/>
    <w:rsid w:val="00521335"/>
    <w:rsid w:val="0052138B"/>
    <w:rsid w:val="005213AC"/>
    <w:rsid w:val="005215EF"/>
    <w:rsid w:val="00521697"/>
    <w:rsid w:val="0052173D"/>
    <w:rsid w:val="005217F6"/>
    <w:rsid w:val="00521AE0"/>
    <w:rsid w:val="00521AF9"/>
    <w:rsid w:val="00521B0C"/>
    <w:rsid w:val="00521B47"/>
    <w:rsid w:val="00521B7C"/>
    <w:rsid w:val="00521BE7"/>
    <w:rsid w:val="00521C48"/>
    <w:rsid w:val="00521C6E"/>
    <w:rsid w:val="00521C70"/>
    <w:rsid w:val="00521C74"/>
    <w:rsid w:val="00521C97"/>
    <w:rsid w:val="00521DD7"/>
    <w:rsid w:val="00521E05"/>
    <w:rsid w:val="00521F96"/>
    <w:rsid w:val="00521FC4"/>
    <w:rsid w:val="005221A1"/>
    <w:rsid w:val="005227AB"/>
    <w:rsid w:val="005227C3"/>
    <w:rsid w:val="00522841"/>
    <w:rsid w:val="0052285A"/>
    <w:rsid w:val="00522A1C"/>
    <w:rsid w:val="00522A2E"/>
    <w:rsid w:val="00522ACE"/>
    <w:rsid w:val="00522B83"/>
    <w:rsid w:val="00522B97"/>
    <w:rsid w:val="00522BC4"/>
    <w:rsid w:val="00522C6D"/>
    <w:rsid w:val="00522CD9"/>
    <w:rsid w:val="00522CDF"/>
    <w:rsid w:val="00522D6B"/>
    <w:rsid w:val="00522DEF"/>
    <w:rsid w:val="00522EE7"/>
    <w:rsid w:val="005231A2"/>
    <w:rsid w:val="005231EF"/>
    <w:rsid w:val="0052324C"/>
    <w:rsid w:val="0052348E"/>
    <w:rsid w:val="005235EC"/>
    <w:rsid w:val="005235F6"/>
    <w:rsid w:val="00523655"/>
    <w:rsid w:val="00523658"/>
    <w:rsid w:val="005236E1"/>
    <w:rsid w:val="005237CD"/>
    <w:rsid w:val="005238CD"/>
    <w:rsid w:val="0052395B"/>
    <w:rsid w:val="00523968"/>
    <w:rsid w:val="00523B3C"/>
    <w:rsid w:val="00523B85"/>
    <w:rsid w:val="00523B96"/>
    <w:rsid w:val="00523BCE"/>
    <w:rsid w:val="00523C59"/>
    <w:rsid w:val="00523CD6"/>
    <w:rsid w:val="00523DC2"/>
    <w:rsid w:val="00523E41"/>
    <w:rsid w:val="00523E6B"/>
    <w:rsid w:val="00523F7A"/>
    <w:rsid w:val="0052416C"/>
    <w:rsid w:val="005241AD"/>
    <w:rsid w:val="00524226"/>
    <w:rsid w:val="00524307"/>
    <w:rsid w:val="00524360"/>
    <w:rsid w:val="005243CD"/>
    <w:rsid w:val="005243DB"/>
    <w:rsid w:val="00524408"/>
    <w:rsid w:val="0052446F"/>
    <w:rsid w:val="00524484"/>
    <w:rsid w:val="0052451B"/>
    <w:rsid w:val="00524637"/>
    <w:rsid w:val="00524732"/>
    <w:rsid w:val="005248CC"/>
    <w:rsid w:val="005248D4"/>
    <w:rsid w:val="005248FD"/>
    <w:rsid w:val="0052491F"/>
    <w:rsid w:val="00524A5E"/>
    <w:rsid w:val="00524AE5"/>
    <w:rsid w:val="00524B1A"/>
    <w:rsid w:val="00524B52"/>
    <w:rsid w:val="00524B55"/>
    <w:rsid w:val="00524BB6"/>
    <w:rsid w:val="00524C1F"/>
    <w:rsid w:val="00524C7A"/>
    <w:rsid w:val="00524CD2"/>
    <w:rsid w:val="00524D0D"/>
    <w:rsid w:val="00524D41"/>
    <w:rsid w:val="00524D7F"/>
    <w:rsid w:val="00525064"/>
    <w:rsid w:val="005250C0"/>
    <w:rsid w:val="00525214"/>
    <w:rsid w:val="00525267"/>
    <w:rsid w:val="005252AE"/>
    <w:rsid w:val="0052534E"/>
    <w:rsid w:val="0052539B"/>
    <w:rsid w:val="005253D2"/>
    <w:rsid w:val="0052551E"/>
    <w:rsid w:val="00525722"/>
    <w:rsid w:val="0052574E"/>
    <w:rsid w:val="005259A0"/>
    <w:rsid w:val="00525A1F"/>
    <w:rsid w:val="00525A8C"/>
    <w:rsid w:val="00525AD7"/>
    <w:rsid w:val="00525B35"/>
    <w:rsid w:val="00525CA7"/>
    <w:rsid w:val="00525CBD"/>
    <w:rsid w:val="00525D57"/>
    <w:rsid w:val="00525DA7"/>
    <w:rsid w:val="00525DB4"/>
    <w:rsid w:val="00525DB5"/>
    <w:rsid w:val="00525E3E"/>
    <w:rsid w:val="00525E47"/>
    <w:rsid w:val="00525FCA"/>
    <w:rsid w:val="0052611C"/>
    <w:rsid w:val="00526324"/>
    <w:rsid w:val="00526458"/>
    <w:rsid w:val="005264CA"/>
    <w:rsid w:val="005265A6"/>
    <w:rsid w:val="0052670F"/>
    <w:rsid w:val="0052676B"/>
    <w:rsid w:val="005269C6"/>
    <w:rsid w:val="00526B3C"/>
    <w:rsid w:val="00526B74"/>
    <w:rsid w:val="00526CC2"/>
    <w:rsid w:val="00526D6A"/>
    <w:rsid w:val="00526EC3"/>
    <w:rsid w:val="00526EC4"/>
    <w:rsid w:val="00526EEC"/>
    <w:rsid w:val="005270DF"/>
    <w:rsid w:val="005271F1"/>
    <w:rsid w:val="005271F5"/>
    <w:rsid w:val="00527256"/>
    <w:rsid w:val="005272E9"/>
    <w:rsid w:val="005273E5"/>
    <w:rsid w:val="0052746B"/>
    <w:rsid w:val="00527482"/>
    <w:rsid w:val="005274A4"/>
    <w:rsid w:val="005275B9"/>
    <w:rsid w:val="005275CE"/>
    <w:rsid w:val="0052763A"/>
    <w:rsid w:val="00527683"/>
    <w:rsid w:val="00527724"/>
    <w:rsid w:val="00527872"/>
    <w:rsid w:val="00527951"/>
    <w:rsid w:val="00527A4E"/>
    <w:rsid w:val="00527C59"/>
    <w:rsid w:val="00527C5A"/>
    <w:rsid w:val="00527CB1"/>
    <w:rsid w:val="00527E0A"/>
    <w:rsid w:val="00527F40"/>
    <w:rsid w:val="00527F82"/>
    <w:rsid w:val="00530037"/>
    <w:rsid w:val="0053015C"/>
    <w:rsid w:val="0053021D"/>
    <w:rsid w:val="005302BF"/>
    <w:rsid w:val="005305F3"/>
    <w:rsid w:val="0053065C"/>
    <w:rsid w:val="00530667"/>
    <w:rsid w:val="00530749"/>
    <w:rsid w:val="0053084B"/>
    <w:rsid w:val="00530918"/>
    <w:rsid w:val="00530939"/>
    <w:rsid w:val="00530A51"/>
    <w:rsid w:val="00530AA5"/>
    <w:rsid w:val="00530C33"/>
    <w:rsid w:val="00530C77"/>
    <w:rsid w:val="00530D9C"/>
    <w:rsid w:val="00530EF9"/>
    <w:rsid w:val="00530F06"/>
    <w:rsid w:val="0053103D"/>
    <w:rsid w:val="005311E3"/>
    <w:rsid w:val="005311FD"/>
    <w:rsid w:val="0053123C"/>
    <w:rsid w:val="00531389"/>
    <w:rsid w:val="00531451"/>
    <w:rsid w:val="00531460"/>
    <w:rsid w:val="0053159F"/>
    <w:rsid w:val="00531723"/>
    <w:rsid w:val="00531B20"/>
    <w:rsid w:val="00531B96"/>
    <w:rsid w:val="00531BF0"/>
    <w:rsid w:val="00531C22"/>
    <w:rsid w:val="00531C2D"/>
    <w:rsid w:val="00531D4F"/>
    <w:rsid w:val="00531DA4"/>
    <w:rsid w:val="00531DE6"/>
    <w:rsid w:val="00531F0B"/>
    <w:rsid w:val="00531FB6"/>
    <w:rsid w:val="005320A7"/>
    <w:rsid w:val="005320DC"/>
    <w:rsid w:val="00532102"/>
    <w:rsid w:val="00532157"/>
    <w:rsid w:val="0053217B"/>
    <w:rsid w:val="00532475"/>
    <w:rsid w:val="005325CE"/>
    <w:rsid w:val="00532677"/>
    <w:rsid w:val="00532780"/>
    <w:rsid w:val="0053285E"/>
    <w:rsid w:val="00532873"/>
    <w:rsid w:val="00532892"/>
    <w:rsid w:val="00532942"/>
    <w:rsid w:val="0053297B"/>
    <w:rsid w:val="00532C9B"/>
    <w:rsid w:val="00532EEF"/>
    <w:rsid w:val="00533113"/>
    <w:rsid w:val="0053311F"/>
    <w:rsid w:val="00533121"/>
    <w:rsid w:val="005332F6"/>
    <w:rsid w:val="0053336A"/>
    <w:rsid w:val="00533397"/>
    <w:rsid w:val="005333DE"/>
    <w:rsid w:val="005334B9"/>
    <w:rsid w:val="00533602"/>
    <w:rsid w:val="005336FF"/>
    <w:rsid w:val="005337BD"/>
    <w:rsid w:val="00533833"/>
    <w:rsid w:val="00533976"/>
    <w:rsid w:val="005339EE"/>
    <w:rsid w:val="00533A81"/>
    <w:rsid w:val="00533AC9"/>
    <w:rsid w:val="00533B03"/>
    <w:rsid w:val="00533B70"/>
    <w:rsid w:val="00533C54"/>
    <w:rsid w:val="00533C79"/>
    <w:rsid w:val="00533D6C"/>
    <w:rsid w:val="00533F2B"/>
    <w:rsid w:val="00533F40"/>
    <w:rsid w:val="00533FA4"/>
    <w:rsid w:val="00533FAD"/>
    <w:rsid w:val="00533FF0"/>
    <w:rsid w:val="00534013"/>
    <w:rsid w:val="00534211"/>
    <w:rsid w:val="005342D1"/>
    <w:rsid w:val="00534422"/>
    <w:rsid w:val="005344B3"/>
    <w:rsid w:val="0053451D"/>
    <w:rsid w:val="0053462E"/>
    <w:rsid w:val="005346CA"/>
    <w:rsid w:val="005347FA"/>
    <w:rsid w:val="0053480A"/>
    <w:rsid w:val="005349DA"/>
    <w:rsid w:val="005349FB"/>
    <w:rsid w:val="00534C18"/>
    <w:rsid w:val="00534E22"/>
    <w:rsid w:val="00534E6B"/>
    <w:rsid w:val="00534F3E"/>
    <w:rsid w:val="00534FA8"/>
    <w:rsid w:val="00534FD0"/>
    <w:rsid w:val="0053517B"/>
    <w:rsid w:val="005352D2"/>
    <w:rsid w:val="005353C3"/>
    <w:rsid w:val="005353CA"/>
    <w:rsid w:val="005353EE"/>
    <w:rsid w:val="00535465"/>
    <w:rsid w:val="00535514"/>
    <w:rsid w:val="0053553E"/>
    <w:rsid w:val="00535567"/>
    <w:rsid w:val="0053557B"/>
    <w:rsid w:val="0053579C"/>
    <w:rsid w:val="005358B2"/>
    <w:rsid w:val="005358C3"/>
    <w:rsid w:val="00535A46"/>
    <w:rsid w:val="00535B4C"/>
    <w:rsid w:val="00535BCC"/>
    <w:rsid w:val="00535C0C"/>
    <w:rsid w:val="00535ED3"/>
    <w:rsid w:val="00535F18"/>
    <w:rsid w:val="00536007"/>
    <w:rsid w:val="00536011"/>
    <w:rsid w:val="0053607E"/>
    <w:rsid w:val="00536115"/>
    <w:rsid w:val="00536130"/>
    <w:rsid w:val="00536175"/>
    <w:rsid w:val="0053617C"/>
    <w:rsid w:val="005361EC"/>
    <w:rsid w:val="0053620B"/>
    <w:rsid w:val="005362D0"/>
    <w:rsid w:val="00536451"/>
    <w:rsid w:val="00536468"/>
    <w:rsid w:val="0053649B"/>
    <w:rsid w:val="005364DA"/>
    <w:rsid w:val="005365E4"/>
    <w:rsid w:val="005366D9"/>
    <w:rsid w:val="00536808"/>
    <w:rsid w:val="00536879"/>
    <w:rsid w:val="00536998"/>
    <w:rsid w:val="00536BBD"/>
    <w:rsid w:val="00536CFA"/>
    <w:rsid w:val="00536D20"/>
    <w:rsid w:val="00536E0B"/>
    <w:rsid w:val="00536EB7"/>
    <w:rsid w:val="005370D9"/>
    <w:rsid w:val="00537135"/>
    <w:rsid w:val="0053717F"/>
    <w:rsid w:val="005371C1"/>
    <w:rsid w:val="00537336"/>
    <w:rsid w:val="00537394"/>
    <w:rsid w:val="00537499"/>
    <w:rsid w:val="005375D7"/>
    <w:rsid w:val="005375DF"/>
    <w:rsid w:val="00537667"/>
    <w:rsid w:val="005376F3"/>
    <w:rsid w:val="0053770C"/>
    <w:rsid w:val="00537825"/>
    <w:rsid w:val="00537877"/>
    <w:rsid w:val="005378F1"/>
    <w:rsid w:val="00537947"/>
    <w:rsid w:val="00537A10"/>
    <w:rsid w:val="00537A69"/>
    <w:rsid w:val="00537C50"/>
    <w:rsid w:val="00537CD1"/>
    <w:rsid w:val="00537D0A"/>
    <w:rsid w:val="00537DE0"/>
    <w:rsid w:val="00537E6C"/>
    <w:rsid w:val="00537F3E"/>
    <w:rsid w:val="005400B9"/>
    <w:rsid w:val="005400F4"/>
    <w:rsid w:val="005401B5"/>
    <w:rsid w:val="00540220"/>
    <w:rsid w:val="005402DA"/>
    <w:rsid w:val="005403F2"/>
    <w:rsid w:val="005406C6"/>
    <w:rsid w:val="00540B35"/>
    <w:rsid w:val="00540D0D"/>
    <w:rsid w:val="00540DA4"/>
    <w:rsid w:val="00540F8F"/>
    <w:rsid w:val="00541277"/>
    <w:rsid w:val="005413AA"/>
    <w:rsid w:val="005413B4"/>
    <w:rsid w:val="00541480"/>
    <w:rsid w:val="00541503"/>
    <w:rsid w:val="00541507"/>
    <w:rsid w:val="0054157C"/>
    <w:rsid w:val="00541648"/>
    <w:rsid w:val="005416A3"/>
    <w:rsid w:val="0054171E"/>
    <w:rsid w:val="00541725"/>
    <w:rsid w:val="00541762"/>
    <w:rsid w:val="00541800"/>
    <w:rsid w:val="0054195E"/>
    <w:rsid w:val="00541A6A"/>
    <w:rsid w:val="00541A6D"/>
    <w:rsid w:val="00541B99"/>
    <w:rsid w:val="00541CE7"/>
    <w:rsid w:val="00541CEE"/>
    <w:rsid w:val="00541DAF"/>
    <w:rsid w:val="00541E12"/>
    <w:rsid w:val="00541E3E"/>
    <w:rsid w:val="00541E9E"/>
    <w:rsid w:val="00541EAD"/>
    <w:rsid w:val="00541F64"/>
    <w:rsid w:val="00541F67"/>
    <w:rsid w:val="005420DA"/>
    <w:rsid w:val="0054213A"/>
    <w:rsid w:val="00542214"/>
    <w:rsid w:val="0054226F"/>
    <w:rsid w:val="005422D7"/>
    <w:rsid w:val="005423C4"/>
    <w:rsid w:val="005424A8"/>
    <w:rsid w:val="0054259F"/>
    <w:rsid w:val="005425A1"/>
    <w:rsid w:val="005425BE"/>
    <w:rsid w:val="00542753"/>
    <w:rsid w:val="0054280A"/>
    <w:rsid w:val="00542811"/>
    <w:rsid w:val="00542904"/>
    <w:rsid w:val="00542936"/>
    <w:rsid w:val="00542964"/>
    <w:rsid w:val="00542969"/>
    <w:rsid w:val="0054296F"/>
    <w:rsid w:val="00542A04"/>
    <w:rsid w:val="00542B69"/>
    <w:rsid w:val="00542B91"/>
    <w:rsid w:val="00542C03"/>
    <w:rsid w:val="00542D69"/>
    <w:rsid w:val="00542E2A"/>
    <w:rsid w:val="00542E34"/>
    <w:rsid w:val="00542E3A"/>
    <w:rsid w:val="00542E85"/>
    <w:rsid w:val="00542EDF"/>
    <w:rsid w:val="00542EED"/>
    <w:rsid w:val="00542F7D"/>
    <w:rsid w:val="00542F8F"/>
    <w:rsid w:val="00543175"/>
    <w:rsid w:val="0054318E"/>
    <w:rsid w:val="005431E1"/>
    <w:rsid w:val="005431F5"/>
    <w:rsid w:val="005433AC"/>
    <w:rsid w:val="00543409"/>
    <w:rsid w:val="0054356D"/>
    <w:rsid w:val="005435C4"/>
    <w:rsid w:val="005435DC"/>
    <w:rsid w:val="005436F0"/>
    <w:rsid w:val="00543754"/>
    <w:rsid w:val="0054378C"/>
    <w:rsid w:val="005437B2"/>
    <w:rsid w:val="00543860"/>
    <w:rsid w:val="00543865"/>
    <w:rsid w:val="005438FA"/>
    <w:rsid w:val="00543986"/>
    <w:rsid w:val="00543A42"/>
    <w:rsid w:val="00543B64"/>
    <w:rsid w:val="00543B8D"/>
    <w:rsid w:val="00543D44"/>
    <w:rsid w:val="00543E07"/>
    <w:rsid w:val="00543E44"/>
    <w:rsid w:val="00543E53"/>
    <w:rsid w:val="00543EC4"/>
    <w:rsid w:val="00544027"/>
    <w:rsid w:val="005440BF"/>
    <w:rsid w:val="005440D9"/>
    <w:rsid w:val="005440EA"/>
    <w:rsid w:val="00544126"/>
    <w:rsid w:val="00544209"/>
    <w:rsid w:val="0054425B"/>
    <w:rsid w:val="00544339"/>
    <w:rsid w:val="00544491"/>
    <w:rsid w:val="00544607"/>
    <w:rsid w:val="00544699"/>
    <w:rsid w:val="005446EB"/>
    <w:rsid w:val="0054488D"/>
    <w:rsid w:val="005448A2"/>
    <w:rsid w:val="0054497C"/>
    <w:rsid w:val="00544A5E"/>
    <w:rsid w:val="00544C3D"/>
    <w:rsid w:val="00544CB8"/>
    <w:rsid w:val="00544D49"/>
    <w:rsid w:val="00544F0D"/>
    <w:rsid w:val="00544F3D"/>
    <w:rsid w:val="00544F55"/>
    <w:rsid w:val="00545143"/>
    <w:rsid w:val="00545166"/>
    <w:rsid w:val="00545182"/>
    <w:rsid w:val="005451AB"/>
    <w:rsid w:val="005451BA"/>
    <w:rsid w:val="0054524D"/>
    <w:rsid w:val="00545298"/>
    <w:rsid w:val="00545362"/>
    <w:rsid w:val="005453C7"/>
    <w:rsid w:val="005453E1"/>
    <w:rsid w:val="00545490"/>
    <w:rsid w:val="00545500"/>
    <w:rsid w:val="0054557F"/>
    <w:rsid w:val="005456CF"/>
    <w:rsid w:val="0054571C"/>
    <w:rsid w:val="005457FC"/>
    <w:rsid w:val="0054580F"/>
    <w:rsid w:val="00545881"/>
    <w:rsid w:val="0054595E"/>
    <w:rsid w:val="00545968"/>
    <w:rsid w:val="00545B88"/>
    <w:rsid w:val="00545C48"/>
    <w:rsid w:val="00545DCA"/>
    <w:rsid w:val="00545E40"/>
    <w:rsid w:val="00545E92"/>
    <w:rsid w:val="00545EE1"/>
    <w:rsid w:val="00546057"/>
    <w:rsid w:val="00546082"/>
    <w:rsid w:val="005460AD"/>
    <w:rsid w:val="00546284"/>
    <w:rsid w:val="005463BC"/>
    <w:rsid w:val="00546677"/>
    <w:rsid w:val="0054676E"/>
    <w:rsid w:val="00546918"/>
    <w:rsid w:val="00546924"/>
    <w:rsid w:val="00546A69"/>
    <w:rsid w:val="00546C08"/>
    <w:rsid w:val="00546C92"/>
    <w:rsid w:val="00546CA7"/>
    <w:rsid w:val="00546CF7"/>
    <w:rsid w:val="00546E45"/>
    <w:rsid w:val="00546F32"/>
    <w:rsid w:val="00546FAD"/>
    <w:rsid w:val="00546FC5"/>
    <w:rsid w:val="00546FF3"/>
    <w:rsid w:val="0054704C"/>
    <w:rsid w:val="00547080"/>
    <w:rsid w:val="005470A9"/>
    <w:rsid w:val="005470B8"/>
    <w:rsid w:val="005470EF"/>
    <w:rsid w:val="005471C6"/>
    <w:rsid w:val="005471FC"/>
    <w:rsid w:val="00547506"/>
    <w:rsid w:val="00547632"/>
    <w:rsid w:val="00547691"/>
    <w:rsid w:val="005476E8"/>
    <w:rsid w:val="0054776D"/>
    <w:rsid w:val="005477C8"/>
    <w:rsid w:val="005477F8"/>
    <w:rsid w:val="005478DF"/>
    <w:rsid w:val="00547939"/>
    <w:rsid w:val="00547A20"/>
    <w:rsid w:val="00547B6B"/>
    <w:rsid w:val="00547C45"/>
    <w:rsid w:val="00547DD9"/>
    <w:rsid w:val="00547E3B"/>
    <w:rsid w:val="00547EB1"/>
    <w:rsid w:val="0055000A"/>
    <w:rsid w:val="0055008A"/>
    <w:rsid w:val="00550099"/>
    <w:rsid w:val="005500AF"/>
    <w:rsid w:val="005500DA"/>
    <w:rsid w:val="00550123"/>
    <w:rsid w:val="00550133"/>
    <w:rsid w:val="005501A6"/>
    <w:rsid w:val="005501FC"/>
    <w:rsid w:val="00550292"/>
    <w:rsid w:val="0055031B"/>
    <w:rsid w:val="0055035E"/>
    <w:rsid w:val="005503AD"/>
    <w:rsid w:val="005503E7"/>
    <w:rsid w:val="0055046F"/>
    <w:rsid w:val="00550485"/>
    <w:rsid w:val="005504F5"/>
    <w:rsid w:val="00550577"/>
    <w:rsid w:val="00550580"/>
    <w:rsid w:val="005506E1"/>
    <w:rsid w:val="0055086E"/>
    <w:rsid w:val="0055096D"/>
    <w:rsid w:val="00550C71"/>
    <w:rsid w:val="00550CDE"/>
    <w:rsid w:val="00550D70"/>
    <w:rsid w:val="00550D9B"/>
    <w:rsid w:val="00550DD6"/>
    <w:rsid w:val="00550DEF"/>
    <w:rsid w:val="00550E1A"/>
    <w:rsid w:val="00550F86"/>
    <w:rsid w:val="00550FFC"/>
    <w:rsid w:val="00551031"/>
    <w:rsid w:val="005511C2"/>
    <w:rsid w:val="0055120E"/>
    <w:rsid w:val="005512A3"/>
    <w:rsid w:val="005513BD"/>
    <w:rsid w:val="0055149C"/>
    <w:rsid w:val="005514E8"/>
    <w:rsid w:val="00551528"/>
    <w:rsid w:val="005515FE"/>
    <w:rsid w:val="005516C3"/>
    <w:rsid w:val="00551768"/>
    <w:rsid w:val="005517F6"/>
    <w:rsid w:val="0055183A"/>
    <w:rsid w:val="00551876"/>
    <w:rsid w:val="0055191C"/>
    <w:rsid w:val="00551A17"/>
    <w:rsid w:val="00551ABB"/>
    <w:rsid w:val="00551D32"/>
    <w:rsid w:val="00551D5E"/>
    <w:rsid w:val="00551DB7"/>
    <w:rsid w:val="00551EA0"/>
    <w:rsid w:val="00551F08"/>
    <w:rsid w:val="00551FEA"/>
    <w:rsid w:val="00552219"/>
    <w:rsid w:val="0055230C"/>
    <w:rsid w:val="00552332"/>
    <w:rsid w:val="00552442"/>
    <w:rsid w:val="005525B6"/>
    <w:rsid w:val="00552659"/>
    <w:rsid w:val="00552680"/>
    <w:rsid w:val="005526CA"/>
    <w:rsid w:val="005527C6"/>
    <w:rsid w:val="00552811"/>
    <w:rsid w:val="00552841"/>
    <w:rsid w:val="005528B0"/>
    <w:rsid w:val="005528D9"/>
    <w:rsid w:val="005529EE"/>
    <w:rsid w:val="00552A0C"/>
    <w:rsid w:val="00552A69"/>
    <w:rsid w:val="00552AE5"/>
    <w:rsid w:val="00552CD6"/>
    <w:rsid w:val="00552CFF"/>
    <w:rsid w:val="00552D69"/>
    <w:rsid w:val="00552DDD"/>
    <w:rsid w:val="00552E35"/>
    <w:rsid w:val="00552FEE"/>
    <w:rsid w:val="0055304F"/>
    <w:rsid w:val="0055311A"/>
    <w:rsid w:val="005532B2"/>
    <w:rsid w:val="00553381"/>
    <w:rsid w:val="005533CD"/>
    <w:rsid w:val="005533D4"/>
    <w:rsid w:val="005533D9"/>
    <w:rsid w:val="005534A8"/>
    <w:rsid w:val="005534B8"/>
    <w:rsid w:val="005534E1"/>
    <w:rsid w:val="005534E4"/>
    <w:rsid w:val="005535C1"/>
    <w:rsid w:val="00553633"/>
    <w:rsid w:val="005536C1"/>
    <w:rsid w:val="0055377C"/>
    <w:rsid w:val="005537A2"/>
    <w:rsid w:val="0055389C"/>
    <w:rsid w:val="00553926"/>
    <w:rsid w:val="00553938"/>
    <w:rsid w:val="00553A82"/>
    <w:rsid w:val="00553B1A"/>
    <w:rsid w:val="00553C7C"/>
    <w:rsid w:val="00553D05"/>
    <w:rsid w:val="00553DB9"/>
    <w:rsid w:val="00553DE8"/>
    <w:rsid w:val="00553E8B"/>
    <w:rsid w:val="00553EF0"/>
    <w:rsid w:val="00554093"/>
    <w:rsid w:val="00554135"/>
    <w:rsid w:val="005541E6"/>
    <w:rsid w:val="0055425C"/>
    <w:rsid w:val="0055427F"/>
    <w:rsid w:val="00554282"/>
    <w:rsid w:val="0055440E"/>
    <w:rsid w:val="005544C3"/>
    <w:rsid w:val="00554674"/>
    <w:rsid w:val="00554739"/>
    <w:rsid w:val="00554815"/>
    <w:rsid w:val="005548A9"/>
    <w:rsid w:val="00554901"/>
    <w:rsid w:val="0055498E"/>
    <w:rsid w:val="00554A41"/>
    <w:rsid w:val="00554BA4"/>
    <w:rsid w:val="00554BAE"/>
    <w:rsid w:val="00554BE1"/>
    <w:rsid w:val="00554C8D"/>
    <w:rsid w:val="00554CA4"/>
    <w:rsid w:val="00554DA0"/>
    <w:rsid w:val="00554DEF"/>
    <w:rsid w:val="00554E02"/>
    <w:rsid w:val="00554E05"/>
    <w:rsid w:val="00554F5D"/>
    <w:rsid w:val="00554FBC"/>
    <w:rsid w:val="00555138"/>
    <w:rsid w:val="005553B6"/>
    <w:rsid w:val="00555482"/>
    <w:rsid w:val="00555797"/>
    <w:rsid w:val="00555861"/>
    <w:rsid w:val="0055588D"/>
    <w:rsid w:val="00555955"/>
    <w:rsid w:val="0055598B"/>
    <w:rsid w:val="00555994"/>
    <w:rsid w:val="00555ABC"/>
    <w:rsid w:val="00555ADB"/>
    <w:rsid w:val="00555ADC"/>
    <w:rsid w:val="00555AE9"/>
    <w:rsid w:val="00555AF2"/>
    <w:rsid w:val="00555B0D"/>
    <w:rsid w:val="00555B38"/>
    <w:rsid w:val="00555CFF"/>
    <w:rsid w:val="00555D44"/>
    <w:rsid w:val="00555DD2"/>
    <w:rsid w:val="00555E9A"/>
    <w:rsid w:val="00555FB8"/>
    <w:rsid w:val="00555FD7"/>
    <w:rsid w:val="00556122"/>
    <w:rsid w:val="00556123"/>
    <w:rsid w:val="00556240"/>
    <w:rsid w:val="00556252"/>
    <w:rsid w:val="0055625D"/>
    <w:rsid w:val="0055630B"/>
    <w:rsid w:val="00556372"/>
    <w:rsid w:val="005563CB"/>
    <w:rsid w:val="005565BA"/>
    <w:rsid w:val="00556652"/>
    <w:rsid w:val="00556694"/>
    <w:rsid w:val="005566C1"/>
    <w:rsid w:val="0055686B"/>
    <w:rsid w:val="0055687E"/>
    <w:rsid w:val="00556974"/>
    <w:rsid w:val="00556975"/>
    <w:rsid w:val="00556A1A"/>
    <w:rsid w:val="00556A95"/>
    <w:rsid w:val="00556B76"/>
    <w:rsid w:val="00556B8E"/>
    <w:rsid w:val="00556B94"/>
    <w:rsid w:val="00556C52"/>
    <w:rsid w:val="00556C80"/>
    <w:rsid w:val="00556CDC"/>
    <w:rsid w:val="00556CDF"/>
    <w:rsid w:val="00556D65"/>
    <w:rsid w:val="00556EB5"/>
    <w:rsid w:val="00556EBB"/>
    <w:rsid w:val="00556F85"/>
    <w:rsid w:val="005571A3"/>
    <w:rsid w:val="00557268"/>
    <w:rsid w:val="00557351"/>
    <w:rsid w:val="005573D2"/>
    <w:rsid w:val="0055740C"/>
    <w:rsid w:val="005574C8"/>
    <w:rsid w:val="00557596"/>
    <w:rsid w:val="0055760E"/>
    <w:rsid w:val="00557614"/>
    <w:rsid w:val="00557779"/>
    <w:rsid w:val="005577BF"/>
    <w:rsid w:val="0055782A"/>
    <w:rsid w:val="00557965"/>
    <w:rsid w:val="00557A6A"/>
    <w:rsid w:val="00557AEC"/>
    <w:rsid w:val="00557B1A"/>
    <w:rsid w:val="00557B66"/>
    <w:rsid w:val="00557E25"/>
    <w:rsid w:val="00557E4F"/>
    <w:rsid w:val="00557E73"/>
    <w:rsid w:val="00557EC4"/>
    <w:rsid w:val="00557F12"/>
    <w:rsid w:val="00557FB8"/>
    <w:rsid w:val="005600E1"/>
    <w:rsid w:val="005601B4"/>
    <w:rsid w:val="005601E7"/>
    <w:rsid w:val="00560380"/>
    <w:rsid w:val="00560539"/>
    <w:rsid w:val="0056056B"/>
    <w:rsid w:val="005605D5"/>
    <w:rsid w:val="005607E0"/>
    <w:rsid w:val="00560AD6"/>
    <w:rsid w:val="00560CA1"/>
    <w:rsid w:val="00560D3C"/>
    <w:rsid w:val="00560F1D"/>
    <w:rsid w:val="00560F2E"/>
    <w:rsid w:val="00560FE7"/>
    <w:rsid w:val="005610AB"/>
    <w:rsid w:val="005610C5"/>
    <w:rsid w:val="00561103"/>
    <w:rsid w:val="00561120"/>
    <w:rsid w:val="005611DB"/>
    <w:rsid w:val="00561382"/>
    <w:rsid w:val="005613E1"/>
    <w:rsid w:val="005616D7"/>
    <w:rsid w:val="005616DE"/>
    <w:rsid w:val="005616F7"/>
    <w:rsid w:val="0056171D"/>
    <w:rsid w:val="00561832"/>
    <w:rsid w:val="00561841"/>
    <w:rsid w:val="00561A3A"/>
    <w:rsid w:val="00561BAC"/>
    <w:rsid w:val="00561CCF"/>
    <w:rsid w:val="00561CE4"/>
    <w:rsid w:val="00561DB7"/>
    <w:rsid w:val="00561F56"/>
    <w:rsid w:val="00561FC5"/>
    <w:rsid w:val="00561FD1"/>
    <w:rsid w:val="00562073"/>
    <w:rsid w:val="005620CF"/>
    <w:rsid w:val="0056223E"/>
    <w:rsid w:val="005622AB"/>
    <w:rsid w:val="0056232B"/>
    <w:rsid w:val="00562378"/>
    <w:rsid w:val="00562431"/>
    <w:rsid w:val="005625A9"/>
    <w:rsid w:val="005625E4"/>
    <w:rsid w:val="005625F9"/>
    <w:rsid w:val="0056265E"/>
    <w:rsid w:val="0056269C"/>
    <w:rsid w:val="005627EA"/>
    <w:rsid w:val="00562836"/>
    <w:rsid w:val="00562993"/>
    <w:rsid w:val="00562AAA"/>
    <w:rsid w:val="00562AD0"/>
    <w:rsid w:val="00562B2E"/>
    <w:rsid w:val="00562C18"/>
    <w:rsid w:val="00562D7E"/>
    <w:rsid w:val="00562DA8"/>
    <w:rsid w:val="00562E30"/>
    <w:rsid w:val="00562F38"/>
    <w:rsid w:val="00562F88"/>
    <w:rsid w:val="0056303B"/>
    <w:rsid w:val="00563068"/>
    <w:rsid w:val="005630DC"/>
    <w:rsid w:val="0056312F"/>
    <w:rsid w:val="0056318E"/>
    <w:rsid w:val="005631F1"/>
    <w:rsid w:val="005632DC"/>
    <w:rsid w:val="0056331B"/>
    <w:rsid w:val="0056339A"/>
    <w:rsid w:val="00563416"/>
    <w:rsid w:val="005634C9"/>
    <w:rsid w:val="005635DA"/>
    <w:rsid w:val="00563661"/>
    <w:rsid w:val="005637DE"/>
    <w:rsid w:val="0056385C"/>
    <w:rsid w:val="00563919"/>
    <w:rsid w:val="00563933"/>
    <w:rsid w:val="005639F1"/>
    <w:rsid w:val="005639F3"/>
    <w:rsid w:val="00563AD6"/>
    <w:rsid w:val="00563C11"/>
    <w:rsid w:val="00563C4F"/>
    <w:rsid w:val="00563E0F"/>
    <w:rsid w:val="00563F24"/>
    <w:rsid w:val="00563FAA"/>
    <w:rsid w:val="0056404E"/>
    <w:rsid w:val="0056436F"/>
    <w:rsid w:val="0056454F"/>
    <w:rsid w:val="00564603"/>
    <w:rsid w:val="00564654"/>
    <w:rsid w:val="005647F3"/>
    <w:rsid w:val="00564817"/>
    <w:rsid w:val="00564822"/>
    <w:rsid w:val="005648C7"/>
    <w:rsid w:val="00564986"/>
    <w:rsid w:val="00564B63"/>
    <w:rsid w:val="00564BE6"/>
    <w:rsid w:val="00564C01"/>
    <w:rsid w:val="00564E6C"/>
    <w:rsid w:val="0056508D"/>
    <w:rsid w:val="005651E0"/>
    <w:rsid w:val="005653FA"/>
    <w:rsid w:val="005653FD"/>
    <w:rsid w:val="00565441"/>
    <w:rsid w:val="00565546"/>
    <w:rsid w:val="00565630"/>
    <w:rsid w:val="00565706"/>
    <w:rsid w:val="0056570E"/>
    <w:rsid w:val="00565C6B"/>
    <w:rsid w:val="00565CD8"/>
    <w:rsid w:val="00565F81"/>
    <w:rsid w:val="00565F83"/>
    <w:rsid w:val="00565FCA"/>
    <w:rsid w:val="0056609F"/>
    <w:rsid w:val="0056613B"/>
    <w:rsid w:val="005661B6"/>
    <w:rsid w:val="0056631E"/>
    <w:rsid w:val="00566551"/>
    <w:rsid w:val="0056674A"/>
    <w:rsid w:val="00566789"/>
    <w:rsid w:val="005668E7"/>
    <w:rsid w:val="005669FC"/>
    <w:rsid w:val="00566BA5"/>
    <w:rsid w:val="00566BF6"/>
    <w:rsid w:val="00566E69"/>
    <w:rsid w:val="00566EAF"/>
    <w:rsid w:val="00567057"/>
    <w:rsid w:val="0056719A"/>
    <w:rsid w:val="005671EA"/>
    <w:rsid w:val="00567257"/>
    <w:rsid w:val="005672FA"/>
    <w:rsid w:val="00567328"/>
    <w:rsid w:val="005673DA"/>
    <w:rsid w:val="005674CC"/>
    <w:rsid w:val="00567509"/>
    <w:rsid w:val="00567879"/>
    <w:rsid w:val="0056788F"/>
    <w:rsid w:val="00567891"/>
    <w:rsid w:val="005678A7"/>
    <w:rsid w:val="0056790F"/>
    <w:rsid w:val="0056792B"/>
    <w:rsid w:val="00567961"/>
    <w:rsid w:val="00567969"/>
    <w:rsid w:val="00567995"/>
    <w:rsid w:val="00567A56"/>
    <w:rsid w:val="00567BC6"/>
    <w:rsid w:val="00567CFB"/>
    <w:rsid w:val="00567DC7"/>
    <w:rsid w:val="00567EC2"/>
    <w:rsid w:val="00570029"/>
    <w:rsid w:val="00570037"/>
    <w:rsid w:val="005700B0"/>
    <w:rsid w:val="0057016F"/>
    <w:rsid w:val="005701E3"/>
    <w:rsid w:val="00570529"/>
    <w:rsid w:val="00570642"/>
    <w:rsid w:val="00570643"/>
    <w:rsid w:val="005706A1"/>
    <w:rsid w:val="005707BB"/>
    <w:rsid w:val="005708BA"/>
    <w:rsid w:val="00570ACE"/>
    <w:rsid w:val="00570AF7"/>
    <w:rsid w:val="00570CCB"/>
    <w:rsid w:val="00570DDD"/>
    <w:rsid w:val="00570DE7"/>
    <w:rsid w:val="00570E16"/>
    <w:rsid w:val="00570EE3"/>
    <w:rsid w:val="00570FD6"/>
    <w:rsid w:val="00570FF1"/>
    <w:rsid w:val="00571086"/>
    <w:rsid w:val="00571094"/>
    <w:rsid w:val="00571097"/>
    <w:rsid w:val="005710F4"/>
    <w:rsid w:val="0057119B"/>
    <w:rsid w:val="00571320"/>
    <w:rsid w:val="00571398"/>
    <w:rsid w:val="005714CF"/>
    <w:rsid w:val="00571500"/>
    <w:rsid w:val="0057152D"/>
    <w:rsid w:val="00571569"/>
    <w:rsid w:val="00571638"/>
    <w:rsid w:val="0057165B"/>
    <w:rsid w:val="00571848"/>
    <w:rsid w:val="00571A4C"/>
    <w:rsid w:val="00571AC3"/>
    <w:rsid w:val="00571C98"/>
    <w:rsid w:val="00571D8B"/>
    <w:rsid w:val="00571EBC"/>
    <w:rsid w:val="00571F5C"/>
    <w:rsid w:val="00571FDA"/>
    <w:rsid w:val="0057204E"/>
    <w:rsid w:val="00572236"/>
    <w:rsid w:val="0057227A"/>
    <w:rsid w:val="005722AA"/>
    <w:rsid w:val="005722D2"/>
    <w:rsid w:val="005722F7"/>
    <w:rsid w:val="00572335"/>
    <w:rsid w:val="0057235D"/>
    <w:rsid w:val="005723AA"/>
    <w:rsid w:val="005725DF"/>
    <w:rsid w:val="0057265C"/>
    <w:rsid w:val="005726D3"/>
    <w:rsid w:val="00572A18"/>
    <w:rsid w:val="00572B0C"/>
    <w:rsid w:val="00572B19"/>
    <w:rsid w:val="00572B4C"/>
    <w:rsid w:val="00572BE3"/>
    <w:rsid w:val="00572C44"/>
    <w:rsid w:val="00572D62"/>
    <w:rsid w:val="00572E0B"/>
    <w:rsid w:val="00572F5F"/>
    <w:rsid w:val="00573020"/>
    <w:rsid w:val="005731C2"/>
    <w:rsid w:val="005731E7"/>
    <w:rsid w:val="0057328D"/>
    <w:rsid w:val="00573437"/>
    <w:rsid w:val="00573445"/>
    <w:rsid w:val="00573723"/>
    <w:rsid w:val="00573753"/>
    <w:rsid w:val="00573848"/>
    <w:rsid w:val="00573879"/>
    <w:rsid w:val="00573918"/>
    <w:rsid w:val="005739ED"/>
    <w:rsid w:val="00573A0A"/>
    <w:rsid w:val="00573A58"/>
    <w:rsid w:val="00573AC0"/>
    <w:rsid w:val="00573B9A"/>
    <w:rsid w:val="00573C7A"/>
    <w:rsid w:val="00573C9F"/>
    <w:rsid w:val="00573CF5"/>
    <w:rsid w:val="00573D43"/>
    <w:rsid w:val="00573E90"/>
    <w:rsid w:val="00573F15"/>
    <w:rsid w:val="0057401C"/>
    <w:rsid w:val="00574087"/>
    <w:rsid w:val="00574195"/>
    <w:rsid w:val="0057429B"/>
    <w:rsid w:val="0057430C"/>
    <w:rsid w:val="00574498"/>
    <w:rsid w:val="00574577"/>
    <w:rsid w:val="005745D5"/>
    <w:rsid w:val="00574722"/>
    <w:rsid w:val="00574725"/>
    <w:rsid w:val="00574771"/>
    <w:rsid w:val="005747CE"/>
    <w:rsid w:val="00574893"/>
    <w:rsid w:val="00574906"/>
    <w:rsid w:val="00574911"/>
    <w:rsid w:val="0057499A"/>
    <w:rsid w:val="005749FE"/>
    <w:rsid w:val="00574A96"/>
    <w:rsid w:val="00574C00"/>
    <w:rsid w:val="00574D2E"/>
    <w:rsid w:val="00574D78"/>
    <w:rsid w:val="00574D96"/>
    <w:rsid w:val="00574F41"/>
    <w:rsid w:val="005750B3"/>
    <w:rsid w:val="0057513E"/>
    <w:rsid w:val="0057517A"/>
    <w:rsid w:val="0057519F"/>
    <w:rsid w:val="00575421"/>
    <w:rsid w:val="0057556B"/>
    <w:rsid w:val="005756B9"/>
    <w:rsid w:val="0057577B"/>
    <w:rsid w:val="00575783"/>
    <w:rsid w:val="00575956"/>
    <w:rsid w:val="00575969"/>
    <w:rsid w:val="005759B8"/>
    <w:rsid w:val="00575A2D"/>
    <w:rsid w:val="00575AD8"/>
    <w:rsid w:val="00575B8D"/>
    <w:rsid w:val="00575BA2"/>
    <w:rsid w:val="00575BC0"/>
    <w:rsid w:val="00575C00"/>
    <w:rsid w:val="00575C2D"/>
    <w:rsid w:val="00575C97"/>
    <w:rsid w:val="00575D05"/>
    <w:rsid w:val="00575D3A"/>
    <w:rsid w:val="00575E54"/>
    <w:rsid w:val="00575EEB"/>
    <w:rsid w:val="00575FE0"/>
    <w:rsid w:val="00576040"/>
    <w:rsid w:val="0057611D"/>
    <w:rsid w:val="00576136"/>
    <w:rsid w:val="0057616E"/>
    <w:rsid w:val="00576181"/>
    <w:rsid w:val="005762F2"/>
    <w:rsid w:val="0057636C"/>
    <w:rsid w:val="005763CF"/>
    <w:rsid w:val="00576404"/>
    <w:rsid w:val="00576435"/>
    <w:rsid w:val="00576452"/>
    <w:rsid w:val="005764CE"/>
    <w:rsid w:val="00576572"/>
    <w:rsid w:val="0057657A"/>
    <w:rsid w:val="005765E3"/>
    <w:rsid w:val="0057662F"/>
    <w:rsid w:val="005766E3"/>
    <w:rsid w:val="00576D38"/>
    <w:rsid w:val="00576E2B"/>
    <w:rsid w:val="0057701F"/>
    <w:rsid w:val="0057704B"/>
    <w:rsid w:val="00577061"/>
    <w:rsid w:val="00577163"/>
    <w:rsid w:val="00577191"/>
    <w:rsid w:val="00577193"/>
    <w:rsid w:val="0057722A"/>
    <w:rsid w:val="0057736E"/>
    <w:rsid w:val="00577380"/>
    <w:rsid w:val="00577457"/>
    <w:rsid w:val="0057757F"/>
    <w:rsid w:val="005775B4"/>
    <w:rsid w:val="00577788"/>
    <w:rsid w:val="005777A3"/>
    <w:rsid w:val="005777DB"/>
    <w:rsid w:val="00577820"/>
    <w:rsid w:val="005779B9"/>
    <w:rsid w:val="005779F1"/>
    <w:rsid w:val="00577A4A"/>
    <w:rsid w:val="00577ABD"/>
    <w:rsid w:val="00577B55"/>
    <w:rsid w:val="00577C8E"/>
    <w:rsid w:val="00577D21"/>
    <w:rsid w:val="00577E5B"/>
    <w:rsid w:val="00577E86"/>
    <w:rsid w:val="00577F53"/>
    <w:rsid w:val="00577FE7"/>
    <w:rsid w:val="005800BD"/>
    <w:rsid w:val="00580140"/>
    <w:rsid w:val="005801A3"/>
    <w:rsid w:val="0058029A"/>
    <w:rsid w:val="0058029D"/>
    <w:rsid w:val="005802D9"/>
    <w:rsid w:val="00580302"/>
    <w:rsid w:val="00580374"/>
    <w:rsid w:val="00580436"/>
    <w:rsid w:val="00580474"/>
    <w:rsid w:val="005804A1"/>
    <w:rsid w:val="0058056D"/>
    <w:rsid w:val="005805DD"/>
    <w:rsid w:val="0058065C"/>
    <w:rsid w:val="0058068B"/>
    <w:rsid w:val="00580704"/>
    <w:rsid w:val="00580705"/>
    <w:rsid w:val="005807F8"/>
    <w:rsid w:val="00580844"/>
    <w:rsid w:val="00580887"/>
    <w:rsid w:val="00580895"/>
    <w:rsid w:val="00580945"/>
    <w:rsid w:val="005809F1"/>
    <w:rsid w:val="005809F3"/>
    <w:rsid w:val="00580A58"/>
    <w:rsid w:val="00580A71"/>
    <w:rsid w:val="00580B35"/>
    <w:rsid w:val="00580BBA"/>
    <w:rsid w:val="00580BFB"/>
    <w:rsid w:val="00580C98"/>
    <w:rsid w:val="00580CF0"/>
    <w:rsid w:val="00580CFE"/>
    <w:rsid w:val="00580DDA"/>
    <w:rsid w:val="00580E12"/>
    <w:rsid w:val="00580E68"/>
    <w:rsid w:val="00580F32"/>
    <w:rsid w:val="00581028"/>
    <w:rsid w:val="005810C5"/>
    <w:rsid w:val="00581298"/>
    <w:rsid w:val="005812B1"/>
    <w:rsid w:val="0058131F"/>
    <w:rsid w:val="00581430"/>
    <w:rsid w:val="005814E8"/>
    <w:rsid w:val="00581551"/>
    <w:rsid w:val="00581916"/>
    <w:rsid w:val="00581930"/>
    <w:rsid w:val="0058196A"/>
    <w:rsid w:val="00581CE6"/>
    <w:rsid w:val="00581D35"/>
    <w:rsid w:val="00581E69"/>
    <w:rsid w:val="00581F44"/>
    <w:rsid w:val="00582042"/>
    <w:rsid w:val="0058215D"/>
    <w:rsid w:val="0058217E"/>
    <w:rsid w:val="005821DB"/>
    <w:rsid w:val="005822B2"/>
    <w:rsid w:val="00582313"/>
    <w:rsid w:val="00582344"/>
    <w:rsid w:val="0058238B"/>
    <w:rsid w:val="0058240E"/>
    <w:rsid w:val="0058267A"/>
    <w:rsid w:val="005827E9"/>
    <w:rsid w:val="005827EA"/>
    <w:rsid w:val="00582991"/>
    <w:rsid w:val="005829D4"/>
    <w:rsid w:val="00582B88"/>
    <w:rsid w:val="00582CCA"/>
    <w:rsid w:val="00582EB3"/>
    <w:rsid w:val="005831A9"/>
    <w:rsid w:val="005831BA"/>
    <w:rsid w:val="0058320F"/>
    <w:rsid w:val="005833F8"/>
    <w:rsid w:val="0058343E"/>
    <w:rsid w:val="00583469"/>
    <w:rsid w:val="005835BA"/>
    <w:rsid w:val="005836BB"/>
    <w:rsid w:val="005837A1"/>
    <w:rsid w:val="00583912"/>
    <w:rsid w:val="005839AC"/>
    <w:rsid w:val="00583A34"/>
    <w:rsid w:val="00583BA9"/>
    <w:rsid w:val="00583C20"/>
    <w:rsid w:val="00583CA8"/>
    <w:rsid w:val="00583CAE"/>
    <w:rsid w:val="00583D44"/>
    <w:rsid w:val="00583EC6"/>
    <w:rsid w:val="00583F9E"/>
    <w:rsid w:val="00583FFD"/>
    <w:rsid w:val="00584055"/>
    <w:rsid w:val="005840EE"/>
    <w:rsid w:val="00584212"/>
    <w:rsid w:val="00584330"/>
    <w:rsid w:val="005843DF"/>
    <w:rsid w:val="0058455B"/>
    <w:rsid w:val="00584625"/>
    <w:rsid w:val="0058473D"/>
    <w:rsid w:val="005847C8"/>
    <w:rsid w:val="00584952"/>
    <w:rsid w:val="005849B8"/>
    <w:rsid w:val="00584A4E"/>
    <w:rsid w:val="00584AE9"/>
    <w:rsid w:val="00584B22"/>
    <w:rsid w:val="00584C42"/>
    <w:rsid w:val="00584DCB"/>
    <w:rsid w:val="00584E0C"/>
    <w:rsid w:val="00585072"/>
    <w:rsid w:val="00585087"/>
    <w:rsid w:val="005850D9"/>
    <w:rsid w:val="00585112"/>
    <w:rsid w:val="00585232"/>
    <w:rsid w:val="00585260"/>
    <w:rsid w:val="00585504"/>
    <w:rsid w:val="00585536"/>
    <w:rsid w:val="00585592"/>
    <w:rsid w:val="005855B0"/>
    <w:rsid w:val="005855C2"/>
    <w:rsid w:val="005855F6"/>
    <w:rsid w:val="005857EE"/>
    <w:rsid w:val="00585896"/>
    <w:rsid w:val="0058591F"/>
    <w:rsid w:val="005859C8"/>
    <w:rsid w:val="005859E4"/>
    <w:rsid w:val="00585A8A"/>
    <w:rsid w:val="00585ACC"/>
    <w:rsid w:val="00585BA5"/>
    <w:rsid w:val="00585CAA"/>
    <w:rsid w:val="00585E09"/>
    <w:rsid w:val="00585E16"/>
    <w:rsid w:val="00585E23"/>
    <w:rsid w:val="00585E9F"/>
    <w:rsid w:val="00585EDE"/>
    <w:rsid w:val="00585FD3"/>
    <w:rsid w:val="00586038"/>
    <w:rsid w:val="00586063"/>
    <w:rsid w:val="0058618D"/>
    <w:rsid w:val="005861AA"/>
    <w:rsid w:val="00586308"/>
    <w:rsid w:val="0058631C"/>
    <w:rsid w:val="00586449"/>
    <w:rsid w:val="005864DD"/>
    <w:rsid w:val="0058657E"/>
    <w:rsid w:val="00586638"/>
    <w:rsid w:val="00586857"/>
    <w:rsid w:val="00586ADB"/>
    <w:rsid w:val="00586B8D"/>
    <w:rsid w:val="00586BB9"/>
    <w:rsid w:val="00586D48"/>
    <w:rsid w:val="00586EA0"/>
    <w:rsid w:val="00586FED"/>
    <w:rsid w:val="00587009"/>
    <w:rsid w:val="0058707F"/>
    <w:rsid w:val="0058713D"/>
    <w:rsid w:val="005871B4"/>
    <w:rsid w:val="005873EF"/>
    <w:rsid w:val="005874CC"/>
    <w:rsid w:val="0058753B"/>
    <w:rsid w:val="0058765C"/>
    <w:rsid w:val="005876CE"/>
    <w:rsid w:val="0058781F"/>
    <w:rsid w:val="005878E5"/>
    <w:rsid w:val="00587905"/>
    <w:rsid w:val="005879A0"/>
    <w:rsid w:val="00587A2C"/>
    <w:rsid w:val="00587AB9"/>
    <w:rsid w:val="00587B8A"/>
    <w:rsid w:val="00587C7B"/>
    <w:rsid w:val="00587C87"/>
    <w:rsid w:val="00587C9F"/>
    <w:rsid w:val="00587CDA"/>
    <w:rsid w:val="00587E2A"/>
    <w:rsid w:val="00587E6A"/>
    <w:rsid w:val="00587FC9"/>
    <w:rsid w:val="00587FD2"/>
    <w:rsid w:val="00590029"/>
    <w:rsid w:val="005900C2"/>
    <w:rsid w:val="00590141"/>
    <w:rsid w:val="005901F1"/>
    <w:rsid w:val="00590226"/>
    <w:rsid w:val="00590240"/>
    <w:rsid w:val="00590301"/>
    <w:rsid w:val="00590375"/>
    <w:rsid w:val="005905AD"/>
    <w:rsid w:val="005908B7"/>
    <w:rsid w:val="0059099E"/>
    <w:rsid w:val="00590A43"/>
    <w:rsid w:val="00590AA0"/>
    <w:rsid w:val="00590B2C"/>
    <w:rsid w:val="00590C79"/>
    <w:rsid w:val="00590D93"/>
    <w:rsid w:val="00590DC0"/>
    <w:rsid w:val="00590DD7"/>
    <w:rsid w:val="00590E0D"/>
    <w:rsid w:val="00591021"/>
    <w:rsid w:val="005910F6"/>
    <w:rsid w:val="005912AC"/>
    <w:rsid w:val="00591300"/>
    <w:rsid w:val="005915C4"/>
    <w:rsid w:val="0059164B"/>
    <w:rsid w:val="00591661"/>
    <w:rsid w:val="00591718"/>
    <w:rsid w:val="0059182A"/>
    <w:rsid w:val="00591834"/>
    <w:rsid w:val="00591A77"/>
    <w:rsid w:val="00591AF7"/>
    <w:rsid w:val="00591B69"/>
    <w:rsid w:val="00591BF2"/>
    <w:rsid w:val="00591C7A"/>
    <w:rsid w:val="00591D0A"/>
    <w:rsid w:val="00591D7B"/>
    <w:rsid w:val="00591D87"/>
    <w:rsid w:val="00591EE8"/>
    <w:rsid w:val="00591FAE"/>
    <w:rsid w:val="005920FD"/>
    <w:rsid w:val="00592189"/>
    <w:rsid w:val="00592452"/>
    <w:rsid w:val="00592478"/>
    <w:rsid w:val="0059247C"/>
    <w:rsid w:val="005924B7"/>
    <w:rsid w:val="00592792"/>
    <w:rsid w:val="005929B0"/>
    <w:rsid w:val="005929BA"/>
    <w:rsid w:val="00592B65"/>
    <w:rsid w:val="00592D45"/>
    <w:rsid w:val="00592DC7"/>
    <w:rsid w:val="00592E82"/>
    <w:rsid w:val="00592E9F"/>
    <w:rsid w:val="00592EC9"/>
    <w:rsid w:val="00592EFA"/>
    <w:rsid w:val="0059306F"/>
    <w:rsid w:val="00593088"/>
    <w:rsid w:val="005932A1"/>
    <w:rsid w:val="00593405"/>
    <w:rsid w:val="0059344D"/>
    <w:rsid w:val="005935E3"/>
    <w:rsid w:val="005936EF"/>
    <w:rsid w:val="00593845"/>
    <w:rsid w:val="005939D5"/>
    <w:rsid w:val="00593AB3"/>
    <w:rsid w:val="00593B75"/>
    <w:rsid w:val="00593B97"/>
    <w:rsid w:val="00593BBC"/>
    <w:rsid w:val="00593CA4"/>
    <w:rsid w:val="00593E7D"/>
    <w:rsid w:val="00593F90"/>
    <w:rsid w:val="0059404D"/>
    <w:rsid w:val="00594349"/>
    <w:rsid w:val="005944A2"/>
    <w:rsid w:val="0059459C"/>
    <w:rsid w:val="0059462A"/>
    <w:rsid w:val="005946FA"/>
    <w:rsid w:val="005946FC"/>
    <w:rsid w:val="0059472B"/>
    <w:rsid w:val="00594734"/>
    <w:rsid w:val="00594753"/>
    <w:rsid w:val="005947DD"/>
    <w:rsid w:val="0059489F"/>
    <w:rsid w:val="00594AF9"/>
    <w:rsid w:val="00594BDA"/>
    <w:rsid w:val="00594C01"/>
    <w:rsid w:val="00594C79"/>
    <w:rsid w:val="00594CD4"/>
    <w:rsid w:val="00594DE2"/>
    <w:rsid w:val="00594E3B"/>
    <w:rsid w:val="00594E8F"/>
    <w:rsid w:val="00594EA1"/>
    <w:rsid w:val="00594EE4"/>
    <w:rsid w:val="00594F14"/>
    <w:rsid w:val="00594FCC"/>
    <w:rsid w:val="005950AB"/>
    <w:rsid w:val="005953CF"/>
    <w:rsid w:val="005953F5"/>
    <w:rsid w:val="0059541B"/>
    <w:rsid w:val="00595472"/>
    <w:rsid w:val="005954BA"/>
    <w:rsid w:val="00595533"/>
    <w:rsid w:val="0059559F"/>
    <w:rsid w:val="005956B0"/>
    <w:rsid w:val="005957D4"/>
    <w:rsid w:val="00595800"/>
    <w:rsid w:val="00595817"/>
    <w:rsid w:val="0059585B"/>
    <w:rsid w:val="005958F0"/>
    <w:rsid w:val="00595907"/>
    <w:rsid w:val="0059592E"/>
    <w:rsid w:val="00595A5F"/>
    <w:rsid w:val="00595ACB"/>
    <w:rsid w:val="00595AFA"/>
    <w:rsid w:val="00595C9A"/>
    <w:rsid w:val="00595F69"/>
    <w:rsid w:val="00595FDA"/>
    <w:rsid w:val="00596026"/>
    <w:rsid w:val="0059602D"/>
    <w:rsid w:val="005960EE"/>
    <w:rsid w:val="00596167"/>
    <w:rsid w:val="00596213"/>
    <w:rsid w:val="005963F3"/>
    <w:rsid w:val="00596450"/>
    <w:rsid w:val="0059658C"/>
    <w:rsid w:val="00596641"/>
    <w:rsid w:val="005966F8"/>
    <w:rsid w:val="00596760"/>
    <w:rsid w:val="005968D6"/>
    <w:rsid w:val="0059698C"/>
    <w:rsid w:val="00596B82"/>
    <w:rsid w:val="00596BF6"/>
    <w:rsid w:val="00596C5B"/>
    <w:rsid w:val="00596C68"/>
    <w:rsid w:val="00596C96"/>
    <w:rsid w:val="00596D8D"/>
    <w:rsid w:val="00596DA5"/>
    <w:rsid w:val="00596E84"/>
    <w:rsid w:val="00596E9C"/>
    <w:rsid w:val="00596EE0"/>
    <w:rsid w:val="00597048"/>
    <w:rsid w:val="00597090"/>
    <w:rsid w:val="005970DC"/>
    <w:rsid w:val="00597169"/>
    <w:rsid w:val="005971C9"/>
    <w:rsid w:val="0059721D"/>
    <w:rsid w:val="005972CC"/>
    <w:rsid w:val="0059732F"/>
    <w:rsid w:val="0059751E"/>
    <w:rsid w:val="0059761D"/>
    <w:rsid w:val="00597676"/>
    <w:rsid w:val="005976ED"/>
    <w:rsid w:val="005977B5"/>
    <w:rsid w:val="005977CF"/>
    <w:rsid w:val="005978B6"/>
    <w:rsid w:val="005978D1"/>
    <w:rsid w:val="005978EA"/>
    <w:rsid w:val="00597925"/>
    <w:rsid w:val="0059795E"/>
    <w:rsid w:val="005979A4"/>
    <w:rsid w:val="005979BD"/>
    <w:rsid w:val="005979D1"/>
    <w:rsid w:val="00597A05"/>
    <w:rsid w:val="00597A56"/>
    <w:rsid w:val="00597B37"/>
    <w:rsid w:val="00597C3C"/>
    <w:rsid w:val="00597CE9"/>
    <w:rsid w:val="00597D39"/>
    <w:rsid w:val="00597E8C"/>
    <w:rsid w:val="00597EEC"/>
    <w:rsid w:val="00597F06"/>
    <w:rsid w:val="00597FC7"/>
    <w:rsid w:val="00597FD2"/>
    <w:rsid w:val="005A0056"/>
    <w:rsid w:val="005A0247"/>
    <w:rsid w:val="005A032C"/>
    <w:rsid w:val="005A03DC"/>
    <w:rsid w:val="005A0421"/>
    <w:rsid w:val="005A044C"/>
    <w:rsid w:val="005A044D"/>
    <w:rsid w:val="005A05E5"/>
    <w:rsid w:val="005A05E6"/>
    <w:rsid w:val="005A071F"/>
    <w:rsid w:val="005A0781"/>
    <w:rsid w:val="005A0A4D"/>
    <w:rsid w:val="005A0AA4"/>
    <w:rsid w:val="005A0AF7"/>
    <w:rsid w:val="005A0B77"/>
    <w:rsid w:val="005A0B99"/>
    <w:rsid w:val="005A0CF0"/>
    <w:rsid w:val="005A0D84"/>
    <w:rsid w:val="005A0DF9"/>
    <w:rsid w:val="005A0E51"/>
    <w:rsid w:val="005A0E80"/>
    <w:rsid w:val="005A0E99"/>
    <w:rsid w:val="005A0EC2"/>
    <w:rsid w:val="005A0F59"/>
    <w:rsid w:val="005A1061"/>
    <w:rsid w:val="005A116B"/>
    <w:rsid w:val="005A126B"/>
    <w:rsid w:val="005A1283"/>
    <w:rsid w:val="005A1343"/>
    <w:rsid w:val="005A136C"/>
    <w:rsid w:val="005A13BC"/>
    <w:rsid w:val="005A159B"/>
    <w:rsid w:val="005A164C"/>
    <w:rsid w:val="005A16D4"/>
    <w:rsid w:val="005A16D6"/>
    <w:rsid w:val="005A17A4"/>
    <w:rsid w:val="005A1822"/>
    <w:rsid w:val="005A18B0"/>
    <w:rsid w:val="005A193A"/>
    <w:rsid w:val="005A1A1E"/>
    <w:rsid w:val="005A1B10"/>
    <w:rsid w:val="005A1CA5"/>
    <w:rsid w:val="005A1CFB"/>
    <w:rsid w:val="005A1D65"/>
    <w:rsid w:val="005A1D79"/>
    <w:rsid w:val="005A1DA4"/>
    <w:rsid w:val="005A1DD2"/>
    <w:rsid w:val="005A1F10"/>
    <w:rsid w:val="005A1F96"/>
    <w:rsid w:val="005A2079"/>
    <w:rsid w:val="005A20A0"/>
    <w:rsid w:val="005A20FF"/>
    <w:rsid w:val="005A21FE"/>
    <w:rsid w:val="005A2316"/>
    <w:rsid w:val="005A2321"/>
    <w:rsid w:val="005A23AD"/>
    <w:rsid w:val="005A2595"/>
    <w:rsid w:val="005A25BB"/>
    <w:rsid w:val="005A260F"/>
    <w:rsid w:val="005A2622"/>
    <w:rsid w:val="005A266F"/>
    <w:rsid w:val="005A26D8"/>
    <w:rsid w:val="005A282F"/>
    <w:rsid w:val="005A296F"/>
    <w:rsid w:val="005A2984"/>
    <w:rsid w:val="005A29B0"/>
    <w:rsid w:val="005A29EB"/>
    <w:rsid w:val="005A2A16"/>
    <w:rsid w:val="005A2A28"/>
    <w:rsid w:val="005A2B5A"/>
    <w:rsid w:val="005A2C07"/>
    <w:rsid w:val="005A2D26"/>
    <w:rsid w:val="005A2D97"/>
    <w:rsid w:val="005A2E16"/>
    <w:rsid w:val="005A2FB9"/>
    <w:rsid w:val="005A2FCA"/>
    <w:rsid w:val="005A3011"/>
    <w:rsid w:val="005A303E"/>
    <w:rsid w:val="005A31EA"/>
    <w:rsid w:val="005A3205"/>
    <w:rsid w:val="005A3285"/>
    <w:rsid w:val="005A339A"/>
    <w:rsid w:val="005A340C"/>
    <w:rsid w:val="005A36F1"/>
    <w:rsid w:val="005A3773"/>
    <w:rsid w:val="005A37F3"/>
    <w:rsid w:val="005A3949"/>
    <w:rsid w:val="005A3A62"/>
    <w:rsid w:val="005A3ADA"/>
    <w:rsid w:val="005A3BDF"/>
    <w:rsid w:val="005A3C2E"/>
    <w:rsid w:val="005A3C51"/>
    <w:rsid w:val="005A3C55"/>
    <w:rsid w:val="005A3C8A"/>
    <w:rsid w:val="005A3E20"/>
    <w:rsid w:val="005A3E53"/>
    <w:rsid w:val="005A3E8A"/>
    <w:rsid w:val="005A3F8C"/>
    <w:rsid w:val="005A419C"/>
    <w:rsid w:val="005A41CF"/>
    <w:rsid w:val="005A4250"/>
    <w:rsid w:val="005A428A"/>
    <w:rsid w:val="005A42E6"/>
    <w:rsid w:val="005A4472"/>
    <w:rsid w:val="005A44B4"/>
    <w:rsid w:val="005A452B"/>
    <w:rsid w:val="005A45C9"/>
    <w:rsid w:val="005A4780"/>
    <w:rsid w:val="005A479C"/>
    <w:rsid w:val="005A4826"/>
    <w:rsid w:val="005A4833"/>
    <w:rsid w:val="005A4856"/>
    <w:rsid w:val="005A48CA"/>
    <w:rsid w:val="005A4B81"/>
    <w:rsid w:val="005A4BDB"/>
    <w:rsid w:val="005A4E71"/>
    <w:rsid w:val="005A5024"/>
    <w:rsid w:val="005A5035"/>
    <w:rsid w:val="005A50E2"/>
    <w:rsid w:val="005A5130"/>
    <w:rsid w:val="005A513C"/>
    <w:rsid w:val="005A514A"/>
    <w:rsid w:val="005A51B7"/>
    <w:rsid w:val="005A520E"/>
    <w:rsid w:val="005A52EB"/>
    <w:rsid w:val="005A535B"/>
    <w:rsid w:val="005A540E"/>
    <w:rsid w:val="005A5537"/>
    <w:rsid w:val="005A5590"/>
    <w:rsid w:val="005A55CB"/>
    <w:rsid w:val="005A5652"/>
    <w:rsid w:val="005A577E"/>
    <w:rsid w:val="005A57CA"/>
    <w:rsid w:val="005A5830"/>
    <w:rsid w:val="005A5859"/>
    <w:rsid w:val="005A58B0"/>
    <w:rsid w:val="005A58B9"/>
    <w:rsid w:val="005A5AE2"/>
    <w:rsid w:val="005A5B4C"/>
    <w:rsid w:val="005A5BB2"/>
    <w:rsid w:val="005A5C95"/>
    <w:rsid w:val="005A5D12"/>
    <w:rsid w:val="005A5DB8"/>
    <w:rsid w:val="005A5E8E"/>
    <w:rsid w:val="005A5EA6"/>
    <w:rsid w:val="005A5F7A"/>
    <w:rsid w:val="005A5FA8"/>
    <w:rsid w:val="005A6289"/>
    <w:rsid w:val="005A628F"/>
    <w:rsid w:val="005A635E"/>
    <w:rsid w:val="005A63FB"/>
    <w:rsid w:val="005A645C"/>
    <w:rsid w:val="005A6620"/>
    <w:rsid w:val="005A667B"/>
    <w:rsid w:val="005A6764"/>
    <w:rsid w:val="005A6851"/>
    <w:rsid w:val="005A6904"/>
    <w:rsid w:val="005A6CA5"/>
    <w:rsid w:val="005A6CD4"/>
    <w:rsid w:val="005A6FFF"/>
    <w:rsid w:val="005A7182"/>
    <w:rsid w:val="005A7202"/>
    <w:rsid w:val="005A723B"/>
    <w:rsid w:val="005A72E9"/>
    <w:rsid w:val="005A753E"/>
    <w:rsid w:val="005A75F2"/>
    <w:rsid w:val="005A7792"/>
    <w:rsid w:val="005A77D5"/>
    <w:rsid w:val="005A78DC"/>
    <w:rsid w:val="005A794A"/>
    <w:rsid w:val="005A79C5"/>
    <w:rsid w:val="005A79CE"/>
    <w:rsid w:val="005A79DE"/>
    <w:rsid w:val="005A7A2E"/>
    <w:rsid w:val="005A7B11"/>
    <w:rsid w:val="005A7B46"/>
    <w:rsid w:val="005A7C5B"/>
    <w:rsid w:val="005A7CD8"/>
    <w:rsid w:val="005A7D2D"/>
    <w:rsid w:val="005A7D94"/>
    <w:rsid w:val="005A7ED9"/>
    <w:rsid w:val="005B0016"/>
    <w:rsid w:val="005B0063"/>
    <w:rsid w:val="005B00F4"/>
    <w:rsid w:val="005B015F"/>
    <w:rsid w:val="005B017E"/>
    <w:rsid w:val="005B01AF"/>
    <w:rsid w:val="005B022C"/>
    <w:rsid w:val="005B024A"/>
    <w:rsid w:val="005B02E1"/>
    <w:rsid w:val="005B03B7"/>
    <w:rsid w:val="005B0428"/>
    <w:rsid w:val="005B048F"/>
    <w:rsid w:val="005B04D1"/>
    <w:rsid w:val="005B073A"/>
    <w:rsid w:val="005B076D"/>
    <w:rsid w:val="005B07D3"/>
    <w:rsid w:val="005B08B7"/>
    <w:rsid w:val="005B0969"/>
    <w:rsid w:val="005B0B23"/>
    <w:rsid w:val="005B0B46"/>
    <w:rsid w:val="005B0B54"/>
    <w:rsid w:val="005B0BD9"/>
    <w:rsid w:val="005B0C3C"/>
    <w:rsid w:val="005B0E23"/>
    <w:rsid w:val="005B0E7E"/>
    <w:rsid w:val="005B1245"/>
    <w:rsid w:val="005B125F"/>
    <w:rsid w:val="005B1589"/>
    <w:rsid w:val="005B1657"/>
    <w:rsid w:val="005B1707"/>
    <w:rsid w:val="005B170E"/>
    <w:rsid w:val="005B1723"/>
    <w:rsid w:val="005B176C"/>
    <w:rsid w:val="005B179E"/>
    <w:rsid w:val="005B17EF"/>
    <w:rsid w:val="005B19C8"/>
    <w:rsid w:val="005B19F3"/>
    <w:rsid w:val="005B1ACB"/>
    <w:rsid w:val="005B1B59"/>
    <w:rsid w:val="005B1C4B"/>
    <w:rsid w:val="005B1C95"/>
    <w:rsid w:val="005B1DAB"/>
    <w:rsid w:val="005B1E9B"/>
    <w:rsid w:val="005B1EB6"/>
    <w:rsid w:val="005B1F34"/>
    <w:rsid w:val="005B1FCD"/>
    <w:rsid w:val="005B2008"/>
    <w:rsid w:val="005B205E"/>
    <w:rsid w:val="005B20F0"/>
    <w:rsid w:val="005B21DC"/>
    <w:rsid w:val="005B237E"/>
    <w:rsid w:val="005B23B6"/>
    <w:rsid w:val="005B241E"/>
    <w:rsid w:val="005B2431"/>
    <w:rsid w:val="005B246E"/>
    <w:rsid w:val="005B2482"/>
    <w:rsid w:val="005B26EE"/>
    <w:rsid w:val="005B277A"/>
    <w:rsid w:val="005B285F"/>
    <w:rsid w:val="005B2876"/>
    <w:rsid w:val="005B2979"/>
    <w:rsid w:val="005B2995"/>
    <w:rsid w:val="005B29A3"/>
    <w:rsid w:val="005B29B5"/>
    <w:rsid w:val="005B2A01"/>
    <w:rsid w:val="005B2AAF"/>
    <w:rsid w:val="005B2BE6"/>
    <w:rsid w:val="005B2EA9"/>
    <w:rsid w:val="005B2F77"/>
    <w:rsid w:val="005B2FB0"/>
    <w:rsid w:val="005B2FDE"/>
    <w:rsid w:val="005B3160"/>
    <w:rsid w:val="005B32DF"/>
    <w:rsid w:val="005B33C2"/>
    <w:rsid w:val="005B341E"/>
    <w:rsid w:val="005B37F8"/>
    <w:rsid w:val="005B38CA"/>
    <w:rsid w:val="005B3971"/>
    <w:rsid w:val="005B3981"/>
    <w:rsid w:val="005B398C"/>
    <w:rsid w:val="005B399E"/>
    <w:rsid w:val="005B3B5C"/>
    <w:rsid w:val="005B3BA3"/>
    <w:rsid w:val="005B3DB9"/>
    <w:rsid w:val="005B3F04"/>
    <w:rsid w:val="005B3F76"/>
    <w:rsid w:val="005B3FB6"/>
    <w:rsid w:val="005B407F"/>
    <w:rsid w:val="005B4142"/>
    <w:rsid w:val="005B41FB"/>
    <w:rsid w:val="005B4232"/>
    <w:rsid w:val="005B4256"/>
    <w:rsid w:val="005B4283"/>
    <w:rsid w:val="005B4287"/>
    <w:rsid w:val="005B42D5"/>
    <w:rsid w:val="005B46E1"/>
    <w:rsid w:val="005B4765"/>
    <w:rsid w:val="005B4800"/>
    <w:rsid w:val="005B488C"/>
    <w:rsid w:val="005B4986"/>
    <w:rsid w:val="005B49CC"/>
    <w:rsid w:val="005B49D4"/>
    <w:rsid w:val="005B4BB9"/>
    <w:rsid w:val="005B4BFB"/>
    <w:rsid w:val="005B4C6B"/>
    <w:rsid w:val="005B4C96"/>
    <w:rsid w:val="005B4CB1"/>
    <w:rsid w:val="005B4D18"/>
    <w:rsid w:val="005B4E95"/>
    <w:rsid w:val="005B4F55"/>
    <w:rsid w:val="005B5006"/>
    <w:rsid w:val="005B500C"/>
    <w:rsid w:val="005B511D"/>
    <w:rsid w:val="005B5156"/>
    <w:rsid w:val="005B5157"/>
    <w:rsid w:val="005B5288"/>
    <w:rsid w:val="005B53AD"/>
    <w:rsid w:val="005B53D0"/>
    <w:rsid w:val="005B55C6"/>
    <w:rsid w:val="005B568B"/>
    <w:rsid w:val="005B56AD"/>
    <w:rsid w:val="005B5A67"/>
    <w:rsid w:val="005B5A91"/>
    <w:rsid w:val="005B5A9E"/>
    <w:rsid w:val="005B5B80"/>
    <w:rsid w:val="005B5C26"/>
    <w:rsid w:val="005B5C2C"/>
    <w:rsid w:val="005B5C85"/>
    <w:rsid w:val="005B5E9A"/>
    <w:rsid w:val="005B5F73"/>
    <w:rsid w:val="005B6041"/>
    <w:rsid w:val="005B61E7"/>
    <w:rsid w:val="005B63C3"/>
    <w:rsid w:val="005B6430"/>
    <w:rsid w:val="005B65BC"/>
    <w:rsid w:val="005B65C4"/>
    <w:rsid w:val="005B65DB"/>
    <w:rsid w:val="005B69F6"/>
    <w:rsid w:val="005B6AF5"/>
    <w:rsid w:val="005B6B68"/>
    <w:rsid w:val="005B6B74"/>
    <w:rsid w:val="005B6C7D"/>
    <w:rsid w:val="005B6D66"/>
    <w:rsid w:val="005B6E29"/>
    <w:rsid w:val="005B6E65"/>
    <w:rsid w:val="005B6E69"/>
    <w:rsid w:val="005B6FDB"/>
    <w:rsid w:val="005B6FF6"/>
    <w:rsid w:val="005B7180"/>
    <w:rsid w:val="005B721F"/>
    <w:rsid w:val="005B7247"/>
    <w:rsid w:val="005B7493"/>
    <w:rsid w:val="005B750A"/>
    <w:rsid w:val="005B7535"/>
    <w:rsid w:val="005B75DB"/>
    <w:rsid w:val="005B7936"/>
    <w:rsid w:val="005B7A77"/>
    <w:rsid w:val="005B7BEC"/>
    <w:rsid w:val="005B7CF6"/>
    <w:rsid w:val="005B7D2F"/>
    <w:rsid w:val="005B7D5F"/>
    <w:rsid w:val="005B7EF9"/>
    <w:rsid w:val="005C0112"/>
    <w:rsid w:val="005C0145"/>
    <w:rsid w:val="005C01E0"/>
    <w:rsid w:val="005C036C"/>
    <w:rsid w:val="005C0381"/>
    <w:rsid w:val="005C0384"/>
    <w:rsid w:val="005C05B8"/>
    <w:rsid w:val="005C0764"/>
    <w:rsid w:val="005C09AC"/>
    <w:rsid w:val="005C0A66"/>
    <w:rsid w:val="005C0C4C"/>
    <w:rsid w:val="005C0D61"/>
    <w:rsid w:val="005C0DAE"/>
    <w:rsid w:val="005C0EBB"/>
    <w:rsid w:val="005C1151"/>
    <w:rsid w:val="005C1213"/>
    <w:rsid w:val="005C13B4"/>
    <w:rsid w:val="005C14BD"/>
    <w:rsid w:val="005C14F9"/>
    <w:rsid w:val="005C154A"/>
    <w:rsid w:val="005C1580"/>
    <w:rsid w:val="005C15B4"/>
    <w:rsid w:val="005C1630"/>
    <w:rsid w:val="005C166E"/>
    <w:rsid w:val="005C16A4"/>
    <w:rsid w:val="005C17F3"/>
    <w:rsid w:val="005C1804"/>
    <w:rsid w:val="005C19EF"/>
    <w:rsid w:val="005C1B1D"/>
    <w:rsid w:val="005C1B81"/>
    <w:rsid w:val="005C1DC5"/>
    <w:rsid w:val="005C1DD7"/>
    <w:rsid w:val="005C1E51"/>
    <w:rsid w:val="005C1FEA"/>
    <w:rsid w:val="005C212D"/>
    <w:rsid w:val="005C2166"/>
    <w:rsid w:val="005C2271"/>
    <w:rsid w:val="005C236C"/>
    <w:rsid w:val="005C23D5"/>
    <w:rsid w:val="005C2431"/>
    <w:rsid w:val="005C24E0"/>
    <w:rsid w:val="005C25B1"/>
    <w:rsid w:val="005C25B7"/>
    <w:rsid w:val="005C263E"/>
    <w:rsid w:val="005C26BD"/>
    <w:rsid w:val="005C26F7"/>
    <w:rsid w:val="005C273D"/>
    <w:rsid w:val="005C29D2"/>
    <w:rsid w:val="005C2A29"/>
    <w:rsid w:val="005C2CC4"/>
    <w:rsid w:val="005C2DD5"/>
    <w:rsid w:val="005C2E2E"/>
    <w:rsid w:val="005C2EC7"/>
    <w:rsid w:val="005C2F3D"/>
    <w:rsid w:val="005C2FD4"/>
    <w:rsid w:val="005C304A"/>
    <w:rsid w:val="005C3122"/>
    <w:rsid w:val="005C31D7"/>
    <w:rsid w:val="005C3321"/>
    <w:rsid w:val="005C3329"/>
    <w:rsid w:val="005C333D"/>
    <w:rsid w:val="005C339C"/>
    <w:rsid w:val="005C33EE"/>
    <w:rsid w:val="005C3448"/>
    <w:rsid w:val="005C34A3"/>
    <w:rsid w:val="005C3575"/>
    <w:rsid w:val="005C3682"/>
    <w:rsid w:val="005C3698"/>
    <w:rsid w:val="005C3713"/>
    <w:rsid w:val="005C3827"/>
    <w:rsid w:val="005C3877"/>
    <w:rsid w:val="005C38BE"/>
    <w:rsid w:val="005C3990"/>
    <w:rsid w:val="005C39B1"/>
    <w:rsid w:val="005C3A2E"/>
    <w:rsid w:val="005C3A3C"/>
    <w:rsid w:val="005C3A88"/>
    <w:rsid w:val="005C3A9F"/>
    <w:rsid w:val="005C3AB5"/>
    <w:rsid w:val="005C3AF3"/>
    <w:rsid w:val="005C3BC6"/>
    <w:rsid w:val="005C3CB5"/>
    <w:rsid w:val="005C3CB9"/>
    <w:rsid w:val="005C3DAA"/>
    <w:rsid w:val="005C3E95"/>
    <w:rsid w:val="005C3F0B"/>
    <w:rsid w:val="005C3F5D"/>
    <w:rsid w:val="005C3FC7"/>
    <w:rsid w:val="005C4071"/>
    <w:rsid w:val="005C40B9"/>
    <w:rsid w:val="005C40E4"/>
    <w:rsid w:val="005C41EA"/>
    <w:rsid w:val="005C43B8"/>
    <w:rsid w:val="005C43D6"/>
    <w:rsid w:val="005C4425"/>
    <w:rsid w:val="005C444A"/>
    <w:rsid w:val="005C44D3"/>
    <w:rsid w:val="005C44F0"/>
    <w:rsid w:val="005C4A3A"/>
    <w:rsid w:val="005C4AD0"/>
    <w:rsid w:val="005C4B49"/>
    <w:rsid w:val="005C4BF7"/>
    <w:rsid w:val="005C4C85"/>
    <w:rsid w:val="005C4C9C"/>
    <w:rsid w:val="005C4D43"/>
    <w:rsid w:val="005C4D6A"/>
    <w:rsid w:val="005C4DA2"/>
    <w:rsid w:val="005C5001"/>
    <w:rsid w:val="005C50DD"/>
    <w:rsid w:val="005C5185"/>
    <w:rsid w:val="005C5311"/>
    <w:rsid w:val="005C53D0"/>
    <w:rsid w:val="005C53F1"/>
    <w:rsid w:val="005C54CA"/>
    <w:rsid w:val="005C559C"/>
    <w:rsid w:val="005C55DF"/>
    <w:rsid w:val="005C56A8"/>
    <w:rsid w:val="005C56F0"/>
    <w:rsid w:val="005C56F3"/>
    <w:rsid w:val="005C5756"/>
    <w:rsid w:val="005C576D"/>
    <w:rsid w:val="005C57B7"/>
    <w:rsid w:val="005C5834"/>
    <w:rsid w:val="005C5858"/>
    <w:rsid w:val="005C58DC"/>
    <w:rsid w:val="005C5D0B"/>
    <w:rsid w:val="005C5D27"/>
    <w:rsid w:val="005C5D30"/>
    <w:rsid w:val="005C5D3D"/>
    <w:rsid w:val="005C5D4A"/>
    <w:rsid w:val="005C5D8D"/>
    <w:rsid w:val="005C5E3B"/>
    <w:rsid w:val="005C5EE0"/>
    <w:rsid w:val="005C5FB0"/>
    <w:rsid w:val="005C6066"/>
    <w:rsid w:val="005C622E"/>
    <w:rsid w:val="005C6265"/>
    <w:rsid w:val="005C6376"/>
    <w:rsid w:val="005C640B"/>
    <w:rsid w:val="005C64B0"/>
    <w:rsid w:val="005C6668"/>
    <w:rsid w:val="005C66A1"/>
    <w:rsid w:val="005C67A7"/>
    <w:rsid w:val="005C6987"/>
    <w:rsid w:val="005C69C3"/>
    <w:rsid w:val="005C6A76"/>
    <w:rsid w:val="005C6A8C"/>
    <w:rsid w:val="005C6CA5"/>
    <w:rsid w:val="005C6CED"/>
    <w:rsid w:val="005C6D72"/>
    <w:rsid w:val="005C6E2E"/>
    <w:rsid w:val="005C6EAC"/>
    <w:rsid w:val="005C6F0F"/>
    <w:rsid w:val="005C6F5E"/>
    <w:rsid w:val="005C6F86"/>
    <w:rsid w:val="005C714C"/>
    <w:rsid w:val="005C71CC"/>
    <w:rsid w:val="005C7223"/>
    <w:rsid w:val="005C7317"/>
    <w:rsid w:val="005C736C"/>
    <w:rsid w:val="005C75C9"/>
    <w:rsid w:val="005C787A"/>
    <w:rsid w:val="005C7889"/>
    <w:rsid w:val="005C7935"/>
    <w:rsid w:val="005C794F"/>
    <w:rsid w:val="005C79DE"/>
    <w:rsid w:val="005C7B14"/>
    <w:rsid w:val="005C7BCD"/>
    <w:rsid w:val="005C7BD9"/>
    <w:rsid w:val="005C7C0E"/>
    <w:rsid w:val="005C7CB7"/>
    <w:rsid w:val="005C7FE0"/>
    <w:rsid w:val="005D0058"/>
    <w:rsid w:val="005D04CE"/>
    <w:rsid w:val="005D04F1"/>
    <w:rsid w:val="005D0693"/>
    <w:rsid w:val="005D06AF"/>
    <w:rsid w:val="005D0702"/>
    <w:rsid w:val="005D072A"/>
    <w:rsid w:val="005D0902"/>
    <w:rsid w:val="005D0A66"/>
    <w:rsid w:val="005D0AF9"/>
    <w:rsid w:val="005D0CD3"/>
    <w:rsid w:val="005D0D3A"/>
    <w:rsid w:val="005D0F00"/>
    <w:rsid w:val="005D0F9B"/>
    <w:rsid w:val="005D0FD9"/>
    <w:rsid w:val="005D0FFD"/>
    <w:rsid w:val="005D1054"/>
    <w:rsid w:val="005D116D"/>
    <w:rsid w:val="005D11A9"/>
    <w:rsid w:val="005D12EE"/>
    <w:rsid w:val="005D14FF"/>
    <w:rsid w:val="005D16C4"/>
    <w:rsid w:val="005D182D"/>
    <w:rsid w:val="005D18B0"/>
    <w:rsid w:val="005D1930"/>
    <w:rsid w:val="005D194D"/>
    <w:rsid w:val="005D1A25"/>
    <w:rsid w:val="005D1A98"/>
    <w:rsid w:val="005D1B10"/>
    <w:rsid w:val="005D1B48"/>
    <w:rsid w:val="005D1BF3"/>
    <w:rsid w:val="005D1C04"/>
    <w:rsid w:val="005D1CF6"/>
    <w:rsid w:val="005D1F98"/>
    <w:rsid w:val="005D2310"/>
    <w:rsid w:val="005D25DA"/>
    <w:rsid w:val="005D26DB"/>
    <w:rsid w:val="005D26F2"/>
    <w:rsid w:val="005D27E5"/>
    <w:rsid w:val="005D28AB"/>
    <w:rsid w:val="005D28E4"/>
    <w:rsid w:val="005D297D"/>
    <w:rsid w:val="005D29DF"/>
    <w:rsid w:val="005D2BBF"/>
    <w:rsid w:val="005D2C47"/>
    <w:rsid w:val="005D2D0F"/>
    <w:rsid w:val="005D2D3A"/>
    <w:rsid w:val="005D2DE5"/>
    <w:rsid w:val="005D2E00"/>
    <w:rsid w:val="005D2E06"/>
    <w:rsid w:val="005D2E9B"/>
    <w:rsid w:val="005D2F3B"/>
    <w:rsid w:val="005D2FB3"/>
    <w:rsid w:val="005D3088"/>
    <w:rsid w:val="005D340E"/>
    <w:rsid w:val="005D34A4"/>
    <w:rsid w:val="005D358A"/>
    <w:rsid w:val="005D35A9"/>
    <w:rsid w:val="005D368C"/>
    <w:rsid w:val="005D37F6"/>
    <w:rsid w:val="005D3846"/>
    <w:rsid w:val="005D385C"/>
    <w:rsid w:val="005D38B9"/>
    <w:rsid w:val="005D3A9E"/>
    <w:rsid w:val="005D3BEA"/>
    <w:rsid w:val="005D3C0C"/>
    <w:rsid w:val="005D3C2E"/>
    <w:rsid w:val="005D3C68"/>
    <w:rsid w:val="005D3CC2"/>
    <w:rsid w:val="005D3D26"/>
    <w:rsid w:val="005D3DC7"/>
    <w:rsid w:val="005D3DC9"/>
    <w:rsid w:val="005D3E74"/>
    <w:rsid w:val="005D3ECA"/>
    <w:rsid w:val="005D3F96"/>
    <w:rsid w:val="005D4019"/>
    <w:rsid w:val="005D404E"/>
    <w:rsid w:val="005D405C"/>
    <w:rsid w:val="005D412A"/>
    <w:rsid w:val="005D4194"/>
    <w:rsid w:val="005D41C0"/>
    <w:rsid w:val="005D4368"/>
    <w:rsid w:val="005D442A"/>
    <w:rsid w:val="005D45FA"/>
    <w:rsid w:val="005D473E"/>
    <w:rsid w:val="005D480E"/>
    <w:rsid w:val="005D4916"/>
    <w:rsid w:val="005D4937"/>
    <w:rsid w:val="005D49D5"/>
    <w:rsid w:val="005D4B6C"/>
    <w:rsid w:val="005D4B9E"/>
    <w:rsid w:val="005D4CD6"/>
    <w:rsid w:val="005D4CE6"/>
    <w:rsid w:val="005D4D38"/>
    <w:rsid w:val="005D4ED4"/>
    <w:rsid w:val="005D4F9D"/>
    <w:rsid w:val="005D5058"/>
    <w:rsid w:val="005D5112"/>
    <w:rsid w:val="005D51B2"/>
    <w:rsid w:val="005D51DC"/>
    <w:rsid w:val="005D5266"/>
    <w:rsid w:val="005D52B9"/>
    <w:rsid w:val="005D53BE"/>
    <w:rsid w:val="005D5433"/>
    <w:rsid w:val="005D543B"/>
    <w:rsid w:val="005D546F"/>
    <w:rsid w:val="005D5525"/>
    <w:rsid w:val="005D55EC"/>
    <w:rsid w:val="005D569B"/>
    <w:rsid w:val="005D56EA"/>
    <w:rsid w:val="005D56F6"/>
    <w:rsid w:val="005D580F"/>
    <w:rsid w:val="005D5947"/>
    <w:rsid w:val="005D5A32"/>
    <w:rsid w:val="005D5AD4"/>
    <w:rsid w:val="005D5BCB"/>
    <w:rsid w:val="005D5C58"/>
    <w:rsid w:val="005D5CFF"/>
    <w:rsid w:val="005D5D8E"/>
    <w:rsid w:val="005D5DC0"/>
    <w:rsid w:val="005D5E42"/>
    <w:rsid w:val="005D5E72"/>
    <w:rsid w:val="005D5F0D"/>
    <w:rsid w:val="005D5F78"/>
    <w:rsid w:val="005D5FBE"/>
    <w:rsid w:val="005D6017"/>
    <w:rsid w:val="005D6024"/>
    <w:rsid w:val="005D614E"/>
    <w:rsid w:val="005D619D"/>
    <w:rsid w:val="005D61F8"/>
    <w:rsid w:val="005D6227"/>
    <w:rsid w:val="005D63A4"/>
    <w:rsid w:val="005D6644"/>
    <w:rsid w:val="005D6654"/>
    <w:rsid w:val="005D66CF"/>
    <w:rsid w:val="005D6701"/>
    <w:rsid w:val="005D6741"/>
    <w:rsid w:val="005D6768"/>
    <w:rsid w:val="005D678F"/>
    <w:rsid w:val="005D6836"/>
    <w:rsid w:val="005D6882"/>
    <w:rsid w:val="005D68FF"/>
    <w:rsid w:val="005D6A19"/>
    <w:rsid w:val="005D6E61"/>
    <w:rsid w:val="005D6ECB"/>
    <w:rsid w:val="005D6FAA"/>
    <w:rsid w:val="005D7092"/>
    <w:rsid w:val="005D70DA"/>
    <w:rsid w:val="005D732D"/>
    <w:rsid w:val="005D7336"/>
    <w:rsid w:val="005D74C4"/>
    <w:rsid w:val="005D74CD"/>
    <w:rsid w:val="005D7662"/>
    <w:rsid w:val="005D76E2"/>
    <w:rsid w:val="005D7964"/>
    <w:rsid w:val="005D79C6"/>
    <w:rsid w:val="005D7A4F"/>
    <w:rsid w:val="005D7ABB"/>
    <w:rsid w:val="005D7D29"/>
    <w:rsid w:val="005D7E26"/>
    <w:rsid w:val="005D7E6B"/>
    <w:rsid w:val="005E0022"/>
    <w:rsid w:val="005E0044"/>
    <w:rsid w:val="005E009D"/>
    <w:rsid w:val="005E036B"/>
    <w:rsid w:val="005E03A3"/>
    <w:rsid w:val="005E041C"/>
    <w:rsid w:val="005E068B"/>
    <w:rsid w:val="005E0990"/>
    <w:rsid w:val="005E0A63"/>
    <w:rsid w:val="005E0BA2"/>
    <w:rsid w:val="005E0BA4"/>
    <w:rsid w:val="005E0C00"/>
    <w:rsid w:val="005E0C21"/>
    <w:rsid w:val="005E0C89"/>
    <w:rsid w:val="005E0DE7"/>
    <w:rsid w:val="005E0E52"/>
    <w:rsid w:val="005E0E78"/>
    <w:rsid w:val="005E0E7C"/>
    <w:rsid w:val="005E0F3E"/>
    <w:rsid w:val="005E11B9"/>
    <w:rsid w:val="005E1202"/>
    <w:rsid w:val="005E134E"/>
    <w:rsid w:val="005E136A"/>
    <w:rsid w:val="005E138E"/>
    <w:rsid w:val="005E13EB"/>
    <w:rsid w:val="005E13F5"/>
    <w:rsid w:val="005E1528"/>
    <w:rsid w:val="005E155E"/>
    <w:rsid w:val="005E1622"/>
    <w:rsid w:val="005E16E3"/>
    <w:rsid w:val="005E16E7"/>
    <w:rsid w:val="005E175E"/>
    <w:rsid w:val="005E17E2"/>
    <w:rsid w:val="005E19FD"/>
    <w:rsid w:val="005E1C10"/>
    <w:rsid w:val="005E1D2F"/>
    <w:rsid w:val="005E1D3C"/>
    <w:rsid w:val="005E1D87"/>
    <w:rsid w:val="005E1DC5"/>
    <w:rsid w:val="005E1EC1"/>
    <w:rsid w:val="005E1EED"/>
    <w:rsid w:val="005E1FE7"/>
    <w:rsid w:val="005E210E"/>
    <w:rsid w:val="005E211A"/>
    <w:rsid w:val="005E2336"/>
    <w:rsid w:val="005E240C"/>
    <w:rsid w:val="005E2414"/>
    <w:rsid w:val="005E249A"/>
    <w:rsid w:val="005E25BA"/>
    <w:rsid w:val="005E2604"/>
    <w:rsid w:val="005E2724"/>
    <w:rsid w:val="005E2743"/>
    <w:rsid w:val="005E2748"/>
    <w:rsid w:val="005E27FD"/>
    <w:rsid w:val="005E2999"/>
    <w:rsid w:val="005E2A53"/>
    <w:rsid w:val="005E2AD7"/>
    <w:rsid w:val="005E2B5E"/>
    <w:rsid w:val="005E2C3E"/>
    <w:rsid w:val="005E2D84"/>
    <w:rsid w:val="005E2E79"/>
    <w:rsid w:val="005E2E85"/>
    <w:rsid w:val="005E2F10"/>
    <w:rsid w:val="005E2FF0"/>
    <w:rsid w:val="005E30AD"/>
    <w:rsid w:val="005E3194"/>
    <w:rsid w:val="005E31C2"/>
    <w:rsid w:val="005E31EF"/>
    <w:rsid w:val="005E3267"/>
    <w:rsid w:val="005E3289"/>
    <w:rsid w:val="005E328E"/>
    <w:rsid w:val="005E32A8"/>
    <w:rsid w:val="005E338C"/>
    <w:rsid w:val="005E33FD"/>
    <w:rsid w:val="005E3422"/>
    <w:rsid w:val="005E3438"/>
    <w:rsid w:val="005E345F"/>
    <w:rsid w:val="005E35D6"/>
    <w:rsid w:val="005E361B"/>
    <w:rsid w:val="005E361E"/>
    <w:rsid w:val="005E3674"/>
    <w:rsid w:val="005E387D"/>
    <w:rsid w:val="005E39A8"/>
    <w:rsid w:val="005E39E4"/>
    <w:rsid w:val="005E3BC1"/>
    <w:rsid w:val="005E3C0D"/>
    <w:rsid w:val="005E3D2D"/>
    <w:rsid w:val="005E3E55"/>
    <w:rsid w:val="005E3E6D"/>
    <w:rsid w:val="005E3EB2"/>
    <w:rsid w:val="005E3EDA"/>
    <w:rsid w:val="005E4016"/>
    <w:rsid w:val="005E40BB"/>
    <w:rsid w:val="005E421C"/>
    <w:rsid w:val="005E430C"/>
    <w:rsid w:val="005E4346"/>
    <w:rsid w:val="005E457A"/>
    <w:rsid w:val="005E45FF"/>
    <w:rsid w:val="005E46F6"/>
    <w:rsid w:val="005E47E1"/>
    <w:rsid w:val="005E47E9"/>
    <w:rsid w:val="005E482C"/>
    <w:rsid w:val="005E4856"/>
    <w:rsid w:val="005E48A1"/>
    <w:rsid w:val="005E48C2"/>
    <w:rsid w:val="005E48FF"/>
    <w:rsid w:val="005E4915"/>
    <w:rsid w:val="005E492C"/>
    <w:rsid w:val="005E4936"/>
    <w:rsid w:val="005E49D6"/>
    <w:rsid w:val="005E49D9"/>
    <w:rsid w:val="005E4AAA"/>
    <w:rsid w:val="005E4AEA"/>
    <w:rsid w:val="005E4B16"/>
    <w:rsid w:val="005E4B41"/>
    <w:rsid w:val="005E4B77"/>
    <w:rsid w:val="005E4BF9"/>
    <w:rsid w:val="005E4C09"/>
    <w:rsid w:val="005E4C61"/>
    <w:rsid w:val="005E4C6D"/>
    <w:rsid w:val="005E4D3B"/>
    <w:rsid w:val="005E4ECC"/>
    <w:rsid w:val="005E4F9D"/>
    <w:rsid w:val="005E5066"/>
    <w:rsid w:val="005E507A"/>
    <w:rsid w:val="005E508F"/>
    <w:rsid w:val="005E5146"/>
    <w:rsid w:val="005E5399"/>
    <w:rsid w:val="005E55D8"/>
    <w:rsid w:val="005E568A"/>
    <w:rsid w:val="005E5798"/>
    <w:rsid w:val="005E57EA"/>
    <w:rsid w:val="005E59B5"/>
    <w:rsid w:val="005E59F8"/>
    <w:rsid w:val="005E5A2A"/>
    <w:rsid w:val="005E5C1A"/>
    <w:rsid w:val="005E5C26"/>
    <w:rsid w:val="005E5C5E"/>
    <w:rsid w:val="005E5D72"/>
    <w:rsid w:val="005E5DBD"/>
    <w:rsid w:val="005E6117"/>
    <w:rsid w:val="005E61E7"/>
    <w:rsid w:val="005E62B1"/>
    <w:rsid w:val="005E63F6"/>
    <w:rsid w:val="005E6425"/>
    <w:rsid w:val="005E6436"/>
    <w:rsid w:val="005E6438"/>
    <w:rsid w:val="005E651F"/>
    <w:rsid w:val="005E65B1"/>
    <w:rsid w:val="005E6676"/>
    <w:rsid w:val="005E685E"/>
    <w:rsid w:val="005E6BF9"/>
    <w:rsid w:val="005E6CBD"/>
    <w:rsid w:val="005E6D52"/>
    <w:rsid w:val="005E6D67"/>
    <w:rsid w:val="005E6DA9"/>
    <w:rsid w:val="005E6FAE"/>
    <w:rsid w:val="005E6FDC"/>
    <w:rsid w:val="005E6FE4"/>
    <w:rsid w:val="005E6FF8"/>
    <w:rsid w:val="005E7033"/>
    <w:rsid w:val="005E70BE"/>
    <w:rsid w:val="005E7293"/>
    <w:rsid w:val="005E7329"/>
    <w:rsid w:val="005E73EE"/>
    <w:rsid w:val="005E73F0"/>
    <w:rsid w:val="005E74D3"/>
    <w:rsid w:val="005E753E"/>
    <w:rsid w:val="005E7678"/>
    <w:rsid w:val="005E780E"/>
    <w:rsid w:val="005E7835"/>
    <w:rsid w:val="005E7900"/>
    <w:rsid w:val="005E7AA0"/>
    <w:rsid w:val="005E7ACE"/>
    <w:rsid w:val="005E7B2C"/>
    <w:rsid w:val="005E7B4C"/>
    <w:rsid w:val="005E7B58"/>
    <w:rsid w:val="005E7B76"/>
    <w:rsid w:val="005E7BE0"/>
    <w:rsid w:val="005E7C62"/>
    <w:rsid w:val="005E7D1F"/>
    <w:rsid w:val="005E7E7C"/>
    <w:rsid w:val="005E7F1E"/>
    <w:rsid w:val="005E7FA6"/>
    <w:rsid w:val="005E7FAB"/>
    <w:rsid w:val="005E7FE7"/>
    <w:rsid w:val="005F00DF"/>
    <w:rsid w:val="005F0111"/>
    <w:rsid w:val="005F01BE"/>
    <w:rsid w:val="005F025C"/>
    <w:rsid w:val="005F0341"/>
    <w:rsid w:val="005F0563"/>
    <w:rsid w:val="005F061D"/>
    <w:rsid w:val="005F06EC"/>
    <w:rsid w:val="005F07D7"/>
    <w:rsid w:val="005F07DF"/>
    <w:rsid w:val="005F07F7"/>
    <w:rsid w:val="005F0805"/>
    <w:rsid w:val="005F088D"/>
    <w:rsid w:val="005F09A2"/>
    <w:rsid w:val="005F09BB"/>
    <w:rsid w:val="005F0A7F"/>
    <w:rsid w:val="005F0AB7"/>
    <w:rsid w:val="005F0BCB"/>
    <w:rsid w:val="005F0C3E"/>
    <w:rsid w:val="005F0D48"/>
    <w:rsid w:val="005F0E6F"/>
    <w:rsid w:val="005F101C"/>
    <w:rsid w:val="005F10C7"/>
    <w:rsid w:val="005F10CE"/>
    <w:rsid w:val="005F1166"/>
    <w:rsid w:val="005F1298"/>
    <w:rsid w:val="005F1317"/>
    <w:rsid w:val="005F143A"/>
    <w:rsid w:val="005F156A"/>
    <w:rsid w:val="005F15F8"/>
    <w:rsid w:val="005F1610"/>
    <w:rsid w:val="005F162C"/>
    <w:rsid w:val="005F16DB"/>
    <w:rsid w:val="005F17AC"/>
    <w:rsid w:val="005F1870"/>
    <w:rsid w:val="005F1881"/>
    <w:rsid w:val="005F1892"/>
    <w:rsid w:val="005F19B2"/>
    <w:rsid w:val="005F1AA9"/>
    <w:rsid w:val="005F1B01"/>
    <w:rsid w:val="005F1B04"/>
    <w:rsid w:val="005F1B7A"/>
    <w:rsid w:val="005F1C6D"/>
    <w:rsid w:val="005F1CF3"/>
    <w:rsid w:val="005F1CF9"/>
    <w:rsid w:val="005F1DAF"/>
    <w:rsid w:val="005F1DB2"/>
    <w:rsid w:val="005F1E08"/>
    <w:rsid w:val="005F1F78"/>
    <w:rsid w:val="005F2006"/>
    <w:rsid w:val="005F2028"/>
    <w:rsid w:val="005F20A1"/>
    <w:rsid w:val="005F20CB"/>
    <w:rsid w:val="005F20DA"/>
    <w:rsid w:val="005F213E"/>
    <w:rsid w:val="005F22E2"/>
    <w:rsid w:val="005F2392"/>
    <w:rsid w:val="005F2409"/>
    <w:rsid w:val="005F2482"/>
    <w:rsid w:val="005F24C8"/>
    <w:rsid w:val="005F25CD"/>
    <w:rsid w:val="005F25D9"/>
    <w:rsid w:val="005F2659"/>
    <w:rsid w:val="005F266B"/>
    <w:rsid w:val="005F26D0"/>
    <w:rsid w:val="005F2738"/>
    <w:rsid w:val="005F2858"/>
    <w:rsid w:val="005F28D3"/>
    <w:rsid w:val="005F29C9"/>
    <w:rsid w:val="005F2B57"/>
    <w:rsid w:val="005F2BD7"/>
    <w:rsid w:val="005F2C94"/>
    <w:rsid w:val="005F2C9F"/>
    <w:rsid w:val="005F2D09"/>
    <w:rsid w:val="005F2ED2"/>
    <w:rsid w:val="005F2EF4"/>
    <w:rsid w:val="005F2F63"/>
    <w:rsid w:val="005F2F92"/>
    <w:rsid w:val="005F2FB8"/>
    <w:rsid w:val="005F3025"/>
    <w:rsid w:val="005F32C4"/>
    <w:rsid w:val="005F3565"/>
    <w:rsid w:val="005F3689"/>
    <w:rsid w:val="005F3796"/>
    <w:rsid w:val="005F379A"/>
    <w:rsid w:val="005F3D55"/>
    <w:rsid w:val="005F3E95"/>
    <w:rsid w:val="005F3E9E"/>
    <w:rsid w:val="005F3EAF"/>
    <w:rsid w:val="005F3FAC"/>
    <w:rsid w:val="005F4087"/>
    <w:rsid w:val="005F414D"/>
    <w:rsid w:val="005F416E"/>
    <w:rsid w:val="005F4177"/>
    <w:rsid w:val="005F4229"/>
    <w:rsid w:val="005F43D3"/>
    <w:rsid w:val="005F45E7"/>
    <w:rsid w:val="005F45FD"/>
    <w:rsid w:val="005F467B"/>
    <w:rsid w:val="005F470F"/>
    <w:rsid w:val="005F4863"/>
    <w:rsid w:val="005F4A09"/>
    <w:rsid w:val="005F4B10"/>
    <w:rsid w:val="005F4C18"/>
    <w:rsid w:val="005F4D10"/>
    <w:rsid w:val="005F4D2F"/>
    <w:rsid w:val="005F4E52"/>
    <w:rsid w:val="005F4F99"/>
    <w:rsid w:val="005F5123"/>
    <w:rsid w:val="005F5148"/>
    <w:rsid w:val="005F51D4"/>
    <w:rsid w:val="005F52C2"/>
    <w:rsid w:val="005F5353"/>
    <w:rsid w:val="005F535F"/>
    <w:rsid w:val="005F53E3"/>
    <w:rsid w:val="005F546F"/>
    <w:rsid w:val="005F54F0"/>
    <w:rsid w:val="005F5533"/>
    <w:rsid w:val="005F5551"/>
    <w:rsid w:val="005F5743"/>
    <w:rsid w:val="005F577B"/>
    <w:rsid w:val="005F57C7"/>
    <w:rsid w:val="005F58B4"/>
    <w:rsid w:val="005F59D4"/>
    <w:rsid w:val="005F5A58"/>
    <w:rsid w:val="005F5ABE"/>
    <w:rsid w:val="005F5AE3"/>
    <w:rsid w:val="005F5B31"/>
    <w:rsid w:val="005F5D7B"/>
    <w:rsid w:val="005F5E22"/>
    <w:rsid w:val="005F5FBF"/>
    <w:rsid w:val="005F5FC8"/>
    <w:rsid w:val="005F61D2"/>
    <w:rsid w:val="005F631F"/>
    <w:rsid w:val="005F6453"/>
    <w:rsid w:val="005F6458"/>
    <w:rsid w:val="005F64A0"/>
    <w:rsid w:val="005F65AC"/>
    <w:rsid w:val="005F65BC"/>
    <w:rsid w:val="005F664A"/>
    <w:rsid w:val="005F66CF"/>
    <w:rsid w:val="005F681B"/>
    <w:rsid w:val="005F685A"/>
    <w:rsid w:val="005F691B"/>
    <w:rsid w:val="005F6963"/>
    <w:rsid w:val="005F69BA"/>
    <w:rsid w:val="005F6AF5"/>
    <w:rsid w:val="005F6D0A"/>
    <w:rsid w:val="005F6D1B"/>
    <w:rsid w:val="005F6D3A"/>
    <w:rsid w:val="005F6D4F"/>
    <w:rsid w:val="005F6D9B"/>
    <w:rsid w:val="005F6ECE"/>
    <w:rsid w:val="005F6F41"/>
    <w:rsid w:val="005F6FA8"/>
    <w:rsid w:val="005F7035"/>
    <w:rsid w:val="005F71C1"/>
    <w:rsid w:val="005F71F6"/>
    <w:rsid w:val="005F726C"/>
    <w:rsid w:val="005F72D6"/>
    <w:rsid w:val="005F7326"/>
    <w:rsid w:val="005F73CE"/>
    <w:rsid w:val="005F763A"/>
    <w:rsid w:val="005F79CC"/>
    <w:rsid w:val="005F7E06"/>
    <w:rsid w:val="005F7E38"/>
    <w:rsid w:val="005F7E7C"/>
    <w:rsid w:val="005F7F14"/>
    <w:rsid w:val="005F7F6B"/>
    <w:rsid w:val="0060000E"/>
    <w:rsid w:val="00600196"/>
    <w:rsid w:val="0060028E"/>
    <w:rsid w:val="006002B5"/>
    <w:rsid w:val="006002B9"/>
    <w:rsid w:val="006002E7"/>
    <w:rsid w:val="0060039E"/>
    <w:rsid w:val="006004B3"/>
    <w:rsid w:val="006004CC"/>
    <w:rsid w:val="0060053D"/>
    <w:rsid w:val="006005D1"/>
    <w:rsid w:val="0060066E"/>
    <w:rsid w:val="00600761"/>
    <w:rsid w:val="0060077C"/>
    <w:rsid w:val="006007F9"/>
    <w:rsid w:val="006008BD"/>
    <w:rsid w:val="006008EF"/>
    <w:rsid w:val="006008F2"/>
    <w:rsid w:val="00600949"/>
    <w:rsid w:val="00600B4C"/>
    <w:rsid w:val="00600C11"/>
    <w:rsid w:val="00600C37"/>
    <w:rsid w:val="00600C92"/>
    <w:rsid w:val="00600FC0"/>
    <w:rsid w:val="00600FDE"/>
    <w:rsid w:val="00600FE0"/>
    <w:rsid w:val="00600FE2"/>
    <w:rsid w:val="0060105C"/>
    <w:rsid w:val="0060122D"/>
    <w:rsid w:val="00601315"/>
    <w:rsid w:val="0060133A"/>
    <w:rsid w:val="00601371"/>
    <w:rsid w:val="0060143A"/>
    <w:rsid w:val="006015EF"/>
    <w:rsid w:val="00601704"/>
    <w:rsid w:val="0060177D"/>
    <w:rsid w:val="00601847"/>
    <w:rsid w:val="00601872"/>
    <w:rsid w:val="00601922"/>
    <w:rsid w:val="00601960"/>
    <w:rsid w:val="00601AD5"/>
    <w:rsid w:val="00601BCE"/>
    <w:rsid w:val="00601BCF"/>
    <w:rsid w:val="00601BDB"/>
    <w:rsid w:val="00601CD6"/>
    <w:rsid w:val="00601D15"/>
    <w:rsid w:val="00601DD0"/>
    <w:rsid w:val="00601E2D"/>
    <w:rsid w:val="00601E5B"/>
    <w:rsid w:val="00601F70"/>
    <w:rsid w:val="00602004"/>
    <w:rsid w:val="0060226C"/>
    <w:rsid w:val="00602272"/>
    <w:rsid w:val="0060234E"/>
    <w:rsid w:val="006023B3"/>
    <w:rsid w:val="00602401"/>
    <w:rsid w:val="00602442"/>
    <w:rsid w:val="0060253D"/>
    <w:rsid w:val="0060257D"/>
    <w:rsid w:val="006025C1"/>
    <w:rsid w:val="0060267B"/>
    <w:rsid w:val="006027CE"/>
    <w:rsid w:val="006027E2"/>
    <w:rsid w:val="00602810"/>
    <w:rsid w:val="0060290D"/>
    <w:rsid w:val="00602A24"/>
    <w:rsid w:val="00602A55"/>
    <w:rsid w:val="00602B63"/>
    <w:rsid w:val="00602C25"/>
    <w:rsid w:val="00602D0F"/>
    <w:rsid w:val="00602F30"/>
    <w:rsid w:val="00602F3A"/>
    <w:rsid w:val="00603049"/>
    <w:rsid w:val="00603061"/>
    <w:rsid w:val="00603066"/>
    <w:rsid w:val="0060306D"/>
    <w:rsid w:val="0060324E"/>
    <w:rsid w:val="00603259"/>
    <w:rsid w:val="006033FC"/>
    <w:rsid w:val="00603490"/>
    <w:rsid w:val="00603677"/>
    <w:rsid w:val="006036F5"/>
    <w:rsid w:val="00603761"/>
    <w:rsid w:val="00603775"/>
    <w:rsid w:val="006037AA"/>
    <w:rsid w:val="00603842"/>
    <w:rsid w:val="00603C20"/>
    <w:rsid w:val="00603CE9"/>
    <w:rsid w:val="00603D86"/>
    <w:rsid w:val="00604061"/>
    <w:rsid w:val="00604078"/>
    <w:rsid w:val="006040C4"/>
    <w:rsid w:val="006040EE"/>
    <w:rsid w:val="00604107"/>
    <w:rsid w:val="00604119"/>
    <w:rsid w:val="0060413D"/>
    <w:rsid w:val="00604343"/>
    <w:rsid w:val="006043F8"/>
    <w:rsid w:val="006045E9"/>
    <w:rsid w:val="006046D4"/>
    <w:rsid w:val="0060472A"/>
    <w:rsid w:val="00604738"/>
    <w:rsid w:val="00604780"/>
    <w:rsid w:val="006047A8"/>
    <w:rsid w:val="00604848"/>
    <w:rsid w:val="00604877"/>
    <w:rsid w:val="006049DB"/>
    <w:rsid w:val="00604A25"/>
    <w:rsid w:val="00604A4A"/>
    <w:rsid w:val="00604A5F"/>
    <w:rsid w:val="00604A7A"/>
    <w:rsid w:val="00604B07"/>
    <w:rsid w:val="00604B4A"/>
    <w:rsid w:val="00604C15"/>
    <w:rsid w:val="00604D84"/>
    <w:rsid w:val="00604DC0"/>
    <w:rsid w:val="00604F1B"/>
    <w:rsid w:val="00604F9B"/>
    <w:rsid w:val="00604FD9"/>
    <w:rsid w:val="00605098"/>
    <w:rsid w:val="006050E1"/>
    <w:rsid w:val="0060515F"/>
    <w:rsid w:val="0060516C"/>
    <w:rsid w:val="00605229"/>
    <w:rsid w:val="006053B5"/>
    <w:rsid w:val="006054B3"/>
    <w:rsid w:val="006054F7"/>
    <w:rsid w:val="00605541"/>
    <w:rsid w:val="00605635"/>
    <w:rsid w:val="0060566E"/>
    <w:rsid w:val="00605740"/>
    <w:rsid w:val="00605859"/>
    <w:rsid w:val="00605B45"/>
    <w:rsid w:val="00605BE1"/>
    <w:rsid w:val="00605BF8"/>
    <w:rsid w:val="00605C27"/>
    <w:rsid w:val="00605E81"/>
    <w:rsid w:val="00605F28"/>
    <w:rsid w:val="00606020"/>
    <w:rsid w:val="00606025"/>
    <w:rsid w:val="00606141"/>
    <w:rsid w:val="0060614A"/>
    <w:rsid w:val="00606153"/>
    <w:rsid w:val="006061F4"/>
    <w:rsid w:val="0060624B"/>
    <w:rsid w:val="00606260"/>
    <w:rsid w:val="00606305"/>
    <w:rsid w:val="00606317"/>
    <w:rsid w:val="00606411"/>
    <w:rsid w:val="0060643A"/>
    <w:rsid w:val="00606485"/>
    <w:rsid w:val="00606491"/>
    <w:rsid w:val="006064D5"/>
    <w:rsid w:val="0060694C"/>
    <w:rsid w:val="00606A46"/>
    <w:rsid w:val="00606BD9"/>
    <w:rsid w:val="00606CD6"/>
    <w:rsid w:val="00606D26"/>
    <w:rsid w:val="00606D6C"/>
    <w:rsid w:val="00606E66"/>
    <w:rsid w:val="00606E88"/>
    <w:rsid w:val="00606E8E"/>
    <w:rsid w:val="00606EF4"/>
    <w:rsid w:val="00606F64"/>
    <w:rsid w:val="00607057"/>
    <w:rsid w:val="006070BB"/>
    <w:rsid w:val="006070D0"/>
    <w:rsid w:val="0060710A"/>
    <w:rsid w:val="00607112"/>
    <w:rsid w:val="00607218"/>
    <w:rsid w:val="0060732F"/>
    <w:rsid w:val="00607497"/>
    <w:rsid w:val="00607521"/>
    <w:rsid w:val="0060757D"/>
    <w:rsid w:val="00607604"/>
    <w:rsid w:val="00607646"/>
    <w:rsid w:val="0060764A"/>
    <w:rsid w:val="006076A0"/>
    <w:rsid w:val="00607714"/>
    <w:rsid w:val="00607746"/>
    <w:rsid w:val="006077B1"/>
    <w:rsid w:val="006078A8"/>
    <w:rsid w:val="00607903"/>
    <w:rsid w:val="006079B3"/>
    <w:rsid w:val="00607C5A"/>
    <w:rsid w:val="00607E2F"/>
    <w:rsid w:val="00607E59"/>
    <w:rsid w:val="00607E87"/>
    <w:rsid w:val="00607E97"/>
    <w:rsid w:val="00607EB6"/>
    <w:rsid w:val="00607EC1"/>
    <w:rsid w:val="00607EF5"/>
    <w:rsid w:val="00607F7D"/>
    <w:rsid w:val="006100DD"/>
    <w:rsid w:val="00610105"/>
    <w:rsid w:val="0061027A"/>
    <w:rsid w:val="006102BF"/>
    <w:rsid w:val="00610301"/>
    <w:rsid w:val="006103C0"/>
    <w:rsid w:val="0061049F"/>
    <w:rsid w:val="006104BE"/>
    <w:rsid w:val="00610528"/>
    <w:rsid w:val="00610699"/>
    <w:rsid w:val="006106C1"/>
    <w:rsid w:val="0061073A"/>
    <w:rsid w:val="00610774"/>
    <w:rsid w:val="0061079B"/>
    <w:rsid w:val="006107F0"/>
    <w:rsid w:val="0061088E"/>
    <w:rsid w:val="006109C4"/>
    <w:rsid w:val="00610A2B"/>
    <w:rsid w:val="00610A6F"/>
    <w:rsid w:val="00610AD0"/>
    <w:rsid w:val="00610B01"/>
    <w:rsid w:val="00610E65"/>
    <w:rsid w:val="00610EF6"/>
    <w:rsid w:val="00611159"/>
    <w:rsid w:val="0061123F"/>
    <w:rsid w:val="00611241"/>
    <w:rsid w:val="00611398"/>
    <w:rsid w:val="00611437"/>
    <w:rsid w:val="006114EF"/>
    <w:rsid w:val="0061150A"/>
    <w:rsid w:val="006115A1"/>
    <w:rsid w:val="0061160D"/>
    <w:rsid w:val="00611638"/>
    <w:rsid w:val="00611669"/>
    <w:rsid w:val="00611975"/>
    <w:rsid w:val="006119A6"/>
    <w:rsid w:val="00611A55"/>
    <w:rsid w:val="00611A75"/>
    <w:rsid w:val="00611AB2"/>
    <w:rsid w:val="00611BD5"/>
    <w:rsid w:val="00611BF0"/>
    <w:rsid w:val="00611BF4"/>
    <w:rsid w:val="00611C19"/>
    <w:rsid w:val="00611C2C"/>
    <w:rsid w:val="00611C99"/>
    <w:rsid w:val="00611D3A"/>
    <w:rsid w:val="00611F06"/>
    <w:rsid w:val="006121C4"/>
    <w:rsid w:val="006121EF"/>
    <w:rsid w:val="006122F0"/>
    <w:rsid w:val="0061231F"/>
    <w:rsid w:val="006123B9"/>
    <w:rsid w:val="006124C4"/>
    <w:rsid w:val="006125AE"/>
    <w:rsid w:val="00612736"/>
    <w:rsid w:val="00612771"/>
    <w:rsid w:val="006127E7"/>
    <w:rsid w:val="00612813"/>
    <w:rsid w:val="00612953"/>
    <w:rsid w:val="00612A2B"/>
    <w:rsid w:val="00612AC3"/>
    <w:rsid w:val="00612B6B"/>
    <w:rsid w:val="00612C66"/>
    <w:rsid w:val="00612D3B"/>
    <w:rsid w:val="00612E2E"/>
    <w:rsid w:val="00612E8F"/>
    <w:rsid w:val="00612F63"/>
    <w:rsid w:val="00612FBE"/>
    <w:rsid w:val="0061346B"/>
    <w:rsid w:val="0061356C"/>
    <w:rsid w:val="00613649"/>
    <w:rsid w:val="00613653"/>
    <w:rsid w:val="0061385A"/>
    <w:rsid w:val="006138FA"/>
    <w:rsid w:val="0061395C"/>
    <w:rsid w:val="00613A82"/>
    <w:rsid w:val="00613AC0"/>
    <w:rsid w:val="00613DAF"/>
    <w:rsid w:val="00613EAB"/>
    <w:rsid w:val="00613EF4"/>
    <w:rsid w:val="00613EFD"/>
    <w:rsid w:val="00613F61"/>
    <w:rsid w:val="00613FD0"/>
    <w:rsid w:val="00614075"/>
    <w:rsid w:val="00614099"/>
    <w:rsid w:val="006140BB"/>
    <w:rsid w:val="0061415C"/>
    <w:rsid w:val="00614295"/>
    <w:rsid w:val="006142A6"/>
    <w:rsid w:val="00614337"/>
    <w:rsid w:val="00614354"/>
    <w:rsid w:val="006145E8"/>
    <w:rsid w:val="0061465B"/>
    <w:rsid w:val="006147C8"/>
    <w:rsid w:val="00614865"/>
    <w:rsid w:val="00614914"/>
    <w:rsid w:val="0061493E"/>
    <w:rsid w:val="00614980"/>
    <w:rsid w:val="00614A7B"/>
    <w:rsid w:val="00614C34"/>
    <w:rsid w:val="00614C83"/>
    <w:rsid w:val="00614CBD"/>
    <w:rsid w:val="00614DB6"/>
    <w:rsid w:val="00614DD4"/>
    <w:rsid w:val="00614ED8"/>
    <w:rsid w:val="00614FA7"/>
    <w:rsid w:val="00614FE0"/>
    <w:rsid w:val="006150BB"/>
    <w:rsid w:val="006150DF"/>
    <w:rsid w:val="00615104"/>
    <w:rsid w:val="006151DA"/>
    <w:rsid w:val="006152B4"/>
    <w:rsid w:val="006152DB"/>
    <w:rsid w:val="0061554C"/>
    <w:rsid w:val="0061554D"/>
    <w:rsid w:val="00615570"/>
    <w:rsid w:val="006155AD"/>
    <w:rsid w:val="006156D2"/>
    <w:rsid w:val="006156F3"/>
    <w:rsid w:val="0061578D"/>
    <w:rsid w:val="006157B3"/>
    <w:rsid w:val="006157D0"/>
    <w:rsid w:val="006157F2"/>
    <w:rsid w:val="0061583B"/>
    <w:rsid w:val="00615953"/>
    <w:rsid w:val="00615BC5"/>
    <w:rsid w:val="00615C2E"/>
    <w:rsid w:val="00615CFB"/>
    <w:rsid w:val="00615D96"/>
    <w:rsid w:val="00615E06"/>
    <w:rsid w:val="00615EBF"/>
    <w:rsid w:val="00615F47"/>
    <w:rsid w:val="0061601D"/>
    <w:rsid w:val="00616192"/>
    <w:rsid w:val="0061629B"/>
    <w:rsid w:val="006162AE"/>
    <w:rsid w:val="00616306"/>
    <w:rsid w:val="00616355"/>
    <w:rsid w:val="006163C9"/>
    <w:rsid w:val="00616697"/>
    <w:rsid w:val="006166D4"/>
    <w:rsid w:val="00616799"/>
    <w:rsid w:val="006167C6"/>
    <w:rsid w:val="0061695A"/>
    <w:rsid w:val="006169F4"/>
    <w:rsid w:val="00616D22"/>
    <w:rsid w:val="00616EA2"/>
    <w:rsid w:val="00616ED5"/>
    <w:rsid w:val="00616EE0"/>
    <w:rsid w:val="00616FFD"/>
    <w:rsid w:val="0061703E"/>
    <w:rsid w:val="006170F4"/>
    <w:rsid w:val="00617124"/>
    <w:rsid w:val="00617241"/>
    <w:rsid w:val="00617260"/>
    <w:rsid w:val="006172BD"/>
    <w:rsid w:val="00617404"/>
    <w:rsid w:val="0061754A"/>
    <w:rsid w:val="0061772D"/>
    <w:rsid w:val="0061776D"/>
    <w:rsid w:val="006178E5"/>
    <w:rsid w:val="00617913"/>
    <w:rsid w:val="006179F6"/>
    <w:rsid w:val="00617A2F"/>
    <w:rsid w:val="00617A85"/>
    <w:rsid w:val="00617BBD"/>
    <w:rsid w:val="00617C94"/>
    <w:rsid w:val="00617E11"/>
    <w:rsid w:val="00617F01"/>
    <w:rsid w:val="00617F73"/>
    <w:rsid w:val="006200E4"/>
    <w:rsid w:val="006201C7"/>
    <w:rsid w:val="006201D7"/>
    <w:rsid w:val="00620248"/>
    <w:rsid w:val="006202B5"/>
    <w:rsid w:val="006203CB"/>
    <w:rsid w:val="006203CD"/>
    <w:rsid w:val="00620582"/>
    <w:rsid w:val="006205C7"/>
    <w:rsid w:val="0062083D"/>
    <w:rsid w:val="00620882"/>
    <w:rsid w:val="00620B2B"/>
    <w:rsid w:val="00620BD3"/>
    <w:rsid w:val="00620D36"/>
    <w:rsid w:val="00620E01"/>
    <w:rsid w:val="00620E25"/>
    <w:rsid w:val="00620E71"/>
    <w:rsid w:val="00620F7C"/>
    <w:rsid w:val="00620FCC"/>
    <w:rsid w:val="0062118B"/>
    <w:rsid w:val="00621192"/>
    <w:rsid w:val="00621469"/>
    <w:rsid w:val="00621481"/>
    <w:rsid w:val="006214B8"/>
    <w:rsid w:val="006215E5"/>
    <w:rsid w:val="00621611"/>
    <w:rsid w:val="0062166C"/>
    <w:rsid w:val="0062172E"/>
    <w:rsid w:val="006217AE"/>
    <w:rsid w:val="00621C27"/>
    <w:rsid w:val="00621C8D"/>
    <w:rsid w:val="00621CC4"/>
    <w:rsid w:val="00621D2C"/>
    <w:rsid w:val="00621F04"/>
    <w:rsid w:val="00621FB5"/>
    <w:rsid w:val="0062204C"/>
    <w:rsid w:val="00622090"/>
    <w:rsid w:val="00622182"/>
    <w:rsid w:val="0062224F"/>
    <w:rsid w:val="00622285"/>
    <w:rsid w:val="006224CA"/>
    <w:rsid w:val="00622537"/>
    <w:rsid w:val="00622557"/>
    <w:rsid w:val="00622627"/>
    <w:rsid w:val="00622808"/>
    <w:rsid w:val="00622840"/>
    <w:rsid w:val="00622851"/>
    <w:rsid w:val="006228CC"/>
    <w:rsid w:val="006228D9"/>
    <w:rsid w:val="006228EC"/>
    <w:rsid w:val="00622925"/>
    <w:rsid w:val="00622A78"/>
    <w:rsid w:val="00622B06"/>
    <w:rsid w:val="00622B26"/>
    <w:rsid w:val="00622B53"/>
    <w:rsid w:val="00622C01"/>
    <w:rsid w:val="00622CEF"/>
    <w:rsid w:val="00622D08"/>
    <w:rsid w:val="00622E1D"/>
    <w:rsid w:val="00622F65"/>
    <w:rsid w:val="00622F7F"/>
    <w:rsid w:val="00623139"/>
    <w:rsid w:val="00623199"/>
    <w:rsid w:val="00623374"/>
    <w:rsid w:val="0062338B"/>
    <w:rsid w:val="006233D0"/>
    <w:rsid w:val="00623428"/>
    <w:rsid w:val="006234E9"/>
    <w:rsid w:val="006235B7"/>
    <w:rsid w:val="00623622"/>
    <w:rsid w:val="00623625"/>
    <w:rsid w:val="00623651"/>
    <w:rsid w:val="00623699"/>
    <w:rsid w:val="006237A3"/>
    <w:rsid w:val="0062386A"/>
    <w:rsid w:val="006239CC"/>
    <w:rsid w:val="00623A6D"/>
    <w:rsid w:val="00623CB8"/>
    <w:rsid w:val="00623CC7"/>
    <w:rsid w:val="00623D4D"/>
    <w:rsid w:val="00623DCA"/>
    <w:rsid w:val="0062400F"/>
    <w:rsid w:val="0062402C"/>
    <w:rsid w:val="006240A3"/>
    <w:rsid w:val="006240EA"/>
    <w:rsid w:val="0062415A"/>
    <w:rsid w:val="00624241"/>
    <w:rsid w:val="00624242"/>
    <w:rsid w:val="006243C9"/>
    <w:rsid w:val="006243D6"/>
    <w:rsid w:val="00624493"/>
    <w:rsid w:val="006244AD"/>
    <w:rsid w:val="006245CD"/>
    <w:rsid w:val="0062461F"/>
    <w:rsid w:val="00624663"/>
    <w:rsid w:val="006246FE"/>
    <w:rsid w:val="0062479A"/>
    <w:rsid w:val="00624878"/>
    <w:rsid w:val="0062487B"/>
    <w:rsid w:val="00624B48"/>
    <w:rsid w:val="00624BCE"/>
    <w:rsid w:val="00624C3D"/>
    <w:rsid w:val="00624E7E"/>
    <w:rsid w:val="00624F77"/>
    <w:rsid w:val="00624F80"/>
    <w:rsid w:val="00625002"/>
    <w:rsid w:val="006250CB"/>
    <w:rsid w:val="0062514E"/>
    <w:rsid w:val="006251D5"/>
    <w:rsid w:val="006253B8"/>
    <w:rsid w:val="006253F8"/>
    <w:rsid w:val="00625490"/>
    <w:rsid w:val="006254C0"/>
    <w:rsid w:val="006254D6"/>
    <w:rsid w:val="006254F0"/>
    <w:rsid w:val="006254FB"/>
    <w:rsid w:val="0062558E"/>
    <w:rsid w:val="006257ED"/>
    <w:rsid w:val="00625879"/>
    <w:rsid w:val="006258CA"/>
    <w:rsid w:val="006259B2"/>
    <w:rsid w:val="00625A02"/>
    <w:rsid w:val="00625A69"/>
    <w:rsid w:val="00625B01"/>
    <w:rsid w:val="00625B20"/>
    <w:rsid w:val="00625C0B"/>
    <w:rsid w:val="00625C7E"/>
    <w:rsid w:val="00625CAE"/>
    <w:rsid w:val="00625D57"/>
    <w:rsid w:val="00625FA2"/>
    <w:rsid w:val="006261F7"/>
    <w:rsid w:val="006264D2"/>
    <w:rsid w:val="006264D5"/>
    <w:rsid w:val="0062679A"/>
    <w:rsid w:val="006267AC"/>
    <w:rsid w:val="0062683D"/>
    <w:rsid w:val="00626859"/>
    <w:rsid w:val="00626915"/>
    <w:rsid w:val="0062693E"/>
    <w:rsid w:val="00626956"/>
    <w:rsid w:val="0062695A"/>
    <w:rsid w:val="00626BA9"/>
    <w:rsid w:val="00626C50"/>
    <w:rsid w:val="00626C52"/>
    <w:rsid w:val="00626C82"/>
    <w:rsid w:val="00626D72"/>
    <w:rsid w:val="00626D76"/>
    <w:rsid w:val="00626D7D"/>
    <w:rsid w:val="00626DE3"/>
    <w:rsid w:val="00626E1A"/>
    <w:rsid w:val="00626F0F"/>
    <w:rsid w:val="00626F6E"/>
    <w:rsid w:val="0062705A"/>
    <w:rsid w:val="00627114"/>
    <w:rsid w:val="006271D0"/>
    <w:rsid w:val="00627226"/>
    <w:rsid w:val="00627277"/>
    <w:rsid w:val="00627297"/>
    <w:rsid w:val="006272DF"/>
    <w:rsid w:val="0062742F"/>
    <w:rsid w:val="0062745B"/>
    <w:rsid w:val="006275FF"/>
    <w:rsid w:val="00627673"/>
    <w:rsid w:val="00627760"/>
    <w:rsid w:val="0062782B"/>
    <w:rsid w:val="00627AEE"/>
    <w:rsid w:val="00627B1D"/>
    <w:rsid w:val="00627B41"/>
    <w:rsid w:val="00627D3E"/>
    <w:rsid w:val="00627DBF"/>
    <w:rsid w:val="00627DC4"/>
    <w:rsid w:val="00627DDB"/>
    <w:rsid w:val="00627EE3"/>
    <w:rsid w:val="00627F33"/>
    <w:rsid w:val="00630035"/>
    <w:rsid w:val="00630067"/>
    <w:rsid w:val="00630184"/>
    <w:rsid w:val="00630290"/>
    <w:rsid w:val="00630409"/>
    <w:rsid w:val="006304C3"/>
    <w:rsid w:val="006305EE"/>
    <w:rsid w:val="0063063B"/>
    <w:rsid w:val="006307E2"/>
    <w:rsid w:val="00630A31"/>
    <w:rsid w:val="00630A70"/>
    <w:rsid w:val="00630B57"/>
    <w:rsid w:val="00630D6D"/>
    <w:rsid w:val="00630D7B"/>
    <w:rsid w:val="00630D96"/>
    <w:rsid w:val="00630E28"/>
    <w:rsid w:val="00630F23"/>
    <w:rsid w:val="00630FD9"/>
    <w:rsid w:val="00630FF7"/>
    <w:rsid w:val="00631031"/>
    <w:rsid w:val="00631108"/>
    <w:rsid w:val="00631169"/>
    <w:rsid w:val="0063119B"/>
    <w:rsid w:val="006312ED"/>
    <w:rsid w:val="0063130C"/>
    <w:rsid w:val="006313F8"/>
    <w:rsid w:val="00631541"/>
    <w:rsid w:val="006315ED"/>
    <w:rsid w:val="00631642"/>
    <w:rsid w:val="0063172B"/>
    <w:rsid w:val="0063192A"/>
    <w:rsid w:val="0063194F"/>
    <w:rsid w:val="00631976"/>
    <w:rsid w:val="00631A40"/>
    <w:rsid w:val="00631AE1"/>
    <w:rsid w:val="00631C54"/>
    <w:rsid w:val="00631CBA"/>
    <w:rsid w:val="00631DED"/>
    <w:rsid w:val="00631DFE"/>
    <w:rsid w:val="00631E1B"/>
    <w:rsid w:val="00631E49"/>
    <w:rsid w:val="0063203D"/>
    <w:rsid w:val="0063215E"/>
    <w:rsid w:val="006322EA"/>
    <w:rsid w:val="00632396"/>
    <w:rsid w:val="006323B4"/>
    <w:rsid w:val="006323E5"/>
    <w:rsid w:val="006325B4"/>
    <w:rsid w:val="006325DB"/>
    <w:rsid w:val="00632666"/>
    <w:rsid w:val="00632707"/>
    <w:rsid w:val="0063276E"/>
    <w:rsid w:val="0063278B"/>
    <w:rsid w:val="006328F5"/>
    <w:rsid w:val="00632A6A"/>
    <w:rsid w:val="00632B35"/>
    <w:rsid w:val="00632BA6"/>
    <w:rsid w:val="00632C3B"/>
    <w:rsid w:val="00632C76"/>
    <w:rsid w:val="00632D1E"/>
    <w:rsid w:val="00632DC3"/>
    <w:rsid w:val="00632E56"/>
    <w:rsid w:val="00632FF1"/>
    <w:rsid w:val="00633067"/>
    <w:rsid w:val="0063309D"/>
    <w:rsid w:val="006330EE"/>
    <w:rsid w:val="00633139"/>
    <w:rsid w:val="0063318E"/>
    <w:rsid w:val="0063319C"/>
    <w:rsid w:val="0063327F"/>
    <w:rsid w:val="006332B2"/>
    <w:rsid w:val="006332D1"/>
    <w:rsid w:val="0063330B"/>
    <w:rsid w:val="0063337D"/>
    <w:rsid w:val="006333BF"/>
    <w:rsid w:val="0063348E"/>
    <w:rsid w:val="00633568"/>
    <w:rsid w:val="006335B3"/>
    <w:rsid w:val="00633608"/>
    <w:rsid w:val="00633799"/>
    <w:rsid w:val="006337D1"/>
    <w:rsid w:val="0063380A"/>
    <w:rsid w:val="00633934"/>
    <w:rsid w:val="00633A9B"/>
    <w:rsid w:val="00633A9C"/>
    <w:rsid w:val="00633B16"/>
    <w:rsid w:val="00633B45"/>
    <w:rsid w:val="00633BBA"/>
    <w:rsid w:val="00633D11"/>
    <w:rsid w:val="00633E08"/>
    <w:rsid w:val="00633EAE"/>
    <w:rsid w:val="00633EF7"/>
    <w:rsid w:val="00633F98"/>
    <w:rsid w:val="00634253"/>
    <w:rsid w:val="006342A8"/>
    <w:rsid w:val="006342C1"/>
    <w:rsid w:val="006342D2"/>
    <w:rsid w:val="006342EF"/>
    <w:rsid w:val="006343F2"/>
    <w:rsid w:val="00634408"/>
    <w:rsid w:val="00634410"/>
    <w:rsid w:val="0063443E"/>
    <w:rsid w:val="00634470"/>
    <w:rsid w:val="0063460A"/>
    <w:rsid w:val="00634620"/>
    <w:rsid w:val="00634675"/>
    <w:rsid w:val="00634774"/>
    <w:rsid w:val="00634A81"/>
    <w:rsid w:val="00634D15"/>
    <w:rsid w:val="00634F40"/>
    <w:rsid w:val="00634FDF"/>
    <w:rsid w:val="00635204"/>
    <w:rsid w:val="006352CE"/>
    <w:rsid w:val="00635388"/>
    <w:rsid w:val="0063555A"/>
    <w:rsid w:val="00635734"/>
    <w:rsid w:val="006357F7"/>
    <w:rsid w:val="00635811"/>
    <w:rsid w:val="0063589F"/>
    <w:rsid w:val="006358FB"/>
    <w:rsid w:val="00635929"/>
    <w:rsid w:val="0063595F"/>
    <w:rsid w:val="00635AC1"/>
    <w:rsid w:val="00635B19"/>
    <w:rsid w:val="00635B54"/>
    <w:rsid w:val="00635BA8"/>
    <w:rsid w:val="00635D4F"/>
    <w:rsid w:val="006360CB"/>
    <w:rsid w:val="0063623C"/>
    <w:rsid w:val="0063645A"/>
    <w:rsid w:val="0063648D"/>
    <w:rsid w:val="006364EA"/>
    <w:rsid w:val="00636524"/>
    <w:rsid w:val="00636611"/>
    <w:rsid w:val="00636620"/>
    <w:rsid w:val="00636623"/>
    <w:rsid w:val="0063672F"/>
    <w:rsid w:val="006367C5"/>
    <w:rsid w:val="006367DD"/>
    <w:rsid w:val="006368C8"/>
    <w:rsid w:val="00636916"/>
    <w:rsid w:val="00636A0B"/>
    <w:rsid w:val="00636A1C"/>
    <w:rsid w:val="00636AAA"/>
    <w:rsid w:val="00636B31"/>
    <w:rsid w:val="00636B85"/>
    <w:rsid w:val="00636BF9"/>
    <w:rsid w:val="00636CC8"/>
    <w:rsid w:val="00637048"/>
    <w:rsid w:val="00637248"/>
    <w:rsid w:val="006372BA"/>
    <w:rsid w:val="006373DE"/>
    <w:rsid w:val="00637488"/>
    <w:rsid w:val="006374AC"/>
    <w:rsid w:val="0063766E"/>
    <w:rsid w:val="0063780F"/>
    <w:rsid w:val="0063792E"/>
    <w:rsid w:val="00637A97"/>
    <w:rsid w:val="00637CF9"/>
    <w:rsid w:val="00637D6E"/>
    <w:rsid w:val="00637E2C"/>
    <w:rsid w:val="00637EDC"/>
    <w:rsid w:val="00637F33"/>
    <w:rsid w:val="00637FA6"/>
    <w:rsid w:val="0064011F"/>
    <w:rsid w:val="006401BB"/>
    <w:rsid w:val="006401CA"/>
    <w:rsid w:val="00640485"/>
    <w:rsid w:val="0064049D"/>
    <w:rsid w:val="00640580"/>
    <w:rsid w:val="0064061C"/>
    <w:rsid w:val="006406DA"/>
    <w:rsid w:val="006406E1"/>
    <w:rsid w:val="006408A9"/>
    <w:rsid w:val="00640914"/>
    <w:rsid w:val="00640974"/>
    <w:rsid w:val="00640A44"/>
    <w:rsid w:val="00640AD2"/>
    <w:rsid w:val="00640AEB"/>
    <w:rsid w:val="00640B23"/>
    <w:rsid w:val="00640B96"/>
    <w:rsid w:val="00640BD2"/>
    <w:rsid w:val="00640C14"/>
    <w:rsid w:val="00640C91"/>
    <w:rsid w:val="00640D52"/>
    <w:rsid w:val="00640EA9"/>
    <w:rsid w:val="00640F4D"/>
    <w:rsid w:val="00640F7D"/>
    <w:rsid w:val="00641000"/>
    <w:rsid w:val="00641086"/>
    <w:rsid w:val="006413F1"/>
    <w:rsid w:val="006414F0"/>
    <w:rsid w:val="00641583"/>
    <w:rsid w:val="00641618"/>
    <w:rsid w:val="00641648"/>
    <w:rsid w:val="00641698"/>
    <w:rsid w:val="006417B3"/>
    <w:rsid w:val="006417CF"/>
    <w:rsid w:val="00641954"/>
    <w:rsid w:val="00641960"/>
    <w:rsid w:val="00641989"/>
    <w:rsid w:val="00641A18"/>
    <w:rsid w:val="00641B69"/>
    <w:rsid w:val="00641C85"/>
    <w:rsid w:val="00641CC4"/>
    <w:rsid w:val="00641D17"/>
    <w:rsid w:val="00641DCE"/>
    <w:rsid w:val="00641DD2"/>
    <w:rsid w:val="00641F33"/>
    <w:rsid w:val="00641F35"/>
    <w:rsid w:val="00641F74"/>
    <w:rsid w:val="00641F8A"/>
    <w:rsid w:val="006420C3"/>
    <w:rsid w:val="006420DF"/>
    <w:rsid w:val="00642119"/>
    <w:rsid w:val="006421B0"/>
    <w:rsid w:val="00642303"/>
    <w:rsid w:val="0064233D"/>
    <w:rsid w:val="0064244A"/>
    <w:rsid w:val="00642479"/>
    <w:rsid w:val="006424F0"/>
    <w:rsid w:val="006424F9"/>
    <w:rsid w:val="00642590"/>
    <w:rsid w:val="00642667"/>
    <w:rsid w:val="006426BB"/>
    <w:rsid w:val="0064270B"/>
    <w:rsid w:val="00642771"/>
    <w:rsid w:val="0064292B"/>
    <w:rsid w:val="00642936"/>
    <w:rsid w:val="0064296A"/>
    <w:rsid w:val="00642973"/>
    <w:rsid w:val="00642A33"/>
    <w:rsid w:val="00642A50"/>
    <w:rsid w:val="00642B30"/>
    <w:rsid w:val="00642BFD"/>
    <w:rsid w:val="00642C8F"/>
    <w:rsid w:val="00642D13"/>
    <w:rsid w:val="00642DCA"/>
    <w:rsid w:val="00643095"/>
    <w:rsid w:val="00643184"/>
    <w:rsid w:val="00643334"/>
    <w:rsid w:val="006433EA"/>
    <w:rsid w:val="0064344A"/>
    <w:rsid w:val="006434C8"/>
    <w:rsid w:val="006437BC"/>
    <w:rsid w:val="006437F7"/>
    <w:rsid w:val="0064385E"/>
    <w:rsid w:val="006438FA"/>
    <w:rsid w:val="00643932"/>
    <w:rsid w:val="006439A4"/>
    <w:rsid w:val="00643AD6"/>
    <w:rsid w:val="00643AF4"/>
    <w:rsid w:val="00643B30"/>
    <w:rsid w:val="00643BA5"/>
    <w:rsid w:val="00643C13"/>
    <w:rsid w:val="00643F14"/>
    <w:rsid w:val="00643F15"/>
    <w:rsid w:val="00643F3C"/>
    <w:rsid w:val="00643FA5"/>
    <w:rsid w:val="00644053"/>
    <w:rsid w:val="006441FC"/>
    <w:rsid w:val="0064438D"/>
    <w:rsid w:val="00644483"/>
    <w:rsid w:val="006444B0"/>
    <w:rsid w:val="00644555"/>
    <w:rsid w:val="00644825"/>
    <w:rsid w:val="006448FF"/>
    <w:rsid w:val="00644A96"/>
    <w:rsid w:val="00644B73"/>
    <w:rsid w:val="00644BF6"/>
    <w:rsid w:val="00644C9C"/>
    <w:rsid w:val="00644CDB"/>
    <w:rsid w:val="00645058"/>
    <w:rsid w:val="00645059"/>
    <w:rsid w:val="00645073"/>
    <w:rsid w:val="006451D3"/>
    <w:rsid w:val="00645203"/>
    <w:rsid w:val="0064522C"/>
    <w:rsid w:val="0064523F"/>
    <w:rsid w:val="00645295"/>
    <w:rsid w:val="006452B4"/>
    <w:rsid w:val="00645346"/>
    <w:rsid w:val="0064568B"/>
    <w:rsid w:val="006456CB"/>
    <w:rsid w:val="00645856"/>
    <w:rsid w:val="00645863"/>
    <w:rsid w:val="00645883"/>
    <w:rsid w:val="00645B1D"/>
    <w:rsid w:val="00645B43"/>
    <w:rsid w:val="00645B5B"/>
    <w:rsid w:val="00645C39"/>
    <w:rsid w:val="00645CCE"/>
    <w:rsid w:val="00645ED7"/>
    <w:rsid w:val="00646078"/>
    <w:rsid w:val="006462A7"/>
    <w:rsid w:val="006462C4"/>
    <w:rsid w:val="0064630F"/>
    <w:rsid w:val="0064677D"/>
    <w:rsid w:val="00646858"/>
    <w:rsid w:val="00646910"/>
    <w:rsid w:val="006469DC"/>
    <w:rsid w:val="00646A82"/>
    <w:rsid w:val="00646C19"/>
    <w:rsid w:val="00646CA4"/>
    <w:rsid w:val="00646CCC"/>
    <w:rsid w:val="00646D48"/>
    <w:rsid w:val="00646F77"/>
    <w:rsid w:val="0064704B"/>
    <w:rsid w:val="006470C9"/>
    <w:rsid w:val="00647124"/>
    <w:rsid w:val="0064712A"/>
    <w:rsid w:val="00647169"/>
    <w:rsid w:val="006471DB"/>
    <w:rsid w:val="0064733E"/>
    <w:rsid w:val="006473DB"/>
    <w:rsid w:val="00647469"/>
    <w:rsid w:val="006474A3"/>
    <w:rsid w:val="006474C5"/>
    <w:rsid w:val="0064754B"/>
    <w:rsid w:val="006476B0"/>
    <w:rsid w:val="00647700"/>
    <w:rsid w:val="006477D3"/>
    <w:rsid w:val="0064786D"/>
    <w:rsid w:val="0064793D"/>
    <w:rsid w:val="00647964"/>
    <w:rsid w:val="00647AC9"/>
    <w:rsid w:val="00647AE5"/>
    <w:rsid w:val="00647BFD"/>
    <w:rsid w:val="00647C55"/>
    <w:rsid w:val="00647CD0"/>
    <w:rsid w:val="00647DFE"/>
    <w:rsid w:val="00647E59"/>
    <w:rsid w:val="00647EDE"/>
    <w:rsid w:val="00650014"/>
    <w:rsid w:val="00650383"/>
    <w:rsid w:val="0065043C"/>
    <w:rsid w:val="00650446"/>
    <w:rsid w:val="00650489"/>
    <w:rsid w:val="006505F0"/>
    <w:rsid w:val="00650645"/>
    <w:rsid w:val="00650670"/>
    <w:rsid w:val="00650681"/>
    <w:rsid w:val="006506FB"/>
    <w:rsid w:val="006507B4"/>
    <w:rsid w:val="0065084B"/>
    <w:rsid w:val="00650854"/>
    <w:rsid w:val="00650860"/>
    <w:rsid w:val="00650937"/>
    <w:rsid w:val="006509C3"/>
    <w:rsid w:val="00650A16"/>
    <w:rsid w:val="00650ACF"/>
    <w:rsid w:val="00650AE4"/>
    <w:rsid w:val="00650C8F"/>
    <w:rsid w:val="00650E62"/>
    <w:rsid w:val="00650F91"/>
    <w:rsid w:val="00650FA9"/>
    <w:rsid w:val="00650FC8"/>
    <w:rsid w:val="00650FFA"/>
    <w:rsid w:val="006510C8"/>
    <w:rsid w:val="00651118"/>
    <w:rsid w:val="00651265"/>
    <w:rsid w:val="0065127F"/>
    <w:rsid w:val="006512E0"/>
    <w:rsid w:val="0065131D"/>
    <w:rsid w:val="00651340"/>
    <w:rsid w:val="00651397"/>
    <w:rsid w:val="0065145C"/>
    <w:rsid w:val="0065149D"/>
    <w:rsid w:val="0065156A"/>
    <w:rsid w:val="00651664"/>
    <w:rsid w:val="00651699"/>
    <w:rsid w:val="00651778"/>
    <w:rsid w:val="00651808"/>
    <w:rsid w:val="0065193D"/>
    <w:rsid w:val="0065195C"/>
    <w:rsid w:val="006519A7"/>
    <w:rsid w:val="00651A2B"/>
    <w:rsid w:val="00651A51"/>
    <w:rsid w:val="00651ADF"/>
    <w:rsid w:val="00651AE9"/>
    <w:rsid w:val="00651B84"/>
    <w:rsid w:val="00651BAE"/>
    <w:rsid w:val="00651BC0"/>
    <w:rsid w:val="00651C39"/>
    <w:rsid w:val="00651ECA"/>
    <w:rsid w:val="00651F46"/>
    <w:rsid w:val="00651FA6"/>
    <w:rsid w:val="006520DF"/>
    <w:rsid w:val="006521F8"/>
    <w:rsid w:val="00652246"/>
    <w:rsid w:val="00652258"/>
    <w:rsid w:val="0065237D"/>
    <w:rsid w:val="00652454"/>
    <w:rsid w:val="0065249B"/>
    <w:rsid w:val="006524B8"/>
    <w:rsid w:val="006524F0"/>
    <w:rsid w:val="00652522"/>
    <w:rsid w:val="006525BE"/>
    <w:rsid w:val="006526A1"/>
    <w:rsid w:val="006526CB"/>
    <w:rsid w:val="0065274A"/>
    <w:rsid w:val="0065276A"/>
    <w:rsid w:val="0065289D"/>
    <w:rsid w:val="00652AAB"/>
    <w:rsid w:val="00652AF7"/>
    <w:rsid w:val="00652BFF"/>
    <w:rsid w:val="00652DA2"/>
    <w:rsid w:val="00652E4A"/>
    <w:rsid w:val="00652E6E"/>
    <w:rsid w:val="00652FFD"/>
    <w:rsid w:val="00653089"/>
    <w:rsid w:val="0065310E"/>
    <w:rsid w:val="00653141"/>
    <w:rsid w:val="006531BA"/>
    <w:rsid w:val="006531BD"/>
    <w:rsid w:val="006532A2"/>
    <w:rsid w:val="006533E8"/>
    <w:rsid w:val="006534C7"/>
    <w:rsid w:val="006534FD"/>
    <w:rsid w:val="00653554"/>
    <w:rsid w:val="00653571"/>
    <w:rsid w:val="00653623"/>
    <w:rsid w:val="00653727"/>
    <w:rsid w:val="00653746"/>
    <w:rsid w:val="006537A4"/>
    <w:rsid w:val="006538FE"/>
    <w:rsid w:val="00653941"/>
    <w:rsid w:val="0065398A"/>
    <w:rsid w:val="0065398B"/>
    <w:rsid w:val="006539C6"/>
    <w:rsid w:val="006539D2"/>
    <w:rsid w:val="00653B9E"/>
    <w:rsid w:val="00653BC4"/>
    <w:rsid w:val="00653BE5"/>
    <w:rsid w:val="00653BE9"/>
    <w:rsid w:val="00653C1F"/>
    <w:rsid w:val="00653C44"/>
    <w:rsid w:val="00653C8F"/>
    <w:rsid w:val="00653E2C"/>
    <w:rsid w:val="00653FCE"/>
    <w:rsid w:val="00653FD1"/>
    <w:rsid w:val="00653FF6"/>
    <w:rsid w:val="006541C7"/>
    <w:rsid w:val="00654458"/>
    <w:rsid w:val="006544E8"/>
    <w:rsid w:val="006545F2"/>
    <w:rsid w:val="00654690"/>
    <w:rsid w:val="006547B9"/>
    <w:rsid w:val="00654857"/>
    <w:rsid w:val="006548AD"/>
    <w:rsid w:val="0065495D"/>
    <w:rsid w:val="00654979"/>
    <w:rsid w:val="00654A67"/>
    <w:rsid w:val="00654A8E"/>
    <w:rsid w:val="00654B2F"/>
    <w:rsid w:val="00654B90"/>
    <w:rsid w:val="00654CDA"/>
    <w:rsid w:val="00654D15"/>
    <w:rsid w:val="00654D78"/>
    <w:rsid w:val="00654D8E"/>
    <w:rsid w:val="00654DDA"/>
    <w:rsid w:val="00655010"/>
    <w:rsid w:val="006551AF"/>
    <w:rsid w:val="0065520C"/>
    <w:rsid w:val="006552CF"/>
    <w:rsid w:val="006553AF"/>
    <w:rsid w:val="006554C8"/>
    <w:rsid w:val="00655788"/>
    <w:rsid w:val="0065583A"/>
    <w:rsid w:val="00655878"/>
    <w:rsid w:val="006558A9"/>
    <w:rsid w:val="006558D7"/>
    <w:rsid w:val="0065593E"/>
    <w:rsid w:val="00655A99"/>
    <w:rsid w:val="00655ACF"/>
    <w:rsid w:val="00655B43"/>
    <w:rsid w:val="00655CAA"/>
    <w:rsid w:val="00655CD4"/>
    <w:rsid w:val="00655D29"/>
    <w:rsid w:val="00655D81"/>
    <w:rsid w:val="00655E25"/>
    <w:rsid w:val="00655EB2"/>
    <w:rsid w:val="00655EE9"/>
    <w:rsid w:val="00655FE7"/>
    <w:rsid w:val="0065601A"/>
    <w:rsid w:val="00656092"/>
    <w:rsid w:val="006560C3"/>
    <w:rsid w:val="00656129"/>
    <w:rsid w:val="006561C2"/>
    <w:rsid w:val="00656211"/>
    <w:rsid w:val="006562A4"/>
    <w:rsid w:val="0065639F"/>
    <w:rsid w:val="0065690C"/>
    <w:rsid w:val="00656912"/>
    <w:rsid w:val="006569FD"/>
    <w:rsid w:val="00656B51"/>
    <w:rsid w:val="00656CA5"/>
    <w:rsid w:val="00656DE3"/>
    <w:rsid w:val="0065718B"/>
    <w:rsid w:val="006574EC"/>
    <w:rsid w:val="0065768C"/>
    <w:rsid w:val="006577DE"/>
    <w:rsid w:val="0065780E"/>
    <w:rsid w:val="00657A33"/>
    <w:rsid w:val="00657A6E"/>
    <w:rsid w:val="00657C4D"/>
    <w:rsid w:val="00657DA1"/>
    <w:rsid w:val="00657E67"/>
    <w:rsid w:val="00657F0B"/>
    <w:rsid w:val="006600A9"/>
    <w:rsid w:val="0066010A"/>
    <w:rsid w:val="0066018F"/>
    <w:rsid w:val="006601BB"/>
    <w:rsid w:val="006601DA"/>
    <w:rsid w:val="006602CB"/>
    <w:rsid w:val="006602DD"/>
    <w:rsid w:val="006603A0"/>
    <w:rsid w:val="006603B8"/>
    <w:rsid w:val="006603E3"/>
    <w:rsid w:val="0066042F"/>
    <w:rsid w:val="0066043F"/>
    <w:rsid w:val="006604C9"/>
    <w:rsid w:val="006604E5"/>
    <w:rsid w:val="006604FF"/>
    <w:rsid w:val="0066052D"/>
    <w:rsid w:val="0066065F"/>
    <w:rsid w:val="00660682"/>
    <w:rsid w:val="006606C3"/>
    <w:rsid w:val="00660879"/>
    <w:rsid w:val="006608E1"/>
    <w:rsid w:val="006608FB"/>
    <w:rsid w:val="00660939"/>
    <w:rsid w:val="00660A22"/>
    <w:rsid w:val="00660AA6"/>
    <w:rsid w:val="00660ADE"/>
    <w:rsid w:val="00660B3A"/>
    <w:rsid w:val="00660B64"/>
    <w:rsid w:val="00660D03"/>
    <w:rsid w:val="00660E3F"/>
    <w:rsid w:val="00660ED8"/>
    <w:rsid w:val="00660F36"/>
    <w:rsid w:val="006610B6"/>
    <w:rsid w:val="006610EB"/>
    <w:rsid w:val="006610F8"/>
    <w:rsid w:val="006613EB"/>
    <w:rsid w:val="006613F6"/>
    <w:rsid w:val="00661430"/>
    <w:rsid w:val="0066146E"/>
    <w:rsid w:val="0066174A"/>
    <w:rsid w:val="0066184F"/>
    <w:rsid w:val="006618F0"/>
    <w:rsid w:val="0066195B"/>
    <w:rsid w:val="00661A83"/>
    <w:rsid w:val="00661AC1"/>
    <w:rsid w:val="00661B24"/>
    <w:rsid w:val="00661B66"/>
    <w:rsid w:val="00661B70"/>
    <w:rsid w:val="00661B92"/>
    <w:rsid w:val="00661BB0"/>
    <w:rsid w:val="00661BF6"/>
    <w:rsid w:val="00661CBA"/>
    <w:rsid w:val="00661E32"/>
    <w:rsid w:val="00661E5F"/>
    <w:rsid w:val="0066209B"/>
    <w:rsid w:val="0066236F"/>
    <w:rsid w:val="0066237C"/>
    <w:rsid w:val="006623A1"/>
    <w:rsid w:val="006623BB"/>
    <w:rsid w:val="006623BC"/>
    <w:rsid w:val="00662440"/>
    <w:rsid w:val="00662528"/>
    <w:rsid w:val="0066268F"/>
    <w:rsid w:val="00662693"/>
    <w:rsid w:val="006626D0"/>
    <w:rsid w:val="0066273D"/>
    <w:rsid w:val="0066273E"/>
    <w:rsid w:val="00662851"/>
    <w:rsid w:val="00662876"/>
    <w:rsid w:val="0066290B"/>
    <w:rsid w:val="006629BC"/>
    <w:rsid w:val="00662A5A"/>
    <w:rsid w:val="00662BDC"/>
    <w:rsid w:val="00662C00"/>
    <w:rsid w:val="00662C05"/>
    <w:rsid w:val="00662D83"/>
    <w:rsid w:val="00662F20"/>
    <w:rsid w:val="00663053"/>
    <w:rsid w:val="006630DE"/>
    <w:rsid w:val="0066315A"/>
    <w:rsid w:val="00663193"/>
    <w:rsid w:val="0066319A"/>
    <w:rsid w:val="006631A0"/>
    <w:rsid w:val="006631A9"/>
    <w:rsid w:val="00663345"/>
    <w:rsid w:val="0066337D"/>
    <w:rsid w:val="006633E7"/>
    <w:rsid w:val="00663491"/>
    <w:rsid w:val="006635E5"/>
    <w:rsid w:val="006636CA"/>
    <w:rsid w:val="00663830"/>
    <w:rsid w:val="006639AE"/>
    <w:rsid w:val="00663AA8"/>
    <w:rsid w:val="00663B3D"/>
    <w:rsid w:val="00663C64"/>
    <w:rsid w:val="00663CAF"/>
    <w:rsid w:val="00663CCD"/>
    <w:rsid w:val="00663DCC"/>
    <w:rsid w:val="00663DEE"/>
    <w:rsid w:val="00663E90"/>
    <w:rsid w:val="00663E92"/>
    <w:rsid w:val="00663EDF"/>
    <w:rsid w:val="00663FCE"/>
    <w:rsid w:val="00664020"/>
    <w:rsid w:val="0066405B"/>
    <w:rsid w:val="00664082"/>
    <w:rsid w:val="00664184"/>
    <w:rsid w:val="006641C4"/>
    <w:rsid w:val="006643EF"/>
    <w:rsid w:val="00664432"/>
    <w:rsid w:val="006645F7"/>
    <w:rsid w:val="00664818"/>
    <w:rsid w:val="00664898"/>
    <w:rsid w:val="006648FE"/>
    <w:rsid w:val="006649A7"/>
    <w:rsid w:val="006649C9"/>
    <w:rsid w:val="00664CCC"/>
    <w:rsid w:val="00664E17"/>
    <w:rsid w:val="00664F40"/>
    <w:rsid w:val="00664FC1"/>
    <w:rsid w:val="0066501B"/>
    <w:rsid w:val="006650CA"/>
    <w:rsid w:val="00665127"/>
    <w:rsid w:val="006651E1"/>
    <w:rsid w:val="006651E6"/>
    <w:rsid w:val="006651FE"/>
    <w:rsid w:val="00665293"/>
    <w:rsid w:val="0066529D"/>
    <w:rsid w:val="006653BF"/>
    <w:rsid w:val="006654BF"/>
    <w:rsid w:val="0066552A"/>
    <w:rsid w:val="00665532"/>
    <w:rsid w:val="006655D9"/>
    <w:rsid w:val="0066574B"/>
    <w:rsid w:val="0066598B"/>
    <w:rsid w:val="00665A70"/>
    <w:rsid w:val="00665D8F"/>
    <w:rsid w:val="00665ECB"/>
    <w:rsid w:val="00665EED"/>
    <w:rsid w:val="006660C0"/>
    <w:rsid w:val="006660DC"/>
    <w:rsid w:val="0066616A"/>
    <w:rsid w:val="006661DF"/>
    <w:rsid w:val="00666291"/>
    <w:rsid w:val="0066635F"/>
    <w:rsid w:val="00666442"/>
    <w:rsid w:val="0066647C"/>
    <w:rsid w:val="00666485"/>
    <w:rsid w:val="00666544"/>
    <w:rsid w:val="00666552"/>
    <w:rsid w:val="0066670A"/>
    <w:rsid w:val="00666718"/>
    <w:rsid w:val="0066672D"/>
    <w:rsid w:val="0066681F"/>
    <w:rsid w:val="0066683B"/>
    <w:rsid w:val="006669B0"/>
    <w:rsid w:val="006669BC"/>
    <w:rsid w:val="00666A21"/>
    <w:rsid w:val="00666B7A"/>
    <w:rsid w:val="00666C8C"/>
    <w:rsid w:val="00666D32"/>
    <w:rsid w:val="00666E44"/>
    <w:rsid w:val="00666FA6"/>
    <w:rsid w:val="00667048"/>
    <w:rsid w:val="00667076"/>
    <w:rsid w:val="006670AE"/>
    <w:rsid w:val="0066722A"/>
    <w:rsid w:val="0066729D"/>
    <w:rsid w:val="00667437"/>
    <w:rsid w:val="0066744B"/>
    <w:rsid w:val="006674F4"/>
    <w:rsid w:val="0066767F"/>
    <w:rsid w:val="00667791"/>
    <w:rsid w:val="00667816"/>
    <w:rsid w:val="00667A25"/>
    <w:rsid w:val="00667A9D"/>
    <w:rsid w:val="00667B1E"/>
    <w:rsid w:val="00667C08"/>
    <w:rsid w:val="00667C4B"/>
    <w:rsid w:val="00667D31"/>
    <w:rsid w:val="00667D4A"/>
    <w:rsid w:val="00667EE6"/>
    <w:rsid w:val="00670022"/>
    <w:rsid w:val="00670043"/>
    <w:rsid w:val="006700F1"/>
    <w:rsid w:val="0067030B"/>
    <w:rsid w:val="00670896"/>
    <w:rsid w:val="00670BDA"/>
    <w:rsid w:val="00670C5F"/>
    <w:rsid w:val="00670C98"/>
    <w:rsid w:val="00670D3D"/>
    <w:rsid w:val="00670D8E"/>
    <w:rsid w:val="00670E75"/>
    <w:rsid w:val="00670EC1"/>
    <w:rsid w:val="00670F7E"/>
    <w:rsid w:val="00670F84"/>
    <w:rsid w:val="00670FA1"/>
    <w:rsid w:val="0067106F"/>
    <w:rsid w:val="00671133"/>
    <w:rsid w:val="006712B4"/>
    <w:rsid w:val="006712D9"/>
    <w:rsid w:val="0067149B"/>
    <w:rsid w:val="006714D6"/>
    <w:rsid w:val="0067156F"/>
    <w:rsid w:val="00671594"/>
    <w:rsid w:val="00671624"/>
    <w:rsid w:val="0067175B"/>
    <w:rsid w:val="0067185C"/>
    <w:rsid w:val="006718CC"/>
    <w:rsid w:val="00671939"/>
    <w:rsid w:val="00671AA5"/>
    <w:rsid w:val="00671B0B"/>
    <w:rsid w:val="00671BF0"/>
    <w:rsid w:val="00671CC3"/>
    <w:rsid w:val="00671D4E"/>
    <w:rsid w:val="00671D9F"/>
    <w:rsid w:val="00671DB4"/>
    <w:rsid w:val="00671EFD"/>
    <w:rsid w:val="00671F10"/>
    <w:rsid w:val="00671F15"/>
    <w:rsid w:val="00671FB4"/>
    <w:rsid w:val="00671FC5"/>
    <w:rsid w:val="006720E5"/>
    <w:rsid w:val="00672143"/>
    <w:rsid w:val="006721D7"/>
    <w:rsid w:val="00672253"/>
    <w:rsid w:val="006722C2"/>
    <w:rsid w:val="00672303"/>
    <w:rsid w:val="006723AE"/>
    <w:rsid w:val="0067263B"/>
    <w:rsid w:val="0067264A"/>
    <w:rsid w:val="00672762"/>
    <w:rsid w:val="00672918"/>
    <w:rsid w:val="0067294F"/>
    <w:rsid w:val="00672A76"/>
    <w:rsid w:val="00672A7B"/>
    <w:rsid w:val="00672E95"/>
    <w:rsid w:val="00673059"/>
    <w:rsid w:val="00673065"/>
    <w:rsid w:val="00673385"/>
    <w:rsid w:val="00673514"/>
    <w:rsid w:val="00673652"/>
    <w:rsid w:val="006737AB"/>
    <w:rsid w:val="00673AA0"/>
    <w:rsid w:val="00673B1F"/>
    <w:rsid w:val="00673BA2"/>
    <w:rsid w:val="00673BDF"/>
    <w:rsid w:val="00673CC6"/>
    <w:rsid w:val="00673CF1"/>
    <w:rsid w:val="00673D3C"/>
    <w:rsid w:val="00673DAB"/>
    <w:rsid w:val="00673DDF"/>
    <w:rsid w:val="00673F3D"/>
    <w:rsid w:val="00674364"/>
    <w:rsid w:val="00674516"/>
    <w:rsid w:val="00674555"/>
    <w:rsid w:val="0067456E"/>
    <w:rsid w:val="00674575"/>
    <w:rsid w:val="006745D3"/>
    <w:rsid w:val="006746C0"/>
    <w:rsid w:val="006747EA"/>
    <w:rsid w:val="006748DC"/>
    <w:rsid w:val="00674A9B"/>
    <w:rsid w:val="00674B90"/>
    <w:rsid w:val="00674BBA"/>
    <w:rsid w:val="00674BEB"/>
    <w:rsid w:val="00674CC1"/>
    <w:rsid w:val="00674D32"/>
    <w:rsid w:val="00674F05"/>
    <w:rsid w:val="00674F47"/>
    <w:rsid w:val="00674FA6"/>
    <w:rsid w:val="00675050"/>
    <w:rsid w:val="006752C5"/>
    <w:rsid w:val="00675451"/>
    <w:rsid w:val="00675AE7"/>
    <w:rsid w:val="00675B42"/>
    <w:rsid w:val="00675D78"/>
    <w:rsid w:val="00675E84"/>
    <w:rsid w:val="00675E98"/>
    <w:rsid w:val="00675FA9"/>
    <w:rsid w:val="0067604F"/>
    <w:rsid w:val="006760BD"/>
    <w:rsid w:val="006760ED"/>
    <w:rsid w:val="00676152"/>
    <w:rsid w:val="006762B4"/>
    <w:rsid w:val="006762E1"/>
    <w:rsid w:val="006763A2"/>
    <w:rsid w:val="006764A8"/>
    <w:rsid w:val="006764CA"/>
    <w:rsid w:val="00676A4F"/>
    <w:rsid w:val="00676A6F"/>
    <w:rsid w:val="00676CE2"/>
    <w:rsid w:val="00676D80"/>
    <w:rsid w:val="00676DC2"/>
    <w:rsid w:val="00676DDF"/>
    <w:rsid w:val="00676E5A"/>
    <w:rsid w:val="00676EEA"/>
    <w:rsid w:val="00676F2C"/>
    <w:rsid w:val="00676FF6"/>
    <w:rsid w:val="00677216"/>
    <w:rsid w:val="006774C8"/>
    <w:rsid w:val="00677542"/>
    <w:rsid w:val="006776AD"/>
    <w:rsid w:val="00677794"/>
    <w:rsid w:val="0067779E"/>
    <w:rsid w:val="006777CE"/>
    <w:rsid w:val="006777EF"/>
    <w:rsid w:val="00677803"/>
    <w:rsid w:val="00677855"/>
    <w:rsid w:val="006778A6"/>
    <w:rsid w:val="00677944"/>
    <w:rsid w:val="006779A9"/>
    <w:rsid w:val="00677A33"/>
    <w:rsid w:val="00677B28"/>
    <w:rsid w:val="00677CB0"/>
    <w:rsid w:val="00677E0E"/>
    <w:rsid w:val="00677E5A"/>
    <w:rsid w:val="00677E5B"/>
    <w:rsid w:val="00677E81"/>
    <w:rsid w:val="0068010E"/>
    <w:rsid w:val="00680294"/>
    <w:rsid w:val="00680342"/>
    <w:rsid w:val="00680349"/>
    <w:rsid w:val="0068041D"/>
    <w:rsid w:val="0068046E"/>
    <w:rsid w:val="006804F0"/>
    <w:rsid w:val="00680695"/>
    <w:rsid w:val="006806EF"/>
    <w:rsid w:val="00680728"/>
    <w:rsid w:val="00680750"/>
    <w:rsid w:val="00680952"/>
    <w:rsid w:val="00680A0D"/>
    <w:rsid w:val="00680AB6"/>
    <w:rsid w:val="00680ABA"/>
    <w:rsid w:val="00680C67"/>
    <w:rsid w:val="00680C9F"/>
    <w:rsid w:val="00680CA8"/>
    <w:rsid w:val="00680DA0"/>
    <w:rsid w:val="00680DD1"/>
    <w:rsid w:val="00680DFC"/>
    <w:rsid w:val="00680E0F"/>
    <w:rsid w:val="00680E59"/>
    <w:rsid w:val="00681003"/>
    <w:rsid w:val="00681076"/>
    <w:rsid w:val="006810EB"/>
    <w:rsid w:val="006810F8"/>
    <w:rsid w:val="006811AE"/>
    <w:rsid w:val="0068124C"/>
    <w:rsid w:val="006812B4"/>
    <w:rsid w:val="006812E7"/>
    <w:rsid w:val="00681306"/>
    <w:rsid w:val="00681418"/>
    <w:rsid w:val="00681465"/>
    <w:rsid w:val="006814D2"/>
    <w:rsid w:val="006816A0"/>
    <w:rsid w:val="0068180D"/>
    <w:rsid w:val="00681922"/>
    <w:rsid w:val="00681A18"/>
    <w:rsid w:val="00681C71"/>
    <w:rsid w:val="00681CF1"/>
    <w:rsid w:val="00681D86"/>
    <w:rsid w:val="00681F4D"/>
    <w:rsid w:val="006820D0"/>
    <w:rsid w:val="00682156"/>
    <w:rsid w:val="006821E9"/>
    <w:rsid w:val="00682422"/>
    <w:rsid w:val="0068249B"/>
    <w:rsid w:val="006824D2"/>
    <w:rsid w:val="006825C1"/>
    <w:rsid w:val="00682642"/>
    <w:rsid w:val="006826D4"/>
    <w:rsid w:val="0068291F"/>
    <w:rsid w:val="00682A8F"/>
    <w:rsid w:val="00682BE1"/>
    <w:rsid w:val="00682C8F"/>
    <w:rsid w:val="00682D30"/>
    <w:rsid w:val="0068304A"/>
    <w:rsid w:val="006830A6"/>
    <w:rsid w:val="006830BD"/>
    <w:rsid w:val="006830D3"/>
    <w:rsid w:val="00683146"/>
    <w:rsid w:val="00683190"/>
    <w:rsid w:val="00683243"/>
    <w:rsid w:val="0068325E"/>
    <w:rsid w:val="00683302"/>
    <w:rsid w:val="0068332E"/>
    <w:rsid w:val="00683330"/>
    <w:rsid w:val="006834EE"/>
    <w:rsid w:val="0068351F"/>
    <w:rsid w:val="00683632"/>
    <w:rsid w:val="006836D9"/>
    <w:rsid w:val="00683836"/>
    <w:rsid w:val="006838F1"/>
    <w:rsid w:val="006839C5"/>
    <w:rsid w:val="006839DB"/>
    <w:rsid w:val="00683A0A"/>
    <w:rsid w:val="00683AEB"/>
    <w:rsid w:val="00683BE1"/>
    <w:rsid w:val="00683C66"/>
    <w:rsid w:val="00683C9C"/>
    <w:rsid w:val="00683CB6"/>
    <w:rsid w:val="00683D46"/>
    <w:rsid w:val="00683ED6"/>
    <w:rsid w:val="00683F50"/>
    <w:rsid w:val="00683F9C"/>
    <w:rsid w:val="00683FB6"/>
    <w:rsid w:val="00683FE8"/>
    <w:rsid w:val="0068413A"/>
    <w:rsid w:val="006841E3"/>
    <w:rsid w:val="0068423B"/>
    <w:rsid w:val="00684312"/>
    <w:rsid w:val="0068435A"/>
    <w:rsid w:val="006844B6"/>
    <w:rsid w:val="0068456D"/>
    <w:rsid w:val="00684632"/>
    <w:rsid w:val="00684976"/>
    <w:rsid w:val="00684A5B"/>
    <w:rsid w:val="00684B6A"/>
    <w:rsid w:val="00684BB0"/>
    <w:rsid w:val="00684C78"/>
    <w:rsid w:val="00684CE0"/>
    <w:rsid w:val="00684D1E"/>
    <w:rsid w:val="00684D2D"/>
    <w:rsid w:val="00684D3E"/>
    <w:rsid w:val="00684DB1"/>
    <w:rsid w:val="00684DC7"/>
    <w:rsid w:val="00684F38"/>
    <w:rsid w:val="00684F54"/>
    <w:rsid w:val="00684F65"/>
    <w:rsid w:val="00684F99"/>
    <w:rsid w:val="006851F9"/>
    <w:rsid w:val="006852F8"/>
    <w:rsid w:val="0068530E"/>
    <w:rsid w:val="006853B9"/>
    <w:rsid w:val="0068544E"/>
    <w:rsid w:val="0068548B"/>
    <w:rsid w:val="00685549"/>
    <w:rsid w:val="006855EE"/>
    <w:rsid w:val="0068562A"/>
    <w:rsid w:val="006856F4"/>
    <w:rsid w:val="00685750"/>
    <w:rsid w:val="006858D4"/>
    <w:rsid w:val="00685986"/>
    <w:rsid w:val="00685BFA"/>
    <w:rsid w:val="00685DB7"/>
    <w:rsid w:val="00685E99"/>
    <w:rsid w:val="00685EAB"/>
    <w:rsid w:val="00685EEF"/>
    <w:rsid w:val="00685F22"/>
    <w:rsid w:val="00685F51"/>
    <w:rsid w:val="00685F5B"/>
    <w:rsid w:val="00685FFD"/>
    <w:rsid w:val="006860AF"/>
    <w:rsid w:val="006862F1"/>
    <w:rsid w:val="006863DC"/>
    <w:rsid w:val="00686457"/>
    <w:rsid w:val="0068645B"/>
    <w:rsid w:val="0068654B"/>
    <w:rsid w:val="0068661E"/>
    <w:rsid w:val="00686625"/>
    <w:rsid w:val="006866BE"/>
    <w:rsid w:val="00686728"/>
    <w:rsid w:val="00686817"/>
    <w:rsid w:val="00686ADB"/>
    <w:rsid w:val="00686AE7"/>
    <w:rsid w:val="00686D24"/>
    <w:rsid w:val="00686D5D"/>
    <w:rsid w:val="00686DD5"/>
    <w:rsid w:val="00686E45"/>
    <w:rsid w:val="00686E94"/>
    <w:rsid w:val="00686F26"/>
    <w:rsid w:val="00686FA2"/>
    <w:rsid w:val="00686FF1"/>
    <w:rsid w:val="006870DA"/>
    <w:rsid w:val="006872D0"/>
    <w:rsid w:val="006872F9"/>
    <w:rsid w:val="00687356"/>
    <w:rsid w:val="006873A4"/>
    <w:rsid w:val="006873B8"/>
    <w:rsid w:val="00687550"/>
    <w:rsid w:val="006875CD"/>
    <w:rsid w:val="006875CF"/>
    <w:rsid w:val="006877B7"/>
    <w:rsid w:val="006879B7"/>
    <w:rsid w:val="00687A72"/>
    <w:rsid w:val="00687A87"/>
    <w:rsid w:val="00687A8E"/>
    <w:rsid w:val="00687AB2"/>
    <w:rsid w:val="00687BD4"/>
    <w:rsid w:val="00687C7E"/>
    <w:rsid w:val="00687C9B"/>
    <w:rsid w:val="00687D3C"/>
    <w:rsid w:val="00687D5C"/>
    <w:rsid w:val="00687D9C"/>
    <w:rsid w:val="00687EC8"/>
    <w:rsid w:val="00687FBD"/>
    <w:rsid w:val="00690128"/>
    <w:rsid w:val="00690203"/>
    <w:rsid w:val="00690247"/>
    <w:rsid w:val="0069051D"/>
    <w:rsid w:val="006905C6"/>
    <w:rsid w:val="00690656"/>
    <w:rsid w:val="00690771"/>
    <w:rsid w:val="006907DC"/>
    <w:rsid w:val="00690BC9"/>
    <w:rsid w:val="00690E08"/>
    <w:rsid w:val="00690EA2"/>
    <w:rsid w:val="00690F2C"/>
    <w:rsid w:val="006911F0"/>
    <w:rsid w:val="00691338"/>
    <w:rsid w:val="00691342"/>
    <w:rsid w:val="006913BF"/>
    <w:rsid w:val="00691463"/>
    <w:rsid w:val="00691492"/>
    <w:rsid w:val="00691578"/>
    <w:rsid w:val="00691630"/>
    <w:rsid w:val="00691847"/>
    <w:rsid w:val="006918AF"/>
    <w:rsid w:val="00691914"/>
    <w:rsid w:val="00691949"/>
    <w:rsid w:val="00691A52"/>
    <w:rsid w:val="00691C8E"/>
    <w:rsid w:val="00691EC2"/>
    <w:rsid w:val="0069206C"/>
    <w:rsid w:val="006920A6"/>
    <w:rsid w:val="00692154"/>
    <w:rsid w:val="006922CB"/>
    <w:rsid w:val="006922EA"/>
    <w:rsid w:val="00692322"/>
    <w:rsid w:val="006923B4"/>
    <w:rsid w:val="006923BA"/>
    <w:rsid w:val="006923ED"/>
    <w:rsid w:val="0069257B"/>
    <w:rsid w:val="0069263D"/>
    <w:rsid w:val="0069272C"/>
    <w:rsid w:val="0069274A"/>
    <w:rsid w:val="006928C6"/>
    <w:rsid w:val="00692901"/>
    <w:rsid w:val="00692A3F"/>
    <w:rsid w:val="00692BD9"/>
    <w:rsid w:val="00692D4E"/>
    <w:rsid w:val="00692E58"/>
    <w:rsid w:val="00692EB1"/>
    <w:rsid w:val="0069304E"/>
    <w:rsid w:val="0069316A"/>
    <w:rsid w:val="00693326"/>
    <w:rsid w:val="006936C6"/>
    <w:rsid w:val="00693783"/>
    <w:rsid w:val="00693790"/>
    <w:rsid w:val="006937F1"/>
    <w:rsid w:val="00693858"/>
    <w:rsid w:val="00693890"/>
    <w:rsid w:val="00693999"/>
    <w:rsid w:val="00693B2A"/>
    <w:rsid w:val="00693B4B"/>
    <w:rsid w:val="00693B6D"/>
    <w:rsid w:val="00693D8F"/>
    <w:rsid w:val="00693DF6"/>
    <w:rsid w:val="00693E50"/>
    <w:rsid w:val="00693FFF"/>
    <w:rsid w:val="00694046"/>
    <w:rsid w:val="006941A9"/>
    <w:rsid w:val="00694252"/>
    <w:rsid w:val="0069428E"/>
    <w:rsid w:val="006942B6"/>
    <w:rsid w:val="00694392"/>
    <w:rsid w:val="006943DC"/>
    <w:rsid w:val="00694512"/>
    <w:rsid w:val="00694517"/>
    <w:rsid w:val="0069453E"/>
    <w:rsid w:val="00694797"/>
    <w:rsid w:val="00694810"/>
    <w:rsid w:val="00694946"/>
    <w:rsid w:val="0069494F"/>
    <w:rsid w:val="006949C8"/>
    <w:rsid w:val="00694B0D"/>
    <w:rsid w:val="00694B34"/>
    <w:rsid w:val="00694BA0"/>
    <w:rsid w:val="00694CA6"/>
    <w:rsid w:val="00694CBF"/>
    <w:rsid w:val="00694D46"/>
    <w:rsid w:val="00694D5A"/>
    <w:rsid w:val="00694E61"/>
    <w:rsid w:val="00694EB3"/>
    <w:rsid w:val="00694F1C"/>
    <w:rsid w:val="00695081"/>
    <w:rsid w:val="00695149"/>
    <w:rsid w:val="006951F4"/>
    <w:rsid w:val="0069520B"/>
    <w:rsid w:val="00695343"/>
    <w:rsid w:val="0069538A"/>
    <w:rsid w:val="006953BC"/>
    <w:rsid w:val="006953ED"/>
    <w:rsid w:val="0069542C"/>
    <w:rsid w:val="00695487"/>
    <w:rsid w:val="0069549B"/>
    <w:rsid w:val="00695560"/>
    <w:rsid w:val="006955B0"/>
    <w:rsid w:val="0069565F"/>
    <w:rsid w:val="006959E5"/>
    <w:rsid w:val="00695A1A"/>
    <w:rsid w:val="00695A75"/>
    <w:rsid w:val="00695A98"/>
    <w:rsid w:val="00695AAB"/>
    <w:rsid w:val="00695BAF"/>
    <w:rsid w:val="00695C72"/>
    <w:rsid w:val="00695D04"/>
    <w:rsid w:val="00695D51"/>
    <w:rsid w:val="00695D63"/>
    <w:rsid w:val="00695DED"/>
    <w:rsid w:val="00695F42"/>
    <w:rsid w:val="00695FB5"/>
    <w:rsid w:val="006960C8"/>
    <w:rsid w:val="0069610A"/>
    <w:rsid w:val="00696161"/>
    <w:rsid w:val="0069625C"/>
    <w:rsid w:val="00696290"/>
    <w:rsid w:val="0069633A"/>
    <w:rsid w:val="0069634D"/>
    <w:rsid w:val="00696372"/>
    <w:rsid w:val="00696396"/>
    <w:rsid w:val="00696638"/>
    <w:rsid w:val="00696669"/>
    <w:rsid w:val="006966A5"/>
    <w:rsid w:val="00696776"/>
    <w:rsid w:val="006967EE"/>
    <w:rsid w:val="006968C2"/>
    <w:rsid w:val="00696A6A"/>
    <w:rsid w:val="00696A74"/>
    <w:rsid w:val="00696AC1"/>
    <w:rsid w:val="00696C75"/>
    <w:rsid w:val="00696CCB"/>
    <w:rsid w:val="00696DD5"/>
    <w:rsid w:val="00696F0B"/>
    <w:rsid w:val="00696F56"/>
    <w:rsid w:val="00697051"/>
    <w:rsid w:val="006970B1"/>
    <w:rsid w:val="006970CD"/>
    <w:rsid w:val="00697209"/>
    <w:rsid w:val="006972FD"/>
    <w:rsid w:val="00697336"/>
    <w:rsid w:val="0069739B"/>
    <w:rsid w:val="0069752E"/>
    <w:rsid w:val="0069769C"/>
    <w:rsid w:val="006976E7"/>
    <w:rsid w:val="00697741"/>
    <w:rsid w:val="0069776F"/>
    <w:rsid w:val="00697AF3"/>
    <w:rsid w:val="00697B20"/>
    <w:rsid w:val="00697CAC"/>
    <w:rsid w:val="00697F78"/>
    <w:rsid w:val="006A009C"/>
    <w:rsid w:val="006A00B5"/>
    <w:rsid w:val="006A01E1"/>
    <w:rsid w:val="006A025F"/>
    <w:rsid w:val="006A0285"/>
    <w:rsid w:val="006A028F"/>
    <w:rsid w:val="006A029E"/>
    <w:rsid w:val="006A0354"/>
    <w:rsid w:val="006A044A"/>
    <w:rsid w:val="006A0478"/>
    <w:rsid w:val="006A04D0"/>
    <w:rsid w:val="006A05BB"/>
    <w:rsid w:val="006A0600"/>
    <w:rsid w:val="006A0686"/>
    <w:rsid w:val="006A06D7"/>
    <w:rsid w:val="006A074D"/>
    <w:rsid w:val="006A0761"/>
    <w:rsid w:val="006A07A6"/>
    <w:rsid w:val="006A07DD"/>
    <w:rsid w:val="006A0886"/>
    <w:rsid w:val="006A08AB"/>
    <w:rsid w:val="006A096B"/>
    <w:rsid w:val="006A0B98"/>
    <w:rsid w:val="006A0F30"/>
    <w:rsid w:val="006A101F"/>
    <w:rsid w:val="006A105F"/>
    <w:rsid w:val="006A112E"/>
    <w:rsid w:val="006A11AA"/>
    <w:rsid w:val="006A11C8"/>
    <w:rsid w:val="006A1203"/>
    <w:rsid w:val="006A1214"/>
    <w:rsid w:val="006A12B6"/>
    <w:rsid w:val="006A1314"/>
    <w:rsid w:val="006A1489"/>
    <w:rsid w:val="006A148D"/>
    <w:rsid w:val="006A14FA"/>
    <w:rsid w:val="006A158E"/>
    <w:rsid w:val="006A17E1"/>
    <w:rsid w:val="006A18DA"/>
    <w:rsid w:val="006A1AB9"/>
    <w:rsid w:val="006A1BB5"/>
    <w:rsid w:val="006A1BD7"/>
    <w:rsid w:val="006A1C35"/>
    <w:rsid w:val="006A1C63"/>
    <w:rsid w:val="006A1CCD"/>
    <w:rsid w:val="006A1D50"/>
    <w:rsid w:val="006A1D6F"/>
    <w:rsid w:val="006A1E19"/>
    <w:rsid w:val="006A1ED0"/>
    <w:rsid w:val="006A1F64"/>
    <w:rsid w:val="006A1F68"/>
    <w:rsid w:val="006A1FF0"/>
    <w:rsid w:val="006A205C"/>
    <w:rsid w:val="006A2169"/>
    <w:rsid w:val="006A231E"/>
    <w:rsid w:val="006A236E"/>
    <w:rsid w:val="006A2526"/>
    <w:rsid w:val="006A257D"/>
    <w:rsid w:val="006A2589"/>
    <w:rsid w:val="006A262D"/>
    <w:rsid w:val="006A27F6"/>
    <w:rsid w:val="006A282E"/>
    <w:rsid w:val="006A2857"/>
    <w:rsid w:val="006A29DF"/>
    <w:rsid w:val="006A2BC7"/>
    <w:rsid w:val="006A2C39"/>
    <w:rsid w:val="006A2D1B"/>
    <w:rsid w:val="006A2D8B"/>
    <w:rsid w:val="006A2DDE"/>
    <w:rsid w:val="006A2EA4"/>
    <w:rsid w:val="006A2EDB"/>
    <w:rsid w:val="006A2F1C"/>
    <w:rsid w:val="006A2F31"/>
    <w:rsid w:val="006A2FA3"/>
    <w:rsid w:val="006A2FC2"/>
    <w:rsid w:val="006A3012"/>
    <w:rsid w:val="006A306D"/>
    <w:rsid w:val="006A3159"/>
    <w:rsid w:val="006A321A"/>
    <w:rsid w:val="006A3369"/>
    <w:rsid w:val="006A34A0"/>
    <w:rsid w:val="006A34D9"/>
    <w:rsid w:val="006A3544"/>
    <w:rsid w:val="006A355D"/>
    <w:rsid w:val="006A3571"/>
    <w:rsid w:val="006A3579"/>
    <w:rsid w:val="006A3664"/>
    <w:rsid w:val="006A378C"/>
    <w:rsid w:val="006A37A8"/>
    <w:rsid w:val="006A3852"/>
    <w:rsid w:val="006A38E0"/>
    <w:rsid w:val="006A38EC"/>
    <w:rsid w:val="006A3995"/>
    <w:rsid w:val="006A3A3A"/>
    <w:rsid w:val="006A3A49"/>
    <w:rsid w:val="006A3BA3"/>
    <w:rsid w:val="006A3C39"/>
    <w:rsid w:val="006A3C99"/>
    <w:rsid w:val="006A3CCF"/>
    <w:rsid w:val="006A3D1C"/>
    <w:rsid w:val="006A3DD0"/>
    <w:rsid w:val="006A3EB8"/>
    <w:rsid w:val="006A3EC3"/>
    <w:rsid w:val="006A40C1"/>
    <w:rsid w:val="006A4164"/>
    <w:rsid w:val="006A4494"/>
    <w:rsid w:val="006A44FC"/>
    <w:rsid w:val="006A4531"/>
    <w:rsid w:val="006A455F"/>
    <w:rsid w:val="006A4678"/>
    <w:rsid w:val="006A468B"/>
    <w:rsid w:val="006A46B5"/>
    <w:rsid w:val="006A46D3"/>
    <w:rsid w:val="006A498C"/>
    <w:rsid w:val="006A4AC6"/>
    <w:rsid w:val="006A4B1E"/>
    <w:rsid w:val="006A4BD5"/>
    <w:rsid w:val="006A4C23"/>
    <w:rsid w:val="006A4C2A"/>
    <w:rsid w:val="006A4C6B"/>
    <w:rsid w:val="006A4DC8"/>
    <w:rsid w:val="006A4E30"/>
    <w:rsid w:val="006A4FC6"/>
    <w:rsid w:val="006A4FDB"/>
    <w:rsid w:val="006A5045"/>
    <w:rsid w:val="006A50CC"/>
    <w:rsid w:val="006A5162"/>
    <w:rsid w:val="006A519C"/>
    <w:rsid w:val="006A51A7"/>
    <w:rsid w:val="006A51E0"/>
    <w:rsid w:val="006A5273"/>
    <w:rsid w:val="006A5389"/>
    <w:rsid w:val="006A53B1"/>
    <w:rsid w:val="006A54B1"/>
    <w:rsid w:val="006A54D6"/>
    <w:rsid w:val="006A54D8"/>
    <w:rsid w:val="006A5556"/>
    <w:rsid w:val="006A55E2"/>
    <w:rsid w:val="006A55FA"/>
    <w:rsid w:val="006A56A5"/>
    <w:rsid w:val="006A56EA"/>
    <w:rsid w:val="006A570F"/>
    <w:rsid w:val="006A573E"/>
    <w:rsid w:val="006A579B"/>
    <w:rsid w:val="006A5875"/>
    <w:rsid w:val="006A5985"/>
    <w:rsid w:val="006A5AAB"/>
    <w:rsid w:val="006A5AC7"/>
    <w:rsid w:val="006A5CAA"/>
    <w:rsid w:val="006A5D1F"/>
    <w:rsid w:val="006A5DDD"/>
    <w:rsid w:val="006A5E2F"/>
    <w:rsid w:val="006A5E81"/>
    <w:rsid w:val="006A5EF0"/>
    <w:rsid w:val="006A5F6F"/>
    <w:rsid w:val="006A5FFF"/>
    <w:rsid w:val="006A6107"/>
    <w:rsid w:val="006A61BB"/>
    <w:rsid w:val="006A62E3"/>
    <w:rsid w:val="006A6386"/>
    <w:rsid w:val="006A63D3"/>
    <w:rsid w:val="006A654B"/>
    <w:rsid w:val="006A6705"/>
    <w:rsid w:val="006A6845"/>
    <w:rsid w:val="006A684E"/>
    <w:rsid w:val="006A6994"/>
    <w:rsid w:val="006A69CD"/>
    <w:rsid w:val="006A69EB"/>
    <w:rsid w:val="006A6A1F"/>
    <w:rsid w:val="006A6A3A"/>
    <w:rsid w:val="006A6A5C"/>
    <w:rsid w:val="006A6A6D"/>
    <w:rsid w:val="006A6A90"/>
    <w:rsid w:val="006A6A93"/>
    <w:rsid w:val="006A6ACC"/>
    <w:rsid w:val="006A6B31"/>
    <w:rsid w:val="006A6B5C"/>
    <w:rsid w:val="006A6ECD"/>
    <w:rsid w:val="006A6F1F"/>
    <w:rsid w:val="006A6F6C"/>
    <w:rsid w:val="006A6F92"/>
    <w:rsid w:val="006A70AA"/>
    <w:rsid w:val="006A7114"/>
    <w:rsid w:val="006A7125"/>
    <w:rsid w:val="006A7156"/>
    <w:rsid w:val="006A7240"/>
    <w:rsid w:val="006A72BA"/>
    <w:rsid w:val="006A731A"/>
    <w:rsid w:val="006A738A"/>
    <w:rsid w:val="006A7425"/>
    <w:rsid w:val="006A745B"/>
    <w:rsid w:val="006A755F"/>
    <w:rsid w:val="006A773B"/>
    <w:rsid w:val="006A7784"/>
    <w:rsid w:val="006A782B"/>
    <w:rsid w:val="006A799D"/>
    <w:rsid w:val="006A7A3C"/>
    <w:rsid w:val="006A7A66"/>
    <w:rsid w:val="006A7B02"/>
    <w:rsid w:val="006A7C58"/>
    <w:rsid w:val="006A7D6D"/>
    <w:rsid w:val="006A7F53"/>
    <w:rsid w:val="006A7FD2"/>
    <w:rsid w:val="006B00E7"/>
    <w:rsid w:val="006B00E8"/>
    <w:rsid w:val="006B0200"/>
    <w:rsid w:val="006B0240"/>
    <w:rsid w:val="006B02C1"/>
    <w:rsid w:val="006B02E1"/>
    <w:rsid w:val="006B038D"/>
    <w:rsid w:val="006B041E"/>
    <w:rsid w:val="006B048A"/>
    <w:rsid w:val="006B04CD"/>
    <w:rsid w:val="006B059C"/>
    <w:rsid w:val="006B0662"/>
    <w:rsid w:val="006B0672"/>
    <w:rsid w:val="006B0685"/>
    <w:rsid w:val="006B069D"/>
    <w:rsid w:val="006B06AE"/>
    <w:rsid w:val="006B06DE"/>
    <w:rsid w:val="006B089D"/>
    <w:rsid w:val="006B0928"/>
    <w:rsid w:val="006B0930"/>
    <w:rsid w:val="006B0982"/>
    <w:rsid w:val="006B0AB6"/>
    <w:rsid w:val="006B0AEE"/>
    <w:rsid w:val="006B0B0A"/>
    <w:rsid w:val="006B0B33"/>
    <w:rsid w:val="006B0B74"/>
    <w:rsid w:val="006B0BBA"/>
    <w:rsid w:val="006B0BEA"/>
    <w:rsid w:val="006B0C35"/>
    <w:rsid w:val="006B0CCD"/>
    <w:rsid w:val="006B0EEF"/>
    <w:rsid w:val="006B139C"/>
    <w:rsid w:val="006B13BC"/>
    <w:rsid w:val="006B1402"/>
    <w:rsid w:val="006B1554"/>
    <w:rsid w:val="006B1681"/>
    <w:rsid w:val="006B1747"/>
    <w:rsid w:val="006B1841"/>
    <w:rsid w:val="006B1854"/>
    <w:rsid w:val="006B18E2"/>
    <w:rsid w:val="006B1BCE"/>
    <w:rsid w:val="006B1C8D"/>
    <w:rsid w:val="006B1CA6"/>
    <w:rsid w:val="006B1D67"/>
    <w:rsid w:val="006B1E7D"/>
    <w:rsid w:val="006B1F28"/>
    <w:rsid w:val="006B1F70"/>
    <w:rsid w:val="006B200A"/>
    <w:rsid w:val="006B204F"/>
    <w:rsid w:val="006B21D7"/>
    <w:rsid w:val="006B223E"/>
    <w:rsid w:val="006B244C"/>
    <w:rsid w:val="006B25D4"/>
    <w:rsid w:val="006B26C4"/>
    <w:rsid w:val="006B2799"/>
    <w:rsid w:val="006B2814"/>
    <w:rsid w:val="006B28A6"/>
    <w:rsid w:val="006B28CE"/>
    <w:rsid w:val="006B28FD"/>
    <w:rsid w:val="006B2970"/>
    <w:rsid w:val="006B2B38"/>
    <w:rsid w:val="006B2B4E"/>
    <w:rsid w:val="006B2B60"/>
    <w:rsid w:val="006B2C4A"/>
    <w:rsid w:val="006B2CC8"/>
    <w:rsid w:val="006B2D1C"/>
    <w:rsid w:val="006B2D77"/>
    <w:rsid w:val="006B2E4C"/>
    <w:rsid w:val="006B2F7C"/>
    <w:rsid w:val="006B2FFF"/>
    <w:rsid w:val="006B304A"/>
    <w:rsid w:val="006B31D4"/>
    <w:rsid w:val="006B32B4"/>
    <w:rsid w:val="006B3323"/>
    <w:rsid w:val="006B3473"/>
    <w:rsid w:val="006B3585"/>
    <w:rsid w:val="006B366B"/>
    <w:rsid w:val="006B36EE"/>
    <w:rsid w:val="006B3764"/>
    <w:rsid w:val="006B37C0"/>
    <w:rsid w:val="006B37C8"/>
    <w:rsid w:val="006B3868"/>
    <w:rsid w:val="006B3881"/>
    <w:rsid w:val="006B38B5"/>
    <w:rsid w:val="006B3903"/>
    <w:rsid w:val="006B393B"/>
    <w:rsid w:val="006B3B55"/>
    <w:rsid w:val="006B3B74"/>
    <w:rsid w:val="006B3C3E"/>
    <w:rsid w:val="006B3C78"/>
    <w:rsid w:val="006B3E81"/>
    <w:rsid w:val="006B400B"/>
    <w:rsid w:val="006B4090"/>
    <w:rsid w:val="006B4093"/>
    <w:rsid w:val="006B41BB"/>
    <w:rsid w:val="006B41F9"/>
    <w:rsid w:val="006B4485"/>
    <w:rsid w:val="006B467C"/>
    <w:rsid w:val="006B4965"/>
    <w:rsid w:val="006B4AA6"/>
    <w:rsid w:val="006B4AD2"/>
    <w:rsid w:val="006B4AFA"/>
    <w:rsid w:val="006B4B64"/>
    <w:rsid w:val="006B4BC2"/>
    <w:rsid w:val="006B4CD0"/>
    <w:rsid w:val="006B4DE5"/>
    <w:rsid w:val="006B4E15"/>
    <w:rsid w:val="006B4F03"/>
    <w:rsid w:val="006B4F51"/>
    <w:rsid w:val="006B5092"/>
    <w:rsid w:val="006B514E"/>
    <w:rsid w:val="006B51D0"/>
    <w:rsid w:val="006B51DD"/>
    <w:rsid w:val="006B5303"/>
    <w:rsid w:val="006B540B"/>
    <w:rsid w:val="006B5437"/>
    <w:rsid w:val="006B543B"/>
    <w:rsid w:val="006B543D"/>
    <w:rsid w:val="006B544C"/>
    <w:rsid w:val="006B5525"/>
    <w:rsid w:val="006B5575"/>
    <w:rsid w:val="006B561A"/>
    <w:rsid w:val="006B5929"/>
    <w:rsid w:val="006B5978"/>
    <w:rsid w:val="006B59CE"/>
    <w:rsid w:val="006B5BDB"/>
    <w:rsid w:val="006B5BFD"/>
    <w:rsid w:val="006B5C2B"/>
    <w:rsid w:val="006B5F0D"/>
    <w:rsid w:val="006B608E"/>
    <w:rsid w:val="006B60B4"/>
    <w:rsid w:val="006B618E"/>
    <w:rsid w:val="006B624D"/>
    <w:rsid w:val="006B6281"/>
    <w:rsid w:val="006B629F"/>
    <w:rsid w:val="006B62C5"/>
    <w:rsid w:val="006B62D2"/>
    <w:rsid w:val="006B62D8"/>
    <w:rsid w:val="006B62FF"/>
    <w:rsid w:val="006B63AA"/>
    <w:rsid w:val="006B64C0"/>
    <w:rsid w:val="006B64C2"/>
    <w:rsid w:val="006B6642"/>
    <w:rsid w:val="006B6651"/>
    <w:rsid w:val="006B6670"/>
    <w:rsid w:val="006B6680"/>
    <w:rsid w:val="006B6855"/>
    <w:rsid w:val="006B6A01"/>
    <w:rsid w:val="006B6BA0"/>
    <w:rsid w:val="006B6D4D"/>
    <w:rsid w:val="006B6E6D"/>
    <w:rsid w:val="006B6E9A"/>
    <w:rsid w:val="006B6F1D"/>
    <w:rsid w:val="006B6F34"/>
    <w:rsid w:val="006B7001"/>
    <w:rsid w:val="006B7044"/>
    <w:rsid w:val="006B7268"/>
    <w:rsid w:val="006B7378"/>
    <w:rsid w:val="006B73E7"/>
    <w:rsid w:val="006B74DC"/>
    <w:rsid w:val="006B74F5"/>
    <w:rsid w:val="006B75AC"/>
    <w:rsid w:val="006B76B1"/>
    <w:rsid w:val="006B77B4"/>
    <w:rsid w:val="006B77CB"/>
    <w:rsid w:val="006B77F5"/>
    <w:rsid w:val="006B7809"/>
    <w:rsid w:val="006B781F"/>
    <w:rsid w:val="006B7863"/>
    <w:rsid w:val="006B788A"/>
    <w:rsid w:val="006B78A0"/>
    <w:rsid w:val="006B79DC"/>
    <w:rsid w:val="006B7A55"/>
    <w:rsid w:val="006B7A8B"/>
    <w:rsid w:val="006B7AB1"/>
    <w:rsid w:val="006B7AD7"/>
    <w:rsid w:val="006B7B8B"/>
    <w:rsid w:val="006B7BA4"/>
    <w:rsid w:val="006B7BE0"/>
    <w:rsid w:val="006B7C55"/>
    <w:rsid w:val="006B7CC3"/>
    <w:rsid w:val="006B7CFE"/>
    <w:rsid w:val="006B7DF1"/>
    <w:rsid w:val="006B7F2F"/>
    <w:rsid w:val="006B7F6B"/>
    <w:rsid w:val="006B7FF1"/>
    <w:rsid w:val="006C010C"/>
    <w:rsid w:val="006C01C0"/>
    <w:rsid w:val="006C0236"/>
    <w:rsid w:val="006C0332"/>
    <w:rsid w:val="006C067A"/>
    <w:rsid w:val="006C07EA"/>
    <w:rsid w:val="006C0868"/>
    <w:rsid w:val="006C0881"/>
    <w:rsid w:val="006C0904"/>
    <w:rsid w:val="006C09E8"/>
    <w:rsid w:val="006C0A4A"/>
    <w:rsid w:val="006C0B38"/>
    <w:rsid w:val="006C0C04"/>
    <w:rsid w:val="006C0CBD"/>
    <w:rsid w:val="006C1133"/>
    <w:rsid w:val="006C113E"/>
    <w:rsid w:val="006C114A"/>
    <w:rsid w:val="006C1233"/>
    <w:rsid w:val="006C123A"/>
    <w:rsid w:val="006C123E"/>
    <w:rsid w:val="006C12F3"/>
    <w:rsid w:val="006C1400"/>
    <w:rsid w:val="006C141A"/>
    <w:rsid w:val="006C1460"/>
    <w:rsid w:val="006C14FF"/>
    <w:rsid w:val="006C157F"/>
    <w:rsid w:val="006C1581"/>
    <w:rsid w:val="006C1691"/>
    <w:rsid w:val="006C16EE"/>
    <w:rsid w:val="006C16F2"/>
    <w:rsid w:val="006C174C"/>
    <w:rsid w:val="006C175A"/>
    <w:rsid w:val="006C1792"/>
    <w:rsid w:val="006C17F9"/>
    <w:rsid w:val="006C199E"/>
    <w:rsid w:val="006C19B1"/>
    <w:rsid w:val="006C1C9B"/>
    <w:rsid w:val="006C1D45"/>
    <w:rsid w:val="006C1D80"/>
    <w:rsid w:val="006C1E8D"/>
    <w:rsid w:val="006C1EA1"/>
    <w:rsid w:val="006C1F13"/>
    <w:rsid w:val="006C219B"/>
    <w:rsid w:val="006C21F1"/>
    <w:rsid w:val="006C231C"/>
    <w:rsid w:val="006C2350"/>
    <w:rsid w:val="006C2383"/>
    <w:rsid w:val="006C24AA"/>
    <w:rsid w:val="006C253D"/>
    <w:rsid w:val="006C26E0"/>
    <w:rsid w:val="006C278B"/>
    <w:rsid w:val="006C287A"/>
    <w:rsid w:val="006C28BE"/>
    <w:rsid w:val="006C28C0"/>
    <w:rsid w:val="006C292A"/>
    <w:rsid w:val="006C2AD4"/>
    <w:rsid w:val="006C2B31"/>
    <w:rsid w:val="006C2C6C"/>
    <w:rsid w:val="006C2D1A"/>
    <w:rsid w:val="006C2E55"/>
    <w:rsid w:val="006C2E90"/>
    <w:rsid w:val="006C2F91"/>
    <w:rsid w:val="006C3033"/>
    <w:rsid w:val="006C31DE"/>
    <w:rsid w:val="006C322C"/>
    <w:rsid w:val="006C332F"/>
    <w:rsid w:val="006C348E"/>
    <w:rsid w:val="006C34AB"/>
    <w:rsid w:val="006C34FD"/>
    <w:rsid w:val="006C3552"/>
    <w:rsid w:val="006C36CD"/>
    <w:rsid w:val="006C37DF"/>
    <w:rsid w:val="006C3CB9"/>
    <w:rsid w:val="006C3D20"/>
    <w:rsid w:val="006C3DE5"/>
    <w:rsid w:val="006C3E46"/>
    <w:rsid w:val="006C3E9C"/>
    <w:rsid w:val="006C417D"/>
    <w:rsid w:val="006C4279"/>
    <w:rsid w:val="006C42D0"/>
    <w:rsid w:val="006C4437"/>
    <w:rsid w:val="006C44B3"/>
    <w:rsid w:val="006C44BB"/>
    <w:rsid w:val="006C452C"/>
    <w:rsid w:val="006C4578"/>
    <w:rsid w:val="006C4709"/>
    <w:rsid w:val="006C479B"/>
    <w:rsid w:val="006C4A2C"/>
    <w:rsid w:val="006C4B3A"/>
    <w:rsid w:val="006C4B4B"/>
    <w:rsid w:val="006C4CDA"/>
    <w:rsid w:val="006C4CF2"/>
    <w:rsid w:val="006C4E01"/>
    <w:rsid w:val="006C4E6D"/>
    <w:rsid w:val="006C4FA0"/>
    <w:rsid w:val="006C4FD5"/>
    <w:rsid w:val="006C50B4"/>
    <w:rsid w:val="006C50D6"/>
    <w:rsid w:val="006C530A"/>
    <w:rsid w:val="006C540D"/>
    <w:rsid w:val="006C541E"/>
    <w:rsid w:val="006C5460"/>
    <w:rsid w:val="006C5478"/>
    <w:rsid w:val="006C54CB"/>
    <w:rsid w:val="006C550A"/>
    <w:rsid w:val="006C553B"/>
    <w:rsid w:val="006C56C4"/>
    <w:rsid w:val="006C5724"/>
    <w:rsid w:val="006C5809"/>
    <w:rsid w:val="006C58CF"/>
    <w:rsid w:val="006C58EF"/>
    <w:rsid w:val="006C598B"/>
    <w:rsid w:val="006C59D5"/>
    <w:rsid w:val="006C5EC4"/>
    <w:rsid w:val="006C5F85"/>
    <w:rsid w:val="006C5FE8"/>
    <w:rsid w:val="006C602D"/>
    <w:rsid w:val="006C60BE"/>
    <w:rsid w:val="006C61FD"/>
    <w:rsid w:val="006C6254"/>
    <w:rsid w:val="006C63C5"/>
    <w:rsid w:val="006C6420"/>
    <w:rsid w:val="006C652B"/>
    <w:rsid w:val="006C6539"/>
    <w:rsid w:val="006C66EB"/>
    <w:rsid w:val="006C66F1"/>
    <w:rsid w:val="006C66F4"/>
    <w:rsid w:val="006C67D1"/>
    <w:rsid w:val="006C6832"/>
    <w:rsid w:val="006C6843"/>
    <w:rsid w:val="006C687F"/>
    <w:rsid w:val="006C6896"/>
    <w:rsid w:val="006C69CE"/>
    <w:rsid w:val="006C6A25"/>
    <w:rsid w:val="006C6AAD"/>
    <w:rsid w:val="006C6BCC"/>
    <w:rsid w:val="006C6CC5"/>
    <w:rsid w:val="006C6CEA"/>
    <w:rsid w:val="006C6EBC"/>
    <w:rsid w:val="006C6ECA"/>
    <w:rsid w:val="006C701F"/>
    <w:rsid w:val="006C7084"/>
    <w:rsid w:val="006C712F"/>
    <w:rsid w:val="006C7185"/>
    <w:rsid w:val="006C729F"/>
    <w:rsid w:val="006C750F"/>
    <w:rsid w:val="006C752B"/>
    <w:rsid w:val="006C75A5"/>
    <w:rsid w:val="006C7703"/>
    <w:rsid w:val="006C7711"/>
    <w:rsid w:val="006C77ED"/>
    <w:rsid w:val="006C797E"/>
    <w:rsid w:val="006C7B95"/>
    <w:rsid w:val="006C7BE0"/>
    <w:rsid w:val="006C7C41"/>
    <w:rsid w:val="006C7ED9"/>
    <w:rsid w:val="006C7EEE"/>
    <w:rsid w:val="006C7F05"/>
    <w:rsid w:val="006C7FEF"/>
    <w:rsid w:val="006D0022"/>
    <w:rsid w:val="006D0026"/>
    <w:rsid w:val="006D00CD"/>
    <w:rsid w:val="006D0157"/>
    <w:rsid w:val="006D017B"/>
    <w:rsid w:val="006D025B"/>
    <w:rsid w:val="006D0505"/>
    <w:rsid w:val="006D0748"/>
    <w:rsid w:val="006D0835"/>
    <w:rsid w:val="006D0888"/>
    <w:rsid w:val="006D0A18"/>
    <w:rsid w:val="006D0ABE"/>
    <w:rsid w:val="006D0B44"/>
    <w:rsid w:val="006D0B66"/>
    <w:rsid w:val="006D0BC7"/>
    <w:rsid w:val="006D0CF3"/>
    <w:rsid w:val="006D0D74"/>
    <w:rsid w:val="006D0E9A"/>
    <w:rsid w:val="006D0EA7"/>
    <w:rsid w:val="006D1018"/>
    <w:rsid w:val="006D10CD"/>
    <w:rsid w:val="006D111B"/>
    <w:rsid w:val="006D1163"/>
    <w:rsid w:val="006D1167"/>
    <w:rsid w:val="006D1175"/>
    <w:rsid w:val="006D1220"/>
    <w:rsid w:val="006D1228"/>
    <w:rsid w:val="006D122B"/>
    <w:rsid w:val="006D12EB"/>
    <w:rsid w:val="006D1405"/>
    <w:rsid w:val="006D1477"/>
    <w:rsid w:val="006D15C8"/>
    <w:rsid w:val="006D169D"/>
    <w:rsid w:val="006D16D8"/>
    <w:rsid w:val="006D188E"/>
    <w:rsid w:val="006D19DB"/>
    <w:rsid w:val="006D19F1"/>
    <w:rsid w:val="006D1A5B"/>
    <w:rsid w:val="006D1B7B"/>
    <w:rsid w:val="006D1B7E"/>
    <w:rsid w:val="006D1BAB"/>
    <w:rsid w:val="006D1BDA"/>
    <w:rsid w:val="006D1C4F"/>
    <w:rsid w:val="006D1DCD"/>
    <w:rsid w:val="006D1E64"/>
    <w:rsid w:val="006D1EDA"/>
    <w:rsid w:val="006D2097"/>
    <w:rsid w:val="006D21C6"/>
    <w:rsid w:val="006D21DB"/>
    <w:rsid w:val="006D21DD"/>
    <w:rsid w:val="006D22E9"/>
    <w:rsid w:val="006D22EF"/>
    <w:rsid w:val="006D22FD"/>
    <w:rsid w:val="006D2300"/>
    <w:rsid w:val="006D23C0"/>
    <w:rsid w:val="006D25CD"/>
    <w:rsid w:val="006D25E4"/>
    <w:rsid w:val="006D26E7"/>
    <w:rsid w:val="006D27CF"/>
    <w:rsid w:val="006D28A4"/>
    <w:rsid w:val="006D2A8E"/>
    <w:rsid w:val="006D2AAE"/>
    <w:rsid w:val="006D2AD8"/>
    <w:rsid w:val="006D2B31"/>
    <w:rsid w:val="006D2B44"/>
    <w:rsid w:val="006D2BE5"/>
    <w:rsid w:val="006D2CB3"/>
    <w:rsid w:val="006D2CBB"/>
    <w:rsid w:val="006D2E3C"/>
    <w:rsid w:val="006D2ECF"/>
    <w:rsid w:val="006D2FA6"/>
    <w:rsid w:val="006D2FC6"/>
    <w:rsid w:val="006D3053"/>
    <w:rsid w:val="006D3071"/>
    <w:rsid w:val="006D30B1"/>
    <w:rsid w:val="006D31DE"/>
    <w:rsid w:val="006D3258"/>
    <w:rsid w:val="006D3269"/>
    <w:rsid w:val="006D32ED"/>
    <w:rsid w:val="006D337E"/>
    <w:rsid w:val="006D342F"/>
    <w:rsid w:val="006D35FE"/>
    <w:rsid w:val="006D360A"/>
    <w:rsid w:val="006D3652"/>
    <w:rsid w:val="006D36A9"/>
    <w:rsid w:val="006D3708"/>
    <w:rsid w:val="006D3803"/>
    <w:rsid w:val="006D3A5F"/>
    <w:rsid w:val="006D3AE4"/>
    <w:rsid w:val="006D3B0D"/>
    <w:rsid w:val="006D3BCA"/>
    <w:rsid w:val="006D3C30"/>
    <w:rsid w:val="006D3CBA"/>
    <w:rsid w:val="006D3CE8"/>
    <w:rsid w:val="006D3D7D"/>
    <w:rsid w:val="006D3DA8"/>
    <w:rsid w:val="006D3DDD"/>
    <w:rsid w:val="006D3E67"/>
    <w:rsid w:val="006D3EC1"/>
    <w:rsid w:val="006D413F"/>
    <w:rsid w:val="006D4145"/>
    <w:rsid w:val="006D4172"/>
    <w:rsid w:val="006D42D8"/>
    <w:rsid w:val="006D432E"/>
    <w:rsid w:val="006D43CA"/>
    <w:rsid w:val="006D4430"/>
    <w:rsid w:val="006D45D2"/>
    <w:rsid w:val="006D45FB"/>
    <w:rsid w:val="006D4754"/>
    <w:rsid w:val="006D4788"/>
    <w:rsid w:val="006D47C1"/>
    <w:rsid w:val="006D47CA"/>
    <w:rsid w:val="006D480A"/>
    <w:rsid w:val="006D485E"/>
    <w:rsid w:val="006D49BC"/>
    <w:rsid w:val="006D49E0"/>
    <w:rsid w:val="006D4B02"/>
    <w:rsid w:val="006D4B46"/>
    <w:rsid w:val="006D4BA8"/>
    <w:rsid w:val="006D4D47"/>
    <w:rsid w:val="006D4D89"/>
    <w:rsid w:val="006D4F96"/>
    <w:rsid w:val="006D4F97"/>
    <w:rsid w:val="006D5072"/>
    <w:rsid w:val="006D50F8"/>
    <w:rsid w:val="006D5133"/>
    <w:rsid w:val="006D516A"/>
    <w:rsid w:val="006D51A0"/>
    <w:rsid w:val="006D5208"/>
    <w:rsid w:val="006D5275"/>
    <w:rsid w:val="006D52AC"/>
    <w:rsid w:val="006D52E4"/>
    <w:rsid w:val="006D5358"/>
    <w:rsid w:val="006D543B"/>
    <w:rsid w:val="006D5473"/>
    <w:rsid w:val="006D552A"/>
    <w:rsid w:val="006D5887"/>
    <w:rsid w:val="006D5929"/>
    <w:rsid w:val="006D5972"/>
    <w:rsid w:val="006D59B1"/>
    <w:rsid w:val="006D5B1F"/>
    <w:rsid w:val="006D5B24"/>
    <w:rsid w:val="006D5B2C"/>
    <w:rsid w:val="006D5BF2"/>
    <w:rsid w:val="006D5D78"/>
    <w:rsid w:val="006D5D83"/>
    <w:rsid w:val="006D5E6D"/>
    <w:rsid w:val="006D5EB8"/>
    <w:rsid w:val="006D5EBE"/>
    <w:rsid w:val="006D5FB9"/>
    <w:rsid w:val="006D608B"/>
    <w:rsid w:val="006D608F"/>
    <w:rsid w:val="006D60EF"/>
    <w:rsid w:val="006D6137"/>
    <w:rsid w:val="006D6187"/>
    <w:rsid w:val="006D61B6"/>
    <w:rsid w:val="006D62B9"/>
    <w:rsid w:val="006D63A2"/>
    <w:rsid w:val="006D63DB"/>
    <w:rsid w:val="006D640D"/>
    <w:rsid w:val="006D650C"/>
    <w:rsid w:val="006D6518"/>
    <w:rsid w:val="006D6788"/>
    <w:rsid w:val="006D67AD"/>
    <w:rsid w:val="006D6800"/>
    <w:rsid w:val="006D6818"/>
    <w:rsid w:val="006D6846"/>
    <w:rsid w:val="006D6911"/>
    <w:rsid w:val="006D6943"/>
    <w:rsid w:val="006D6948"/>
    <w:rsid w:val="006D69A9"/>
    <w:rsid w:val="006D6CF6"/>
    <w:rsid w:val="006D6D47"/>
    <w:rsid w:val="006D6DEB"/>
    <w:rsid w:val="006D6E0A"/>
    <w:rsid w:val="006D6E8E"/>
    <w:rsid w:val="006D6EED"/>
    <w:rsid w:val="006D6F0D"/>
    <w:rsid w:val="006D6FD6"/>
    <w:rsid w:val="006D7016"/>
    <w:rsid w:val="006D718C"/>
    <w:rsid w:val="006D71A8"/>
    <w:rsid w:val="006D73A7"/>
    <w:rsid w:val="006D73EC"/>
    <w:rsid w:val="006D7444"/>
    <w:rsid w:val="006D747A"/>
    <w:rsid w:val="006D7485"/>
    <w:rsid w:val="006D74EC"/>
    <w:rsid w:val="006D75D8"/>
    <w:rsid w:val="006D75F8"/>
    <w:rsid w:val="006D7624"/>
    <w:rsid w:val="006D7659"/>
    <w:rsid w:val="006D76A2"/>
    <w:rsid w:val="006D76B4"/>
    <w:rsid w:val="006D773C"/>
    <w:rsid w:val="006D77AD"/>
    <w:rsid w:val="006D789A"/>
    <w:rsid w:val="006D78E4"/>
    <w:rsid w:val="006D796A"/>
    <w:rsid w:val="006D7986"/>
    <w:rsid w:val="006D7A94"/>
    <w:rsid w:val="006D7C00"/>
    <w:rsid w:val="006D7C3E"/>
    <w:rsid w:val="006D7C76"/>
    <w:rsid w:val="006D7DAD"/>
    <w:rsid w:val="006D7DB8"/>
    <w:rsid w:val="006D7F75"/>
    <w:rsid w:val="006E002F"/>
    <w:rsid w:val="006E009C"/>
    <w:rsid w:val="006E0112"/>
    <w:rsid w:val="006E018B"/>
    <w:rsid w:val="006E0213"/>
    <w:rsid w:val="006E0263"/>
    <w:rsid w:val="006E02A1"/>
    <w:rsid w:val="006E02F0"/>
    <w:rsid w:val="006E04C4"/>
    <w:rsid w:val="006E0539"/>
    <w:rsid w:val="006E058B"/>
    <w:rsid w:val="006E072C"/>
    <w:rsid w:val="006E0815"/>
    <w:rsid w:val="006E0A01"/>
    <w:rsid w:val="006E0A0A"/>
    <w:rsid w:val="006E0AD3"/>
    <w:rsid w:val="006E0BEA"/>
    <w:rsid w:val="006E0BED"/>
    <w:rsid w:val="006E0BFC"/>
    <w:rsid w:val="006E0C2E"/>
    <w:rsid w:val="006E0D11"/>
    <w:rsid w:val="006E0DAD"/>
    <w:rsid w:val="006E0E32"/>
    <w:rsid w:val="006E0F5D"/>
    <w:rsid w:val="006E0F65"/>
    <w:rsid w:val="006E1055"/>
    <w:rsid w:val="006E1314"/>
    <w:rsid w:val="006E13F7"/>
    <w:rsid w:val="006E1418"/>
    <w:rsid w:val="006E15E5"/>
    <w:rsid w:val="006E16D9"/>
    <w:rsid w:val="006E177E"/>
    <w:rsid w:val="006E1793"/>
    <w:rsid w:val="006E17C6"/>
    <w:rsid w:val="006E1888"/>
    <w:rsid w:val="006E18EE"/>
    <w:rsid w:val="006E193C"/>
    <w:rsid w:val="006E196D"/>
    <w:rsid w:val="006E1A10"/>
    <w:rsid w:val="006E1B7E"/>
    <w:rsid w:val="006E1B87"/>
    <w:rsid w:val="006E1C1D"/>
    <w:rsid w:val="006E1D6C"/>
    <w:rsid w:val="006E1FC6"/>
    <w:rsid w:val="006E2161"/>
    <w:rsid w:val="006E21BF"/>
    <w:rsid w:val="006E21CA"/>
    <w:rsid w:val="006E22E3"/>
    <w:rsid w:val="006E232C"/>
    <w:rsid w:val="006E232D"/>
    <w:rsid w:val="006E2402"/>
    <w:rsid w:val="006E2449"/>
    <w:rsid w:val="006E252A"/>
    <w:rsid w:val="006E2588"/>
    <w:rsid w:val="006E279D"/>
    <w:rsid w:val="006E2820"/>
    <w:rsid w:val="006E284D"/>
    <w:rsid w:val="006E28B0"/>
    <w:rsid w:val="006E29B0"/>
    <w:rsid w:val="006E2BF8"/>
    <w:rsid w:val="006E2C4F"/>
    <w:rsid w:val="006E2E0F"/>
    <w:rsid w:val="006E2EF5"/>
    <w:rsid w:val="006E2F89"/>
    <w:rsid w:val="006E2FAC"/>
    <w:rsid w:val="006E3074"/>
    <w:rsid w:val="006E310D"/>
    <w:rsid w:val="006E316D"/>
    <w:rsid w:val="006E3195"/>
    <w:rsid w:val="006E31ED"/>
    <w:rsid w:val="006E3330"/>
    <w:rsid w:val="006E3481"/>
    <w:rsid w:val="006E390E"/>
    <w:rsid w:val="006E3B35"/>
    <w:rsid w:val="006E3C9E"/>
    <w:rsid w:val="006E3D65"/>
    <w:rsid w:val="006E3DA1"/>
    <w:rsid w:val="006E3DB4"/>
    <w:rsid w:val="006E3DF1"/>
    <w:rsid w:val="006E3E38"/>
    <w:rsid w:val="006E3E5F"/>
    <w:rsid w:val="006E3FB5"/>
    <w:rsid w:val="006E4082"/>
    <w:rsid w:val="006E41F6"/>
    <w:rsid w:val="006E44DF"/>
    <w:rsid w:val="006E4552"/>
    <w:rsid w:val="006E4615"/>
    <w:rsid w:val="006E4686"/>
    <w:rsid w:val="006E46C6"/>
    <w:rsid w:val="006E47B4"/>
    <w:rsid w:val="006E483A"/>
    <w:rsid w:val="006E48F0"/>
    <w:rsid w:val="006E4A0D"/>
    <w:rsid w:val="006E4A48"/>
    <w:rsid w:val="006E4A6F"/>
    <w:rsid w:val="006E4AE1"/>
    <w:rsid w:val="006E4C34"/>
    <w:rsid w:val="006E4C6E"/>
    <w:rsid w:val="006E4D90"/>
    <w:rsid w:val="006E4D9E"/>
    <w:rsid w:val="006E4E73"/>
    <w:rsid w:val="006E4F94"/>
    <w:rsid w:val="006E4FB4"/>
    <w:rsid w:val="006E50B0"/>
    <w:rsid w:val="006E50C5"/>
    <w:rsid w:val="006E5120"/>
    <w:rsid w:val="006E51A0"/>
    <w:rsid w:val="006E51F6"/>
    <w:rsid w:val="006E52D5"/>
    <w:rsid w:val="006E538B"/>
    <w:rsid w:val="006E5467"/>
    <w:rsid w:val="006E5546"/>
    <w:rsid w:val="006E556C"/>
    <w:rsid w:val="006E56DA"/>
    <w:rsid w:val="006E5832"/>
    <w:rsid w:val="006E5851"/>
    <w:rsid w:val="006E598F"/>
    <w:rsid w:val="006E5A4C"/>
    <w:rsid w:val="006E5A85"/>
    <w:rsid w:val="006E5CC7"/>
    <w:rsid w:val="006E5CF9"/>
    <w:rsid w:val="006E5D66"/>
    <w:rsid w:val="006E5E26"/>
    <w:rsid w:val="006E5EFE"/>
    <w:rsid w:val="006E5F05"/>
    <w:rsid w:val="006E5F0D"/>
    <w:rsid w:val="006E6135"/>
    <w:rsid w:val="006E61E2"/>
    <w:rsid w:val="006E61F3"/>
    <w:rsid w:val="006E62A3"/>
    <w:rsid w:val="006E632D"/>
    <w:rsid w:val="006E63F6"/>
    <w:rsid w:val="006E63FC"/>
    <w:rsid w:val="006E648B"/>
    <w:rsid w:val="006E648E"/>
    <w:rsid w:val="006E64A6"/>
    <w:rsid w:val="006E65F8"/>
    <w:rsid w:val="006E69D7"/>
    <w:rsid w:val="006E6AC4"/>
    <w:rsid w:val="006E6B87"/>
    <w:rsid w:val="006E6BA1"/>
    <w:rsid w:val="006E6BB6"/>
    <w:rsid w:val="006E6BCC"/>
    <w:rsid w:val="006E6BF5"/>
    <w:rsid w:val="006E6D45"/>
    <w:rsid w:val="006E6E2B"/>
    <w:rsid w:val="006E6EF8"/>
    <w:rsid w:val="006E6F13"/>
    <w:rsid w:val="006E6F1C"/>
    <w:rsid w:val="006E707B"/>
    <w:rsid w:val="006E70BB"/>
    <w:rsid w:val="006E7178"/>
    <w:rsid w:val="006E72FD"/>
    <w:rsid w:val="006E7410"/>
    <w:rsid w:val="006E74C1"/>
    <w:rsid w:val="006E76A0"/>
    <w:rsid w:val="006E7845"/>
    <w:rsid w:val="006E7919"/>
    <w:rsid w:val="006E79C0"/>
    <w:rsid w:val="006E7B53"/>
    <w:rsid w:val="006E7BAF"/>
    <w:rsid w:val="006E7BB2"/>
    <w:rsid w:val="006E7BCB"/>
    <w:rsid w:val="006E7C2D"/>
    <w:rsid w:val="006E7CBE"/>
    <w:rsid w:val="006E7DB6"/>
    <w:rsid w:val="006E7DBF"/>
    <w:rsid w:val="006E7F70"/>
    <w:rsid w:val="006E7FB2"/>
    <w:rsid w:val="006F0006"/>
    <w:rsid w:val="006F0007"/>
    <w:rsid w:val="006F0065"/>
    <w:rsid w:val="006F019E"/>
    <w:rsid w:val="006F01D4"/>
    <w:rsid w:val="006F0247"/>
    <w:rsid w:val="006F02E1"/>
    <w:rsid w:val="006F03E1"/>
    <w:rsid w:val="006F03EA"/>
    <w:rsid w:val="006F0444"/>
    <w:rsid w:val="006F053A"/>
    <w:rsid w:val="006F0562"/>
    <w:rsid w:val="006F05BB"/>
    <w:rsid w:val="006F0604"/>
    <w:rsid w:val="006F0690"/>
    <w:rsid w:val="006F0691"/>
    <w:rsid w:val="006F06B7"/>
    <w:rsid w:val="006F0713"/>
    <w:rsid w:val="006F08B4"/>
    <w:rsid w:val="006F08B5"/>
    <w:rsid w:val="006F08D0"/>
    <w:rsid w:val="006F0B84"/>
    <w:rsid w:val="006F0BCC"/>
    <w:rsid w:val="006F0C95"/>
    <w:rsid w:val="006F0DA4"/>
    <w:rsid w:val="006F0DC9"/>
    <w:rsid w:val="006F1207"/>
    <w:rsid w:val="006F1223"/>
    <w:rsid w:val="006F125D"/>
    <w:rsid w:val="006F12F5"/>
    <w:rsid w:val="006F1344"/>
    <w:rsid w:val="006F135C"/>
    <w:rsid w:val="006F13CE"/>
    <w:rsid w:val="006F13FB"/>
    <w:rsid w:val="006F1411"/>
    <w:rsid w:val="006F1424"/>
    <w:rsid w:val="006F1521"/>
    <w:rsid w:val="006F16B5"/>
    <w:rsid w:val="006F170C"/>
    <w:rsid w:val="006F1763"/>
    <w:rsid w:val="006F1779"/>
    <w:rsid w:val="006F1849"/>
    <w:rsid w:val="006F185D"/>
    <w:rsid w:val="006F18EF"/>
    <w:rsid w:val="006F1982"/>
    <w:rsid w:val="006F1997"/>
    <w:rsid w:val="006F19E8"/>
    <w:rsid w:val="006F19EF"/>
    <w:rsid w:val="006F19FD"/>
    <w:rsid w:val="006F1BC6"/>
    <w:rsid w:val="006F1C0F"/>
    <w:rsid w:val="006F1DB8"/>
    <w:rsid w:val="006F20B3"/>
    <w:rsid w:val="006F20C5"/>
    <w:rsid w:val="006F2148"/>
    <w:rsid w:val="006F215E"/>
    <w:rsid w:val="006F21B5"/>
    <w:rsid w:val="006F2392"/>
    <w:rsid w:val="006F248B"/>
    <w:rsid w:val="006F2519"/>
    <w:rsid w:val="006F25E3"/>
    <w:rsid w:val="006F2618"/>
    <w:rsid w:val="006F2689"/>
    <w:rsid w:val="006F29B3"/>
    <w:rsid w:val="006F2A7C"/>
    <w:rsid w:val="006F2B3B"/>
    <w:rsid w:val="006F2B9D"/>
    <w:rsid w:val="006F2BCD"/>
    <w:rsid w:val="006F2BEF"/>
    <w:rsid w:val="006F2C01"/>
    <w:rsid w:val="006F2CA7"/>
    <w:rsid w:val="006F2DAF"/>
    <w:rsid w:val="006F2EE2"/>
    <w:rsid w:val="006F3229"/>
    <w:rsid w:val="006F324D"/>
    <w:rsid w:val="006F3321"/>
    <w:rsid w:val="006F3396"/>
    <w:rsid w:val="006F33CB"/>
    <w:rsid w:val="006F3479"/>
    <w:rsid w:val="006F3514"/>
    <w:rsid w:val="006F3610"/>
    <w:rsid w:val="006F362F"/>
    <w:rsid w:val="006F3773"/>
    <w:rsid w:val="006F37A4"/>
    <w:rsid w:val="006F39B6"/>
    <w:rsid w:val="006F39EF"/>
    <w:rsid w:val="006F3A7F"/>
    <w:rsid w:val="006F3AD8"/>
    <w:rsid w:val="006F3B90"/>
    <w:rsid w:val="006F3BC0"/>
    <w:rsid w:val="006F3C0E"/>
    <w:rsid w:val="006F3D30"/>
    <w:rsid w:val="006F3EBE"/>
    <w:rsid w:val="006F3F2B"/>
    <w:rsid w:val="006F3F76"/>
    <w:rsid w:val="006F4039"/>
    <w:rsid w:val="006F4114"/>
    <w:rsid w:val="006F41EA"/>
    <w:rsid w:val="006F4241"/>
    <w:rsid w:val="006F4311"/>
    <w:rsid w:val="006F433E"/>
    <w:rsid w:val="006F4352"/>
    <w:rsid w:val="006F44DF"/>
    <w:rsid w:val="006F456D"/>
    <w:rsid w:val="006F47E0"/>
    <w:rsid w:val="006F47E2"/>
    <w:rsid w:val="006F486B"/>
    <w:rsid w:val="006F49A2"/>
    <w:rsid w:val="006F49B0"/>
    <w:rsid w:val="006F4A33"/>
    <w:rsid w:val="006F4A70"/>
    <w:rsid w:val="006F4ADA"/>
    <w:rsid w:val="006F4ADF"/>
    <w:rsid w:val="006F4B22"/>
    <w:rsid w:val="006F4B5F"/>
    <w:rsid w:val="006F4B97"/>
    <w:rsid w:val="006F4DDE"/>
    <w:rsid w:val="006F4F34"/>
    <w:rsid w:val="006F507B"/>
    <w:rsid w:val="006F5081"/>
    <w:rsid w:val="006F5091"/>
    <w:rsid w:val="006F516D"/>
    <w:rsid w:val="006F52D8"/>
    <w:rsid w:val="006F5360"/>
    <w:rsid w:val="006F5375"/>
    <w:rsid w:val="006F539B"/>
    <w:rsid w:val="006F53EE"/>
    <w:rsid w:val="006F54A5"/>
    <w:rsid w:val="006F54C3"/>
    <w:rsid w:val="006F5529"/>
    <w:rsid w:val="006F5625"/>
    <w:rsid w:val="006F5665"/>
    <w:rsid w:val="006F575C"/>
    <w:rsid w:val="006F57A0"/>
    <w:rsid w:val="006F57AF"/>
    <w:rsid w:val="006F5916"/>
    <w:rsid w:val="006F5ACD"/>
    <w:rsid w:val="006F5B46"/>
    <w:rsid w:val="006F5CA8"/>
    <w:rsid w:val="006F5CCA"/>
    <w:rsid w:val="006F5DFF"/>
    <w:rsid w:val="006F5E05"/>
    <w:rsid w:val="006F5E43"/>
    <w:rsid w:val="006F6015"/>
    <w:rsid w:val="006F6030"/>
    <w:rsid w:val="006F611B"/>
    <w:rsid w:val="006F61CE"/>
    <w:rsid w:val="006F6215"/>
    <w:rsid w:val="006F6305"/>
    <w:rsid w:val="006F63E7"/>
    <w:rsid w:val="006F653C"/>
    <w:rsid w:val="006F6559"/>
    <w:rsid w:val="006F65A2"/>
    <w:rsid w:val="006F65A8"/>
    <w:rsid w:val="006F65F4"/>
    <w:rsid w:val="006F6698"/>
    <w:rsid w:val="006F6719"/>
    <w:rsid w:val="006F6770"/>
    <w:rsid w:val="006F698D"/>
    <w:rsid w:val="006F6AB5"/>
    <w:rsid w:val="006F6B76"/>
    <w:rsid w:val="006F6C63"/>
    <w:rsid w:val="006F6C89"/>
    <w:rsid w:val="006F6D87"/>
    <w:rsid w:val="006F6E1F"/>
    <w:rsid w:val="006F6F2C"/>
    <w:rsid w:val="006F6F2E"/>
    <w:rsid w:val="006F6F90"/>
    <w:rsid w:val="006F6FD0"/>
    <w:rsid w:val="006F7006"/>
    <w:rsid w:val="006F701B"/>
    <w:rsid w:val="006F701D"/>
    <w:rsid w:val="006F70F1"/>
    <w:rsid w:val="006F710F"/>
    <w:rsid w:val="006F72AF"/>
    <w:rsid w:val="006F7471"/>
    <w:rsid w:val="006F7499"/>
    <w:rsid w:val="006F74C6"/>
    <w:rsid w:val="006F75E4"/>
    <w:rsid w:val="006F75FC"/>
    <w:rsid w:val="006F7768"/>
    <w:rsid w:val="006F77DE"/>
    <w:rsid w:val="006F7894"/>
    <w:rsid w:val="006F78B6"/>
    <w:rsid w:val="006F7900"/>
    <w:rsid w:val="006F7A32"/>
    <w:rsid w:val="006F7A76"/>
    <w:rsid w:val="006F7A7C"/>
    <w:rsid w:val="006F7A88"/>
    <w:rsid w:val="006F7ADA"/>
    <w:rsid w:val="006F7C39"/>
    <w:rsid w:val="006F7D1C"/>
    <w:rsid w:val="006F7DA7"/>
    <w:rsid w:val="006F7DE3"/>
    <w:rsid w:val="006F7E45"/>
    <w:rsid w:val="006F7E5A"/>
    <w:rsid w:val="0070000B"/>
    <w:rsid w:val="00700080"/>
    <w:rsid w:val="007000E3"/>
    <w:rsid w:val="0070014B"/>
    <w:rsid w:val="007001FA"/>
    <w:rsid w:val="0070023A"/>
    <w:rsid w:val="00700492"/>
    <w:rsid w:val="007004D3"/>
    <w:rsid w:val="00700515"/>
    <w:rsid w:val="00700610"/>
    <w:rsid w:val="00700620"/>
    <w:rsid w:val="00700630"/>
    <w:rsid w:val="00700895"/>
    <w:rsid w:val="0070095F"/>
    <w:rsid w:val="00700972"/>
    <w:rsid w:val="00700AEC"/>
    <w:rsid w:val="00700B6A"/>
    <w:rsid w:val="00700B81"/>
    <w:rsid w:val="00700E38"/>
    <w:rsid w:val="00700E73"/>
    <w:rsid w:val="00700E8D"/>
    <w:rsid w:val="00700FCA"/>
    <w:rsid w:val="00701054"/>
    <w:rsid w:val="00701059"/>
    <w:rsid w:val="0070106A"/>
    <w:rsid w:val="007011A9"/>
    <w:rsid w:val="007011AD"/>
    <w:rsid w:val="007011E1"/>
    <w:rsid w:val="007012D3"/>
    <w:rsid w:val="0070130C"/>
    <w:rsid w:val="00701334"/>
    <w:rsid w:val="007013C9"/>
    <w:rsid w:val="007014A4"/>
    <w:rsid w:val="00701537"/>
    <w:rsid w:val="00701540"/>
    <w:rsid w:val="00701595"/>
    <w:rsid w:val="007016B4"/>
    <w:rsid w:val="007016F5"/>
    <w:rsid w:val="007017B8"/>
    <w:rsid w:val="007018D8"/>
    <w:rsid w:val="00701990"/>
    <w:rsid w:val="00701BD8"/>
    <w:rsid w:val="00701CA9"/>
    <w:rsid w:val="00701CE7"/>
    <w:rsid w:val="00701D65"/>
    <w:rsid w:val="00701DEF"/>
    <w:rsid w:val="00701E30"/>
    <w:rsid w:val="00701E45"/>
    <w:rsid w:val="00701E5F"/>
    <w:rsid w:val="00701E71"/>
    <w:rsid w:val="00701F46"/>
    <w:rsid w:val="0070221D"/>
    <w:rsid w:val="00702285"/>
    <w:rsid w:val="00702450"/>
    <w:rsid w:val="007024DB"/>
    <w:rsid w:val="00702764"/>
    <w:rsid w:val="007028BD"/>
    <w:rsid w:val="00702A02"/>
    <w:rsid w:val="00702B66"/>
    <w:rsid w:val="00702B72"/>
    <w:rsid w:val="00702BF3"/>
    <w:rsid w:val="00702C4E"/>
    <w:rsid w:val="00702D01"/>
    <w:rsid w:val="00702E6F"/>
    <w:rsid w:val="00702F63"/>
    <w:rsid w:val="00703052"/>
    <w:rsid w:val="00703076"/>
    <w:rsid w:val="00703080"/>
    <w:rsid w:val="00703133"/>
    <w:rsid w:val="00703194"/>
    <w:rsid w:val="00703479"/>
    <w:rsid w:val="0070347F"/>
    <w:rsid w:val="007035D6"/>
    <w:rsid w:val="0070369F"/>
    <w:rsid w:val="0070371F"/>
    <w:rsid w:val="00703807"/>
    <w:rsid w:val="007039D5"/>
    <w:rsid w:val="00703ADD"/>
    <w:rsid w:val="00703AF6"/>
    <w:rsid w:val="00703B2B"/>
    <w:rsid w:val="00703C22"/>
    <w:rsid w:val="00703DDB"/>
    <w:rsid w:val="00703F0D"/>
    <w:rsid w:val="00703FAB"/>
    <w:rsid w:val="00703FF7"/>
    <w:rsid w:val="0070405F"/>
    <w:rsid w:val="00704152"/>
    <w:rsid w:val="007041CD"/>
    <w:rsid w:val="00704263"/>
    <w:rsid w:val="007044C1"/>
    <w:rsid w:val="007044D3"/>
    <w:rsid w:val="00704706"/>
    <w:rsid w:val="007048CD"/>
    <w:rsid w:val="007048D1"/>
    <w:rsid w:val="0070495A"/>
    <w:rsid w:val="00704984"/>
    <w:rsid w:val="00704A83"/>
    <w:rsid w:val="00704AFA"/>
    <w:rsid w:val="00704C6A"/>
    <w:rsid w:val="00704CC2"/>
    <w:rsid w:val="00704CFD"/>
    <w:rsid w:val="00704DBA"/>
    <w:rsid w:val="00705190"/>
    <w:rsid w:val="0070521E"/>
    <w:rsid w:val="00705289"/>
    <w:rsid w:val="00705306"/>
    <w:rsid w:val="0070537F"/>
    <w:rsid w:val="007054F5"/>
    <w:rsid w:val="00705511"/>
    <w:rsid w:val="0070558D"/>
    <w:rsid w:val="007055DB"/>
    <w:rsid w:val="007056C0"/>
    <w:rsid w:val="00705804"/>
    <w:rsid w:val="00705829"/>
    <w:rsid w:val="00705873"/>
    <w:rsid w:val="007058BF"/>
    <w:rsid w:val="00705A1F"/>
    <w:rsid w:val="00705A3D"/>
    <w:rsid w:val="00705A60"/>
    <w:rsid w:val="00705A7B"/>
    <w:rsid w:val="00705A7F"/>
    <w:rsid w:val="00705B21"/>
    <w:rsid w:val="00705B43"/>
    <w:rsid w:val="00705C95"/>
    <w:rsid w:val="00705D43"/>
    <w:rsid w:val="00705F96"/>
    <w:rsid w:val="00706024"/>
    <w:rsid w:val="007060F3"/>
    <w:rsid w:val="00706164"/>
    <w:rsid w:val="0070617E"/>
    <w:rsid w:val="007061E4"/>
    <w:rsid w:val="00706406"/>
    <w:rsid w:val="0070642F"/>
    <w:rsid w:val="007064C9"/>
    <w:rsid w:val="0070651A"/>
    <w:rsid w:val="00706527"/>
    <w:rsid w:val="00706646"/>
    <w:rsid w:val="00706785"/>
    <w:rsid w:val="007067DA"/>
    <w:rsid w:val="007068AA"/>
    <w:rsid w:val="00706952"/>
    <w:rsid w:val="0070695B"/>
    <w:rsid w:val="00706A11"/>
    <w:rsid w:val="00706ABA"/>
    <w:rsid w:val="00706ABE"/>
    <w:rsid w:val="00706B19"/>
    <w:rsid w:val="00706BEE"/>
    <w:rsid w:val="00706C76"/>
    <w:rsid w:val="00706ECB"/>
    <w:rsid w:val="00707001"/>
    <w:rsid w:val="00707010"/>
    <w:rsid w:val="00707056"/>
    <w:rsid w:val="00707058"/>
    <w:rsid w:val="00707351"/>
    <w:rsid w:val="00707352"/>
    <w:rsid w:val="007073B6"/>
    <w:rsid w:val="0070746E"/>
    <w:rsid w:val="0070747F"/>
    <w:rsid w:val="007074C1"/>
    <w:rsid w:val="007074C3"/>
    <w:rsid w:val="00707655"/>
    <w:rsid w:val="00707A00"/>
    <w:rsid w:val="00707A9F"/>
    <w:rsid w:val="00707CD2"/>
    <w:rsid w:val="00707E01"/>
    <w:rsid w:val="00710037"/>
    <w:rsid w:val="00710167"/>
    <w:rsid w:val="00710198"/>
    <w:rsid w:val="0071026A"/>
    <w:rsid w:val="0071034C"/>
    <w:rsid w:val="00710394"/>
    <w:rsid w:val="007103D5"/>
    <w:rsid w:val="007103E3"/>
    <w:rsid w:val="007103FE"/>
    <w:rsid w:val="00710467"/>
    <w:rsid w:val="0071059A"/>
    <w:rsid w:val="00710679"/>
    <w:rsid w:val="0071072C"/>
    <w:rsid w:val="00710903"/>
    <w:rsid w:val="0071090D"/>
    <w:rsid w:val="00710931"/>
    <w:rsid w:val="00710A65"/>
    <w:rsid w:val="00710C04"/>
    <w:rsid w:val="00710C52"/>
    <w:rsid w:val="00710CB2"/>
    <w:rsid w:val="00710E0F"/>
    <w:rsid w:val="00710F2D"/>
    <w:rsid w:val="00710F9B"/>
    <w:rsid w:val="00710FCB"/>
    <w:rsid w:val="00711116"/>
    <w:rsid w:val="0071145D"/>
    <w:rsid w:val="007114DB"/>
    <w:rsid w:val="007115A4"/>
    <w:rsid w:val="007115E2"/>
    <w:rsid w:val="00711601"/>
    <w:rsid w:val="00711653"/>
    <w:rsid w:val="00711667"/>
    <w:rsid w:val="00711675"/>
    <w:rsid w:val="00711697"/>
    <w:rsid w:val="00711704"/>
    <w:rsid w:val="0071174B"/>
    <w:rsid w:val="0071175F"/>
    <w:rsid w:val="00711875"/>
    <w:rsid w:val="007118D0"/>
    <w:rsid w:val="00711975"/>
    <w:rsid w:val="00711988"/>
    <w:rsid w:val="0071198F"/>
    <w:rsid w:val="00711A10"/>
    <w:rsid w:val="00711A55"/>
    <w:rsid w:val="00711A7E"/>
    <w:rsid w:val="00711A8B"/>
    <w:rsid w:val="00711BF5"/>
    <w:rsid w:val="00711C56"/>
    <w:rsid w:val="00711F2C"/>
    <w:rsid w:val="00711F79"/>
    <w:rsid w:val="00712002"/>
    <w:rsid w:val="0071201E"/>
    <w:rsid w:val="00712078"/>
    <w:rsid w:val="007121D4"/>
    <w:rsid w:val="0071228B"/>
    <w:rsid w:val="007122BF"/>
    <w:rsid w:val="007122CB"/>
    <w:rsid w:val="0071242F"/>
    <w:rsid w:val="007124FB"/>
    <w:rsid w:val="00712618"/>
    <w:rsid w:val="0071264B"/>
    <w:rsid w:val="0071271A"/>
    <w:rsid w:val="00712758"/>
    <w:rsid w:val="00712803"/>
    <w:rsid w:val="00712A63"/>
    <w:rsid w:val="00712A8E"/>
    <w:rsid w:val="00712B85"/>
    <w:rsid w:val="00712BD8"/>
    <w:rsid w:val="00712D0B"/>
    <w:rsid w:val="00712DE8"/>
    <w:rsid w:val="00713140"/>
    <w:rsid w:val="00713179"/>
    <w:rsid w:val="007131A2"/>
    <w:rsid w:val="007131DB"/>
    <w:rsid w:val="0071320A"/>
    <w:rsid w:val="007132C5"/>
    <w:rsid w:val="007132E1"/>
    <w:rsid w:val="0071340D"/>
    <w:rsid w:val="00713450"/>
    <w:rsid w:val="00713776"/>
    <w:rsid w:val="00713777"/>
    <w:rsid w:val="00713850"/>
    <w:rsid w:val="007138D0"/>
    <w:rsid w:val="007139DB"/>
    <w:rsid w:val="00713A2B"/>
    <w:rsid w:val="00713A48"/>
    <w:rsid w:val="00713AD5"/>
    <w:rsid w:val="00713B57"/>
    <w:rsid w:val="00713B5E"/>
    <w:rsid w:val="00713C2F"/>
    <w:rsid w:val="00713CB0"/>
    <w:rsid w:val="00713D62"/>
    <w:rsid w:val="00713D65"/>
    <w:rsid w:val="00713DFC"/>
    <w:rsid w:val="00714078"/>
    <w:rsid w:val="007140E1"/>
    <w:rsid w:val="00714139"/>
    <w:rsid w:val="007141FF"/>
    <w:rsid w:val="007143ED"/>
    <w:rsid w:val="007144F8"/>
    <w:rsid w:val="0071450E"/>
    <w:rsid w:val="007145A0"/>
    <w:rsid w:val="007145C7"/>
    <w:rsid w:val="0071468C"/>
    <w:rsid w:val="00714760"/>
    <w:rsid w:val="0071484E"/>
    <w:rsid w:val="00714A46"/>
    <w:rsid w:val="00714B97"/>
    <w:rsid w:val="00714C0B"/>
    <w:rsid w:val="00714CF5"/>
    <w:rsid w:val="00714D9D"/>
    <w:rsid w:val="00714E4E"/>
    <w:rsid w:val="00714EEF"/>
    <w:rsid w:val="007150F0"/>
    <w:rsid w:val="00715144"/>
    <w:rsid w:val="0071529F"/>
    <w:rsid w:val="007152FD"/>
    <w:rsid w:val="007153BC"/>
    <w:rsid w:val="007154D8"/>
    <w:rsid w:val="00715627"/>
    <w:rsid w:val="0071563F"/>
    <w:rsid w:val="0071573B"/>
    <w:rsid w:val="0071590E"/>
    <w:rsid w:val="00715A39"/>
    <w:rsid w:val="00715B47"/>
    <w:rsid w:val="00715BDE"/>
    <w:rsid w:val="00715BF9"/>
    <w:rsid w:val="00715C3D"/>
    <w:rsid w:val="00715C65"/>
    <w:rsid w:val="00715D4D"/>
    <w:rsid w:val="00715D68"/>
    <w:rsid w:val="00715E88"/>
    <w:rsid w:val="00715FF1"/>
    <w:rsid w:val="007161A7"/>
    <w:rsid w:val="00716236"/>
    <w:rsid w:val="0071624A"/>
    <w:rsid w:val="007162F1"/>
    <w:rsid w:val="007162F2"/>
    <w:rsid w:val="0071631A"/>
    <w:rsid w:val="007163B1"/>
    <w:rsid w:val="007164E8"/>
    <w:rsid w:val="0071658E"/>
    <w:rsid w:val="007165DB"/>
    <w:rsid w:val="00716689"/>
    <w:rsid w:val="00716730"/>
    <w:rsid w:val="0071673E"/>
    <w:rsid w:val="007167DF"/>
    <w:rsid w:val="007169DD"/>
    <w:rsid w:val="00716A24"/>
    <w:rsid w:val="00716A35"/>
    <w:rsid w:val="00716A50"/>
    <w:rsid w:val="00716A68"/>
    <w:rsid w:val="00716AA8"/>
    <w:rsid w:val="00716AFD"/>
    <w:rsid w:val="00716B26"/>
    <w:rsid w:val="00716D5A"/>
    <w:rsid w:val="00716D95"/>
    <w:rsid w:val="00716E81"/>
    <w:rsid w:val="00716ED2"/>
    <w:rsid w:val="00716FE5"/>
    <w:rsid w:val="00717153"/>
    <w:rsid w:val="0071716B"/>
    <w:rsid w:val="0071721C"/>
    <w:rsid w:val="0071736E"/>
    <w:rsid w:val="007173CF"/>
    <w:rsid w:val="0071746E"/>
    <w:rsid w:val="007174A2"/>
    <w:rsid w:val="0071754D"/>
    <w:rsid w:val="00717604"/>
    <w:rsid w:val="00717778"/>
    <w:rsid w:val="00717784"/>
    <w:rsid w:val="00717799"/>
    <w:rsid w:val="007177D0"/>
    <w:rsid w:val="0071795F"/>
    <w:rsid w:val="00717A37"/>
    <w:rsid w:val="00717A59"/>
    <w:rsid w:val="00717A96"/>
    <w:rsid w:val="00717B0F"/>
    <w:rsid w:val="00717B28"/>
    <w:rsid w:val="00717B54"/>
    <w:rsid w:val="00717B94"/>
    <w:rsid w:val="00717C4F"/>
    <w:rsid w:val="00717C58"/>
    <w:rsid w:val="00717D21"/>
    <w:rsid w:val="00717E82"/>
    <w:rsid w:val="00717E85"/>
    <w:rsid w:val="0072001C"/>
    <w:rsid w:val="007201E0"/>
    <w:rsid w:val="0072027E"/>
    <w:rsid w:val="00720334"/>
    <w:rsid w:val="007203E0"/>
    <w:rsid w:val="00720401"/>
    <w:rsid w:val="0072049F"/>
    <w:rsid w:val="007204D2"/>
    <w:rsid w:val="0072056D"/>
    <w:rsid w:val="00720755"/>
    <w:rsid w:val="0072078B"/>
    <w:rsid w:val="00720855"/>
    <w:rsid w:val="0072085B"/>
    <w:rsid w:val="00720983"/>
    <w:rsid w:val="00720AE5"/>
    <w:rsid w:val="00720BF7"/>
    <w:rsid w:val="00720C84"/>
    <w:rsid w:val="00720C8E"/>
    <w:rsid w:val="00720E69"/>
    <w:rsid w:val="00720EC6"/>
    <w:rsid w:val="00720EFD"/>
    <w:rsid w:val="00720FDD"/>
    <w:rsid w:val="00720FF6"/>
    <w:rsid w:val="00721016"/>
    <w:rsid w:val="007211EC"/>
    <w:rsid w:val="0072121F"/>
    <w:rsid w:val="0072129E"/>
    <w:rsid w:val="007213A2"/>
    <w:rsid w:val="007214EC"/>
    <w:rsid w:val="00721587"/>
    <w:rsid w:val="0072168C"/>
    <w:rsid w:val="0072177A"/>
    <w:rsid w:val="0072178D"/>
    <w:rsid w:val="0072184F"/>
    <w:rsid w:val="00721856"/>
    <w:rsid w:val="007218DE"/>
    <w:rsid w:val="00721925"/>
    <w:rsid w:val="0072194F"/>
    <w:rsid w:val="00721970"/>
    <w:rsid w:val="00721B0E"/>
    <w:rsid w:val="00721BDC"/>
    <w:rsid w:val="00721BE8"/>
    <w:rsid w:val="00721D37"/>
    <w:rsid w:val="00721E70"/>
    <w:rsid w:val="00721F3F"/>
    <w:rsid w:val="0072202D"/>
    <w:rsid w:val="00722086"/>
    <w:rsid w:val="0072222A"/>
    <w:rsid w:val="00722430"/>
    <w:rsid w:val="007225DD"/>
    <w:rsid w:val="00722605"/>
    <w:rsid w:val="00722637"/>
    <w:rsid w:val="00722662"/>
    <w:rsid w:val="0072269D"/>
    <w:rsid w:val="0072291B"/>
    <w:rsid w:val="007229AF"/>
    <w:rsid w:val="007229F3"/>
    <w:rsid w:val="00722B15"/>
    <w:rsid w:val="00722BBC"/>
    <w:rsid w:val="00722BD2"/>
    <w:rsid w:val="00722D65"/>
    <w:rsid w:val="00722DB9"/>
    <w:rsid w:val="00722F37"/>
    <w:rsid w:val="00722F7B"/>
    <w:rsid w:val="00722FB6"/>
    <w:rsid w:val="00723013"/>
    <w:rsid w:val="00723028"/>
    <w:rsid w:val="00723298"/>
    <w:rsid w:val="00723423"/>
    <w:rsid w:val="00723426"/>
    <w:rsid w:val="00723612"/>
    <w:rsid w:val="00723772"/>
    <w:rsid w:val="007237CF"/>
    <w:rsid w:val="007237DB"/>
    <w:rsid w:val="007237E0"/>
    <w:rsid w:val="0072381E"/>
    <w:rsid w:val="00723A03"/>
    <w:rsid w:val="00723A73"/>
    <w:rsid w:val="00723D78"/>
    <w:rsid w:val="00723DD4"/>
    <w:rsid w:val="00723FBD"/>
    <w:rsid w:val="00723FCA"/>
    <w:rsid w:val="00724049"/>
    <w:rsid w:val="007240B0"/>
    <w:rsid w:val="00724127"/>
    <w:rsid w:val="00724445"/>
    <w:rsid w:val="00724478"/>
    <w:rsid w:val="007244CE"/>
    <w:rsid w:val="0072456C"/>
    <w:rsid w:val="00724685"/>
    <w:rsid w:val="007246EF"/>
    <w:rsid w:val="0072474D"/>
    <w:rsid w:val="0072475F"/>
    <w:rsid w:val="00724778"/>
    <w:rsid w:val="0072477E"/>
    <w:rsid w:val="0072484C"/>
    <w:rsid w:val="00724869"/>
    <w:rsid w:val="00724906"/>
    <w:rsid w:val="007249B4"/>
    <w:rsid w:val="00724C11"/>
    <w:rsid w:val="00724CC8"/>
    <w:rsid w:val="00724CFF"/>
    <w:rsid w:val="00724D97"/>
    <w:rsid w:val="00724E80"/>
    <w:rsid w:val="00724F5B"/>
    <w:rsid w:val="00724FF9"/>
    <w:rsid w:val="00725052"/>
    <w:rsid w:val="0072511E"/>
    <w:rsid w:val="00725195"/>
    <w:rsid w:val="0072523C"/>
    <w:rsid w:val="007252DB"/>
    <w:rsid w:val="00725312"/>
    <w:rsid w:val="007253C5"/>
    <w:rsid w:val="00725429"/>
    <w:rsid w:val="0072544D"/>
    <w:rsid w:val="007255EE"/>
    <w:rsid w:val="007255FB"/>
    <w:rsid w:val="007256B5"/>
    <w:rsid w:val="007256FF"/>
    <w:rsid w:val="00725729"/>
    <w:rsid w:val="00725779"/>
    <w:rsid w:val="00725875"/>
    <w:rsid w:val="007258C0"/>
    <w:rsid w:val="00725A1B"/>
    <w:rsid w:val="00725B93"/>
    <w:rsid w:val="00725B9A"/>
    <w:rsid w:val="00725D0B"/>
    <w:rsid w:val="00725D4B"/>
    <w:rsid w:val="00725E6F"/>
    <w:rsid w:val="00725EE2"/>
    <w:rsid w:val="0072608B"/>
    <w:rsid w:val="007260AA"/>
    <w:rsid w:val="007260BB"/>
    <w:rsid w:val="00726116"/>
    <w:rsid w:val="00726304"/>
    <w:rsid w:val="00726322"/>
    <w:rsid w:val="00726337"/>
    <w:rsid w:val="0072658B"/>
    <w:rsid w:val="007265A8"/>
    <w:rsid w:val="007265D5"/>
    <w:rsid w:val="00726704"/>
    <w:rsid w:val="00726743"/>
    <w:rsid w:val="0072681A"/>
    <w:rsid w:val="0072682B"/>
    <w:rsid w:val="00726A8D"/>
    <w:rsid w:val="00726B2B"/>
    <w:rsid w:val="00726D65"/>
    <w:rsid w:val="007270AC"/>
    <w:rsid w:val="007270C1"/>
    <w:rsid w:val="00727115"/>
    <w:rsid w:val="00727137"/>
    <w:rsid w:val="007271F4"/>
    <w:rsid w:val="0072726B"/>
    <w:rsid w:val="0072738B"/>
    <w:rsid w:val="007273BF"/>
    <w:rsid w:val="007273D0"/>
    <w:rsid w:val="00727475"/>
    <w:rsid w:val="007274B8"/>
    <w:rsid w:val="00727547"/>
    <w:rsid w:val="007275A2"/>
    <w:rsid w:val="00727630"/>
    <w:rsid w:val="00727687"/>
    <w:rsid w:val="00727899"/>
    <w:rsid w:val="00727945"/>
    <w:rsid w:val="0072799B"/>
    <w:rsid w:val="007279EC"/>
    <w:rsid w:val="00727A6F"/>
    <w:rsid w:val="00727AC3"/>
    <w:rsid w:val="00727AD3"/>
    <w:rsid w:val="00727B80"/>
    <w:rsid w:val="00727C2E"/>
    <w:rsid w:val="00727CA9"/>
    <w:rsid w:val="00727CD5"/>
    <w:rsid w:val="00727DEA"/>
    <w:rsid w:val="00727DF3"/>
    <w:rsid w:val="00727EFF"/>
    <w:rsid w:val="007301CD"/>
    <w:rsid w:val="007301E7"/>
    <w:rsid w:val="00730355"/>
    <w:rsid w:val="00730534"/>
    <w:rsid w:val="0073065F"/>
    <w:rsid w:val="007306E0"/>
    <w:rsid w:val="00730705"/>
    <w:rsid w:val="0073075E"/>
    <w:rsid w:val="00730823"/>
    <w:rsid w:val="00730838"/>
    <w:rsid w:val="007308A3"/>
    <w:rsid w:val="00730969"/>
    <w:rsid w:val="007309E2"/>
    <w:rsid w:val="00730A83"/>
    <w:rsid w:val="00730AF1"/>
    <w:rsid w:val="00730C73"/>
    <w:rsid w:val="00730CA5"/>
    <w:rsid w:val="00730D12"/>
    <w:rsid w:val="00730D32"/>
    <w:rsid w:val="00730DB9"/>
    <w:rsid w:val="00730E38"/>
    <w:rsid w:val="00730E5C"/>
    <w:rsid w:val="00730F35"/>
    <w:rsid w:val="00730FAA"/>
    <w:rsid w:val="00730FC3"/>
    <w:rsid w:val="00730FD3"/>
    <w:rsid w:val="00731027"/>
    <w:rsid w:val="0073106C"/>
    <w:rsid w:val="007310D4"/>
    <w:rsid w:val="00731131"/>
    <w:rsid w:val="00731218"/>
    <w:rsid w:val="00731390"/>
    <w:rsid w:val="007314EC"/>
    <w:rsid w:val="007314FD"/>
    <w:rsid w:val="00731749"/>
    <w:rsid w:val="00731795"/>
    <w:rsid w:val="00731875"/>
    <w:rsid w:val="0073188C"/>
    <w:rsid w:val="007319B3"/>
    <w:rsid w:val="007319C6"/>
    <w:rsid w:val="007319CA"/>
    <w:rsid w:val="00731ACB"/>
    <w:rsid w:val="00731B19"/>
    <w:rsid w:val="00731CB7"/>
    <w:rsid w:val="00731D3B"/>
    <w:rsid w:val="00731E0C"/>
    <w:rsid w:val="00731E4E"/>
    <w:rsid w:val="00731F06"/>
    <w:rsid w:val="00731F7C"/>
    <w:rsid w:val="007322A1"/>
    <w:rsid w:val="00732338"/>
    <w:rsid w:val="00732341"/>
    <w:rsid w:val="00732343"/>
    <w:rsid w:val="0073249F"/>
    <w:rsid w:val="007325C3"/>
    <w:rsid w:val="007326B9"/>
    <w:rsid w:val="0073271D"/>
    <w:rsid w:val="0073296B"/>
    <w:rsid w:val="007329B7"/>
    <w:rsid w:val="00732A52"/>
    <w:rsid w:val="00732AAC"/>
    <w:rsid w:val="00732B93"/>
    <w:rsid w:val="00732C82"/>
    <w:rsid w:val="00732DCE"/>
    <w:rsid w:val="00732F2B"/>
    <w:rsid w:val="00732F47"/>
    <w:rsid w:val="00733040"/>
    <w:rsid w:val="007331E4"/>
    <w:rsid w:val="0073320E"/>
    <w:rsid w:val="007332E9"/>
    <w:rsid w:val="0073331A"/>
    <w:rsid w:val="00733392"/>
    <w:rsid w:val="00733404"/>
    <w:rsid w:val="007334A0"/>
    <w:rsid w:val="007335BD"/>
    <w:rsid w:val="00733633"/>
    <w:rsid w:val="00733637"/>
    <w:rsid w:val="007336AA"/>
    <w:rsid w:val="007337E8"/>
    <w:rsid w:val="00733ABC"/>
    <w:rsid w:val="00733B7C"/>
    <w:rsid w:val="00733C22"/>
    <w:rsid w:val="00733CB5"/>
    <w:rsid w:val="00733CD4"/>
    <w:rsid w:val="00733CDA"/>
    <w:rsid w:val="00733D6B"/>
    <w:rsid w:val="00733D7B"/>
    <w:rsid w:val="00733DBD"/>
    <w:rsid w:val="00733DF2"/>
    <w:rsid w:val="00733E91"/>
    <w:rsid w:val="00733EFD"/>
    <w:rsid w:val="00733F17"/>
    <w:rsid w:val="00733F39"/>
    <w:rsid w:val="00733F8D"/>
    <w:rsid w:val="00733FFE"/>
    <w:rsid w:val="0073406D"/>
    <w:rsid w:val="007340B8"/>
    <w:rsid w:val="00734196"/>
    <w:rsid w:val="007341A4"/>
    <w:rsid w:val="00734289"/>
    <w:rsid w:val="0073429E"/>
    <w:rsid w:val="0073434C"/>
    <w:rsid w:val="00734467"/>
    <w:rsid w:val="0073457F"/>
    <w:rsid w:val="007345A4"/>
    <w:rsid w:val="007345AA"/>
    <w:rsid w:val="00734690"/>
    <w:rsid w:val="0073470F"/>
    <w:rsid w:val="007347DA"/>
    <w:rsid w:val="0073483E"/>
    <w:rsid w:val="00734955"/>
    <w:rsid w:val="007349BA"/>
    <w:rsid w:val="00734A46"/>
    <w:rsid w:val="00734AEA"/>
    <w:rsid w:val="00734B16"/>
    <w:rsid w:val="00734BE8"/>
    <w:rsid w:val="00734BF3"/>
    <w:rsid w:val="00734C31"/>
    <w:rsid w:val="00734E8C"/>
    <w:rsid w:val="00734FCF"/>
    <w:rsid w:val="00735004"/>
    <w:rsid w:val="00735083"/>
    <w:rsid w:val="007350D3"/>
    <w:rsid w:val="00735167"/>
    <w:rsid w:val="007351A5"/>
    <w:rsid w:val="007351A8"/>
    <w:rsid w:val="007351C8"/>
    <w:rsid w:val="00735257"/>
    <w:rsid w:val="0073539F"/>
    <w:rsid w:val="00735450"/>
    <w:rsid w:val="00735492"/>
    <w:rsid w:val="0073549E"/>
    <w:rsid w:val="00735631"/>
    <w:rsid w:val="0073563F"/>
    <w:rsid w:val="0073566C"/>
    <w:rsid w:val="00735693"/>
    <w:rsid w:val="007356EF"/>
    <w:rsid w:val="007356FB"/>
    <w:rsid w:val="0073577A"/>
    <w:rsid w:val="0073597E"/>
    <w:rsid w:val="00735983"/>
    <w:rsid w:val="007359A1"/>
    <w:rsid w:val="00735A62"/>
    <w:rsid w:val="00735AE8"/>
    <w:rsid w:val="00735EE6"/>
    <w:rsid w:val="00735FED"/>
    <w:rsid w:val="00735FF2"/>
    <w:rsid w:val="00736114"/>
    <w:rsid w:val="00736178"/>
    <w:rsid w:val="007361A1"/>
    <w:rsid w:val="0073622F"/>
    <w:rsid w:val="0073627C"/>
    <w:rsid w:val="007362DA"/>
    <w:rsid w:val="007363AD"/>
    <w:rsid w:val="007363D7"/>
    <w:rsid w:val="0073641F"/>
    <w:rsid w:val="007365F4"/>
    <w:rsid w:val="00736712"/>
    <w:rsid w:val="00736726"/>
    <w:rsid w:val="00736840"/>
    <w:rsid w:val="00736853"/>
    <w:rsid w:val="0073689C"/>
    <w:rsid w:val="007368E3"/>
    <w:rsid w:val="007368FA"/>
    <w:rsid w:val="0073696D"/>
    <w:rsid w:val="007369A7"/>
    <w:rsid w:val="007369E5"/>
    <w:rsid w:val="00736A0B"/>
    <w:rsid w:val="00736A79"/>
    <w:rsid w:val="00736A90"/>
    <w:rsid w:val="00736BB9"/>
    <w:rsid w:val="00736C52"/>
    <w:rsid w:val="00736C60"/>
    <w:rsid w:val="00736CED"/>
    <w:rsid w:val="00736D50"/>
    <w:rsid w:val="00736EB9"/>
    <w:rsid w:val="00736EFA"/>
    <w:rsid w:val="00736FA6"/>
    <w:rsid w:val="007370BD"/>
    <w:rsid w:val="0073719F"/>
    <w:rsid w:val="0073731E"/>
    <w:rsid w:val="00737498"/>
    <w:rsid w:val="007375DB"/>
    <w:rsid w:val="007377E1"/>
    <w:rsid w:val="00737856"/>
    <w:rsid w:val="007379DC"/>
    <w:rsid w:val="00737A97"/>
    <w:rsid w:val="00737AC6"/>
    <w:rsid w:val="00737B4D"/>
    <w:rsid w:val="00737C95"/>
    <w:rsid w:val="00737CA5"/>
    <w:rsid w:val="00737D62"/>
    <w:rsid w:val="00737E1D"/>
    <w:rsid w:val="00737E72"/>
    <w:rsid w:val="00737F7F"/>
    <w:rsid w:val="00740094"/>
    <w:rsid w:val="0074021E"/>
    <w:rsid w:val="0074022A"/>
    <w:rsid w:val="0074025C"/>
    <w:rsid w:val="007402E8"/>
    <w:rsid w:val="007402FE"/>
    <w:rsid w:val="0074033D"/>
    <w:rsid w:val="007403EF"/>
    <w:rsid w:val="007404DB"/>
    <w:rsid w:val="0074054B"/>
    <w:rsid w:val="00740562"/>
    <w:rsid w:val="0074058B"/>
    <w:rsid w:val="007405FF"/>
    <w:rsid w:val="00740636"/>
    <w:rsid w:val="0074066A"/>
    <w:rsid w:val="007406C1"/>
    <w:rsid w:val="007406E2"/>
    <w:rsid w:val="0074073D"/>
    <w:rsid w:val="007407A9"/>
    <w:rsid w:val="00740814"/>
    <w:rsid w:val="0074090E"/>
    <w:rsid w:val="00740961"/>
    <w:rsid w:val="007409AA"/>
    <w:rsid w:val="007409C0"/>
    <w:rsid w:val="00740AF0"/>
    <w:rsid w:val="00740B1E"/>
    <w:rsid w:val="00740B74"/>
    <w:rsid w:val="00740C19"/>
    <w:rsid w:val="00740C79"/>
    <w:rsid w:val="00740CCE"/>
    <w:rsid w:val="00740CE9"/>
    <w:rsid w:val="00740DEF"/>
    <w:rsid w:val="00740DF4"/>
    <w:rsid w:val="00740E79"/>
    <w:rsid w:val="007410AE"/>
    <w:rsid w:val="007410DE"/>
    <w:rsid w:val="0074119F"/>
    <w:rsid w:val="00741358"/>
    <w:rsid w:val="00741514"/>
    <w:rsid w:val="00741575"/>
    <w:rsid w:val="007416B5"/>
    <w:rsid w:val="007416F2"/>
    <w:rsid w:val="00741779"/>
    <w:rsid w:val="007417EB"/>
    <w:rsid w:val="00741841"/>
    <w:rsid w:val="00741846"/>
    <w:rsid w:val="00741849"/>
    <w:rsid w:val="00741887"/>
    <w:rsid w:val="00741937"/>
    <w:rsid w:val="00741950"/>
    <w:rsid w:val="00741BB5"/>
    <w:rsid w:val="00741D01"/>
    <w:rsid w:val="00741D6A"/>
    <w:rsid w:val="00741F45"/>
    <w:rsid w:val="00742105"/>
    <w:rsid w:val="0074218F"/>
    <w:rsid w:val="0074219D"/>
    <w:rsid w:val="007421A0"/>
    <w:rsid w:val="007421F9"/>
    <w:rsid w:val="0074222F"/>
    <w:rsid w:val="00742241"/>
    <w:rsid w:val="0074232E"/>
    <w:rsid w:val="00742365"/>
    <w:rsid w:val="0074237C"/>
    <w:rsid w:val="0074238E"/>
    <w:rsid w:val="0074239B"/>
    <w:rsid w:val="007423DE"/>
    <w:rsid w:val="007423E7"/>
    <w:rsid w:val="00742416"/>
    <w:rsid w:val="00742488"/>
    <w:rsid w:val="007424AA"/>
    <w:rsid w:val="0074265A"/>
    <w:rsid w:val="0074268A"/>
    <w:rsid w:val="0074278B"/>
    <w:rsid w:val="00742851"/>
    <w:rsid w:val="007429D1"/>
    <w:rsid w:val="00742A6D"/>
    <w:rsid w:val="00742AAE"/>
    <w:rsid w:val="00742B80"/>
    <w:rsid w:val="00742B91"/>
    <w:rsid w:val="00742BD6"/>
    <w:rsid w:val="007430AA"/>
    <w:rsid w:val="007430BC"/>
    <w:rsid w:val="007431CD"/>
    <w:rsid w:val="00743320"/>
    <w:rsid w:val="00743528"/>
    <w:rsid w:val="00743787"/>
    <w:rsid w:val="007437EC"/>
    <w:rsid w:val="0074381E"/>
    <w:rsid w:val="007438DA"/>
    <w:rsid w:val="00743A6B"/>
    <w:rsid w:val="00743AA3"/>
    <w:rsid w:val="00743ACA"/>
    <w:rsid w:val="00743C98"/>
    <w:rsid w:val="00743CA9"/>
    <w:rsid w:val="00743CEF"/>
    <w:rsid w:val="00743EB5"/>
    <w:rsid w:val="00743F09"/>
    <w:rsid w:val="00743FA4"/>
    <w:rsid w:val="00743FC3"/>
    <w:rsid w:val="007440EC"/>
    <w:rsid w:val="00744106"/>
    <w:rsid w:val="007442A2"/>
    <w:rsid w:val="00744521"/>
    <w:rsid w:val="007445E4"/>
    <w:rsid w:val="0074471C"/>
    <w:rsid w:val="0074471F"/>
    <w:rsid w:val="00744773"/>
    <w:rsid w:val="00744804"/>
    <w:rsid w:val="0074499B"/>
    <w:rsid w:val="007449B3"/>
    <w:rsid w:val="007449E3"/>
    <w:rsid w:val="00744A3E"/>
    <w:rsid w:val="00744B18"/>
    <w:rsid w:val="00744CB7"/>
    <w:rsid w:val="00744CC6"/>
    <w:rsid w:val="00744CD3"/>
    <w:rsid w:val="00744CED"/>
    <w:rsid w:val="00744D56"/>
    <w:rsid w:val="00744F01"/>
    <w:rsid w:val="00744F28"/>
    <w:rsid w:val="00744F57"/>
    <w:rsid w:val="007450B4"/>
    <w:rsid w:val="0074510A"/>
    <w:rsid w:val="0074512B"/>
    <w:rsid w:val="00745159"/>
    <w:rsid w:val="00745203"/>
    <w:rsid w:val="00745368"/>
    <w:rsid w:val="00745449"/>
    <w:rsid w:val="0074548D"/>
    <w:rsid w:val="007454E4"/>
    <w:rsid w:val="0074554B"/>
    <w:rsid w:val="0074556A"/>
    <w:rsid w:val="00745723"/>
    <w:rsid w:val="00745776"/>
    <w:rsid w:val="00745914"/>
    <w:rsid w:val="007459B3"/>
    <w:rsid w:val="00745A92"/>
    <w:rsid w:val="00745AAC"/>
    <w:rsid w:val="00745B59"/>
    <w:rsid w:val="00745B75"/>
    <w:rsid w:val="00745BF2"/>
    <w:rsid w:val="00745D6D"/>
    <w:rsid w:val="00745E51"/>
    <w:rsid w:val="00745F10"/>
    <w:rsid w:val="00745F6A"/>
    <w:rsid w:val="00746086"/>
    <w:rsid w:val="007460AF"/>
    <w:rsid w:val="00746202"/>
    <w:rsid w:val="0074624B"/>
    <w:rsid w:val="0074630D"/>
    <w:rsid w:val="0074635C"/>
    <w:rsid w:val="0074638A"/>
    <w:rsid w:val="007464F5"/>
    <w:rsid w:val="0074655B"/>
    <w:rsid w:val="00746561"/>
    <w:rsid w:val="007465BB"/>
    <w:rsid w:val="00746733"/>
    <w:rsid w:val="00746771"/>
    <w:rsid w:val="007468F0"/>
    <w:rsid w:val="0074696D"/>
    <w:rsid w:val="00746A4A"/>
    <w:rsid w:val="00746B7F"/>
    <w:rsid w:val="00746C2C"/>
    <w:rsid w:val="00746D6A"/>
    <w:rsid w:val="00746DDC"/>
    <w:rsid w:val="00746E83"/>
    <w:rsid w:val="00746E89"/>
    <w:rsid w:val="00747071"/>
    <w:rsid w:val="007470E7"/>
    <w:rsid w:val="00747178"/>
    <w:rsid w:val="007473EE"/>
    <w:rsid w:val="0074740A"/>
    <w:rsid w:val="00747441"/>
    <w:rsid w:val="00747537"/>
    <w:rsid w:val="00747576"/>
    <w:rsid w:val="00747606"/>
    <w:rsid w:val="0074767B"/>
    <w:rsid w:val="007478DD"/>
    <w:rsid w:val="00747992"/>
    <w:rsid w:val="007479BF"/>
    <w:rsid w:val="007479C0"/>
    <w:rsid w:val="00747C67"/>
    <w:rsid w:val="00747D54"/>
    <w:rsid w:val="00747DE8"/>
    <w:rsid w:val="00747E5F"/>
    <w:rsid w:val="00747EFD"/>
    <w:rsid w:val="00747FD7"/>
    <w:rsid w:val="00750001"/>
    <w:rsid w:val="0075005E"/>
    <w:rsid w:val="007500C2"/>
    <w:rsid w:val="0075011F"/>
    <w:rsid w:val="0075022D"/>
    <w:rsid w:val="007502CF"/>
    <w:rsid w:val="0075040E"/>
    <w:rsid w:val="007504AD"/>
    <w:rsid w:val="007504C1"/>
    <w:rsid w:val="00750576"/>
    <w:rsid w:val="0075059A"/>
    <w:rsid w:val="007505E1"/>
    <w:rsid w:val="007505FF"/>
    <w:rsid w:val="00750643"/>
    <w:rsid w:val="0075099C"/>
    <w:rsid w:val="00750B2F"/>
    <w:rsid w:val="00750C37"/>
    <w:rsid w:val="00750C51"/>
    <w:rsid w:val="00750CD4"/>
    <w:rsid w:val="00750FA9"/>
    <w:rsid w:val="00750FB4"/>
    <w:rsid w:val="0075105B"/>
    <w:rsid w:val="00751298"/>
    <w:rsid w:val="00751309"/>
    <w:rsid w:val="007514B2"/>
    <w:rsid w:val="007514C5"/>
    <w:rsid w:val="00751532"/>
    <w:rsid w:val="0075159B"/>
    <w:rsid w:val="00751616"/>
    <w:rsid w:val="0075182E"/>
    <w:rsid w:val="0075192D"/>
    <w:rsid w:val="007519FC"/>
    <w:rsid w:val="00751AFB"/>
    <w:rsid w:val="00751B76"/>
    <w:rsid w:val="00751B92"/>
    <w:rsid w:val="00751BD3"/>
    <w:rsid w:val="00751D40"/>
    <w:rsid w:val="00751DD5"/>
    <w:rsid w:val="00751E9D"/>
    <w:rsid w:val="00751F5D"/>
    <w:rsid w:val="00751F9B"/>
    <w:rsid w:val="007522FD"/>
    <w:rsid w:val="0075234B"/>
    <w:rsid w:val="007523AF"/>
    <w:rsid w:val="007523D7"/>
    <w:rsid w:val="00752440"/>
    <w:rsid w:val="007524F5"/>
    <w:rsid w:val="007525AE"/>
    <w:rsid w:val="007525E0"/>
    <w:rsid w:val="00752609"/>
    <w:rsid w:val="0075262F"/>
    <w:rsid w:val="0075268C"/>
    <w:rsid w:val="007526B3"/>
    <w:rsid w:val="007526C3"/>
    <w:rsid w:val="00752716"/>
    <w:rsid w:val="0075276C"/>
    <w:rsid w:val="007527E9"/>
    <w:rsid w:val="007528D1"/>
    <w:rsid w:val="0075294A"/>
    <w:rsid w:val="00752973"/>
    <w:rsid w:val="00752975"/>
    <w:rsid w:val="007529EB"/>
    <w:rsid w:val="00752C1C"/>
    <w:rsid w:val="00752CA1"/>
    <w:rsid w:val="00752CAF"/>
    <w:rsid w:val="00752D18"/>
    <w:rsid w:val="00752E4E"/>
    <w:rsid w:val="00752E61"/>
    <w:rsid w:val="00752F22"/>
    <w:rsid w:val="00752FB3"/>
    <w:rsid w:val="0075300B"/>
    <w:rsid w:val="00753064"/>
    <w:rsid w:val="00753208"/>
    <w:rsid w:val="0075335F"/>
    <w:rsid w:val="0075336C"/>
    <w:rsid w:val="007533C2"/>
    <w:rsid w:val="00753698"/>
    <w:rsid w:val="007536AA"/>
    <w:rsid w:val="00753765"/>
    <w:rsid w:val="0075379B"/>
    <w:rsid w:val="007537CD"/>
    <w:rsid w:val="00753841"/>
    <w:rsid w:val="00753C12"/>
    <w:rsid w:val="00753C20"/>
    <w:rsid w:val="00753C5A"/>
    <w:rsid w:val="00753DFF"/>
    <w:rsid w:val="00753F3E"/>
    <w:rsid w:val="00753F50"/>
    <w:rsid w:val="00753FE3"/>
    <w:rsid w:val="00754039"/>
    <w:rsid w:val="007540C0"/>
    <w:rsid w:val="0075419B"/>
    <w:rsid w:val="007541B9"/>
    <w:rsid w:val="007541FF"/>
    <w:rsid w:val="00754348"/>
    <w:rsid w:val="00754391"/>
    <w:rsid w:val="007543B1"/>
    <w:rsid w:val="007543F4"/>
    <w:rsid w:val="0075448C"/>
    <w:rsid w:val="00754530"/>
    <w:rsid w:val="007545B4"/>
    <w:rsid w:val="007545EF"/>
    <w:rsid w:val="007545F8"/>
    <w:rsid w:val="0075462F"/>
    <w:rsid w:val="00754635"/>
    <w:rsid w:val="007547CE"/>
    <w:rsid w:val="00754856"/>
    <w:rsid w:val="0075499A"/>
    <w:rsid w:val="007549B2"/>
    <w:rsid w:val="00754CA9"/>
    <w:rsid w:val="00754E9C"/>
    <w:rsid w:val="00754F6E"/>
    <w:rsid w:val="007550C1"/>
    <w:rsid w:val="00755215"/>
    <w:rsid w:val="0075524B"/>
    <w:rsid w:val="0075563F"/>
    <w:rsid w:val="007557AC"/>
    <w:rsid w:val="007557D9"/>
    <w:rsid w:val="007557F0"/>
    <w:rsid w:val="007557F6"/>
    <w:rsid w:val="00755AEF"/>
    <w:rsid w:val="00755B7D"/>
    <w:rsid w:val="00755BEF"/>
    <w:rsid w:val="00755BFB"/>
    <w:rsid w:val="00755C19"/>
    <w:rsid w:val="00755C5D"/>
    <w:rsid w:val="00755D6B"/>
    <w:rsid w:val="00755D80"/>
    <w:rsid w:val="00755E74"/>
    <w:rsid w:val="00755E89"/>
    <w:rsid w:val="00755ECF"/>
    <w:rsid w:val="00755EEE"/>
    <w:rsid w:val="00755F06"/>
    <w:rsid w:val="00755F20"/>
    <w:rsid w:val="00756001"/>
    <w:rsid w:val="007560A4"/>
    <w:rsid w:val="00756169"/>
    <w:rsid w:val="007562A7"/>
    <w:rsid w:val="007562DD"/>
    <w:rsid w:val="00756373"/>
    <w:rsid w:val="007563DA"/>
    <w:rsid w:val="007563FE"/>
    <w:rsid w:val="00756409"/>
    <w:rsid w:val="0075645B"/>
    <w:rsid w:val="007564C3"/>
    <w:rsid w:val="00756524"/>
    <w:rsid w:val="007566D8"/>
    <w:rsid w:val="007566E4"/>
    <w:rsid w:val="0075688C"/>
    <w:rsid w:val="007568B4"/>
    <w:rsid w:val="00756902"/>
    <w:rsid w:val="00756914"/>
    <w:rsid w:val="00756A14"/>
    <w:rsid w:val="00756A5B"/>
    <w:rsid w:val="00756A5E"/>
    <w:rsid w:val="00756A76"/>
    <w:rsid w:val="00756B0C"/>
    <w:rsid w:val="00756C00"/>
    <w:rsid w:val="00756EB4"/>
    <w:rsid w:val="00756F21"/>
    <w:rsid w:val="00757044"/>
    <w:rsid w:val="007570BC"/>
    <w:rsid w:val="0075720F"/>
    <w:rsid w:val="00757255"/>
    <w:rsid w:val="0075730C"/>
    <w:rsid w:val="00757592"/>
    <w:rsid w:val="007576FC"/>
    <w:rsid w:val="00757724"/>
    <w:rsid w:val="00757896"/>
    <w:rsid w:val="0075789B"/>
    <w:rsid w:val="007578EB"/>
    <w:rsid w:val="00757B00"/>
    <w:rsid w:val="00757B4E"/>
    <w:rsid w:val="00757B71"/>
    <w:rsid w:val="00757C37"/>
    <w:rsid w:val="00757C85"/>
    <w:rsid w:val="00757CB8"/>
    <w:rsid w:val="00757D4D"/>
    <w:rsid w:val="00757DFB"/>
    <w:rsid w:val="00757E7A"/>
    <w:rsid w:val="00757ED9"/>
    <w:rsid w:val="00757FE3"/>
    <w:rsid w:val="00760050"/>
    <w:rsid w:val="0076010A"/>
    <w:rsid w:val="007603DB"/>
    <w:rsid w:val="00760401"/>
    <w:rsid w:val="00760412"/>
    <w:rsid w:val="0076041E"/>
    <w:rsid w:val="00760610"/>
    <w:rsid w:val="00760741"/>
    <w:rsid w:val="0076096A"/>
    <w:rsid w:val="00760979"/>
    <w:rsid w:val="007609DB"/>
    <w:rsid w:val="00760A43"/>
    <w:rsid w:val="00760AC5"/>
    <w:rsid w:val="00760C99"/>
    <w:rsid w:val="00760CBD"/>
    <w:rsid w:val="00760D6E"/>
    <w:rsid w:val="007610AC"/>
    <w:rsid w:val="007610F4"/>
    <w:rsid w:val="007611D4"/>
    <w:rsid w:val="0076127C"/>
    <w:rsid w:val="007612C8"/>
    <w:rsid w:val="0076146F"/>
    <w:rsid w:val="00761609"/>
    <w:rsid w:val="00761630"/>
    <w:rsid w:val="00761674"/>
    <w:rsid w:val="00761676"/>
    <w:rsid w:val="0076167F"/>
    <w:rsid w:val="00761702"/>
    <w:rsid w:val="00761778"/>
    <w:rsid w:val="0076197E"/>
    <w:rsid w:val="00761A75"/>
    <w:rsid w:val="00761B0C"/>
    <w:rsid w:val="00761C5B"/>
    <w:rsid w:val="00761CAD"/>
    <w:rsid w:val="00761CF0"/>
    <w:rsid w:val="00761DF4"/>
    <w:rsid w:val="00761DFB"/>
    <w:rsid w:val="00761E2A"/>
    <w:rsid w:val="00761E5E"/>
    <w:rsid w:val="00761EB7"/>
    <w:rsid w:val="00762080"/>
    <w:rsid w:val="00762139"/>
    <w:rsid w:val="0076213A"/>
    <w:rsid w:val="00762148"/>
    <w:rsid w:val="007622C2"/>
    <w:rsid w:val="007624AC"/>
    <w:rsid w:val="0076250D"/>
    <w:rsid w:val="0076258A"/>
    <w:rsid w:val="00762669"/>
    <w:rsid w:val="0076268E"/>
    <w:rsid w:val="0076279F"/>
    <w:rsid w:val="007627BF"/>
    <w:rsid w:val="007627C9"/>
    <w:rsid w:val="00762871"/>
    <w:rsid w:val="0076299C"/>
    <w:rsid w:val="00762BE0"/>
    <w:rsid w:val="00762BE5"/>
    <w:rsid w:val="00762C5C"/>
    <w:rsid w:val="00762DE6"/>
    <w:rsid w:val="00762E4F"/>
    <w:rsid w:val="00762EBA"/>
    <w:rsid w:val="00762EE0"/>
    <w:rsid w:val="007630DE"/>
    <w:rsid w:val="00763145"/>
    <w:rsid w:val="00763153"/>
    <w:rsid w:val="007631CB"/>
    <w:rsid w:val="0076324B"/>
    <w:rsid w:val="00763333"/>
    <w:rsid w:val="00763481"/>
    <w:rsid w:val="007634BC"/>
    <w:rsid w:val="00763594"/>
    <w:rsid w:val="007635B3"/>
    <w:rsid w:val="007635BD"/>
    <w:rsid w:val="00763692"/>
    <w:rsid w:val="007637DA"/>
    <w:rsid w:val="0076383A"/>
    <w:rsid w:val="007638B9"/>
    <w:rsid w:val="00763B08"/>
    <w:rsid w:val="00763B2F"/>
    <w:rsid w:val="00763B8F"/>
    <w:rsid w:val="00763CFE"/>
    <w:rsid w:val="00763D57"/>
    <w:rsid w:val="00763D99"/>
    <w:rsid w:val="00763DAD"/>
    <w:rsid w:val="00763F08"/>
    <w:rsid w:val="00763F60"/>
    <w:rsid w:val="007640F1"/>
    <w:rsid w:val="0076416D"/>
    <w:rsid w:val="0076428B"/>
    <w:rsid w:val="00764333"/>
    <w:rsid w:val="007643FE"/>
    <w:rsid w:val="00764432"/>
    <w:rsid w:val="007644CE"/>
    <w:rsid w:val="007645C1"/>
    <w:rsid w:val="007646B2"/>
    <w:rsid w:val="007646C5"/>
    <w:rsid w:val="007646C9"/>
    <w:rsid w:val="007647A9"/>
    <w:rsid w:val="007647C7"/>
    <w:rsid w:val="007649E3"/>
    <w:rsid w:val="00764A0B"/>
    <w:rsid w:val="00764A13"/>
    <w:rsid w:val="00764A33"/>
    <w:rsid w:val="00764B48"/>
    <w:rsid w:val="00764BAF"/>
    <w:rsid w:val="00764C9B"/>
    <w:rsid w:val="00764E07"/>
    <w:rsid w:val="00764E46"/>
    <w:rsid w:val="0076520D"/>
    <w:rsid w:val="00765345"/>
    <w:rsid w:val="007654CE"/>
    <w:rsid w:val="00765530"/>
    <w:rsid w:val="00765569"/>
    <w:rsid w:val="007656CA"/>
    <w:rsid w:val="0076587F"/>
    <w:rsid w:val="00765883"/>
    <w:rsid w:val="007658C3"/>
    <w:rsid w:val="00765998"/>
    <w:rsid w:val="00765A7F"/>
    <w:rsid w:val="00765ABF"/>
    <w:rsid w:val="00765B08"/>
    <w:rsid w:val="00765DF5"/>
    <w:rsid w:val="00765E17"/>
    <w:rsid w:val="00765EF5"/>
    <w:rsid w:val="00765F7C"/>
    <w:rsid w:val="00765FF1"/>
    <w:rsid w:val="00766039"/>
    <w:rsid w:val="00766175"/>
    <w:rsid w:val="007661F4"/>
    <w:rsid w:val="007662EE"/>
    <w:rsid w:val="007662F4"/>
    <w:rsid w:val="007663C7"/>
    <w:rsid w:val="0076657E"/>
    <w:rsid w:val="00766701"/>
    <w:rsid w:val="00766781"/>
    <w:rsid w:val="007668E9"/>
    <w:rsid w:val="00766910"/>
    <w:rsid w:val="00766916"/>
    <w:rsid w:val="007669F3"/>
    <w:rsid w:val="007669F5"/>
    <w:rsid w:val="00766A2D"/>
    <w:rsid w:val="00766BBB"/>
    <w:rsid w:val="00766C71"/>
    <w:rsid w:val="00766E1B"/>
    <w:rsid w:val="00766E23"/>
    <w:rsid w:val="00766E72"/>
    <w:rsid w:val="007671BC"/>
    <w:rsid w:val="00767409"/>
    <w:rsid w:val="0076744A"/>
    <w:rsid w:val="00767674"/>
    <w:rsid w:val="00767753"/>
    <w:rsid w:val="00767803"/>
    <w:rsid w:val="0076781B"/>
    <w:rsid w:val="007678A2"/>
    <w:rsid w:val="007678C0"/>
    <w:rsid w:val="007678C2"/>
    <w:rsid w:val="00767A23"/>
    <w:rsid w:val="00767B5D"/>
    <w:rsid w:val="00767CD2"/>
    <w:rsid w:val="00767D8D"/>
    <w:rsid w:val="00767E79"/>
    <w:rsid w:val="00767F03"/>
    <w:rsid w:val="00767F2C"/>
    <w:rsid w:val="00767F66"/>
    <w:rsid w:val="0077002D"/>
    <w:rsid w:val="0077003D"/>
    <w:rsid w:val="00770044"/>
    <w:rsid w:val="0077004A"/>
    <w:rsid w:val="00770148"/>
    <w:rsid w:val="00770189"/>
    <w:rsid w:val="00770394"/>
    <w:rsid w:val="0077044B"/>
    <w:rsid w:val="00770470"/>
    <w:rsid w:val="007704F3"/>
    <w:rsid w:val="00770540"/>
    <w:rsid w:val="007705E6"/>
    <w:rsid w:val="0077070C"/>
    <w:rsid w:val="00770719"/>
    <w:rsid w:val="00770739"/>
    <w:rsid w:val="007707C5"/>
    <w:rsid w:val="00770803"/>
    <w:rsid w:val="00770841"/>
    <w:rsid w:val="007708C0"/>
    <w:rsid w:val="0077094C"/>
    <w:rsid w:val="007709ED"/>
    <w:rsid w:val="00770A2B"/>
    <w:rsid w:val="00770AC0"/>
    <w:rsid w:val="00770B67"/>
    <w:rsid w:val="00770BF5"/>
    <w:rsid w:val="00770BFD"/>
    <w:rsid w:val="00770D66"/>
    <w:rsid w:val="00770E7C"/>
    <w:rsid w:val="00770FB0"/>
    <w:rsid w:val="00771078"/>
    <w:rsid w:val="00771149"/>
    <w:rsid w:val="0077125A"/>
    <w:rsid w:val="0077127E"/>
    <w:rsid w:val="007712ED"/>
    <w:rsid w:val="00771336"/>
    <w:rsid w:val="00771378"/>
    <w:rsid w:val="00771414"/>
    <w:rsid w:val="00771425"/>
    <w:rsid w:val="0077145A"/>
    <w:rsid w:val="00771465"/>
    <w:rsid w:val="00771478"/>
    <w:rsid w:val="00771732"/>
    <w:rsid w:val="00771876"/>
    <w:rsid w:val="0077199A"/>
    <w:rsid w:val="00771BF4"/>
    <w:rsid w:val="00771E44"/>
    <w:rsid w:val="00771F2E"/>
    <w:rsid w:val="00771F51"/>
    <w:rsid w:val="00771F70"/>
    <w:rsid w:val="00771FB1"/>
    <w:rsid w:val="0077200D"/>
    <w:rsid w:val="00772031"/>
    <w:rsid w:val="00772101"/>
    <w:rsid w:val="007721EA"/>
    <w:rsid w:val="007722C7"/>
    <w:rsid w:val="00772407"/>
    <w:rsid w:val="00772420"/>
    <w:rsid w:val="0077249A"/>
    <w:rsid w:val="007724B3"/>
    <w:rsid w:val="007724B7"/>
    <w:rsid w:val="00772520"/>
    <w:rsid w:val="00772525"/>
    <w:rsid w:val="00772567"/>
    <w:rsid w:val="0077277F"/>
    <w:rsid w:val="0077285E"/>
    <w:rsid w:val="007729A6"/>
    <w:rsid w:val="00772B57"/>
    <w:rsid w:val="00772BE0"/>
    <w:rsid w:val="00772BF5"/>
    <w:rsid w:val="00772C4E"/>
    <w:rsid w:val="00772CEC"/>
    <w:rsid w:val="00772E4B"/>
    <w:rsid w:val="00773089"/>
    <w:rsid w:val="00773221"/>
    <w:rsid w:val="007732A2"/>
    <w:rsid w:val="0077330B"/>
    <w:rsid w:val="00773508"/>
    <w:rsid w:val="00773530"/>
    <w:rsid w:val="007735CF"/>
    <w:rsid w:val="007735D1"/>
    <w:rsid w:val="007737E9"/>
    <w:rsid w:val="00773947"/>
    <w:rsid w:val="00773A3C"/>
    <w:rsid w:val="00773A40"/>
    <w:rsid w:val="00773A54"/>
    <w:rsid w:val="00773C9E"/>
    <w:rsid w:val="00773DF7"/>
    <w:rsid w:val="00773FEF"/>
    <w:rsid w:val="00773FFB"/>
    <w:rsid w:val="00774095"/>
    <w:rsid w:val="00774217"/>
    <w:rsid w:val="0077427C"/>
    <w:rsid w:val="00774316"/>
    <w:rsid w:val="007743B2"/>
    <w:rsid w:val="00774513"/>
    <w:rsid w:val="007745B3"/>
    <w:rsid w:val="00774626"/>
    <w:rsid w:val="00774669"/>
    <w:rsid w:val="00774681"/>
    <w:rsid w:val="0077473E"/>
    <w:rsid w:val="00774817"/>
    <w:rsid w:val="00774C9F"/>
    <w:rsid w:val="00774CA0"/>
    <w:rsid w:val="00774CA8"/>
    <w:rsid w:val="00774D98"/>
    <w:rsid w:val="00774F6A"/>
    <w:rsid w:val="00774F98"/>
    <w:rsid w:val="00774FE8"/>
    <w:rsid w:val="00774FEF"/>
    <w:rsid w:val="00775060"/>
    <w:rsid w:val="0077539C"/>
    <w:rsid w:val="007753D8"/>
    <w:rsid w:val="007757BA"/>
    <w:rsid w:val="007757F3"/>
    <w:rsid w:val="00775828"/>
    <w:rsid w:val="00775853"/>
    <w:rsid w:val="00775871"/>
    <w:rsid w:val="00775B0A"/>
    <w:rsid w:val="00775BB7"/>
    <w:rsid w:val="00775BDD"/>
    <w:rsid w:val="00775D38"/>
    <w:rsid w:val="00775E12"/>
    <w:rsid w:val="00775E30"/>
    <w:rsid w:val="00775FC0"/>
    <w:rsid w:val="00775FCE"/>
    <w:rsid w:val="007761AE"/>
    <w:rsid w:val="007761C9"/>
    <w:rsid w:val="007761CD"/>
    <w:rsid w:val="00776252"/>
    <w:rsid w:val="007762E9"/>
    <w:rsid w:val="00776350"/>
    <w:rsid w:val="007763A5"/>
    <w:rsid w:val="007763D8"/>
    <w:rsid w:val="007763E5"/>
    <w:rsid w:val="0077641A"/>
    <w:rsid w:val="00776439"/>
    <w:rsid w:val="007764DA"/>
    <w:rsid w:val="0077652C"/>
    <w:rsid w:val="00776549"/>
    <w:rsid w:val="00776665"/>
    <w:rsid w:val="007766D0"/>
    <w:rsid w:val="0077671C"/>
    <w:rsid w:val="0077679D"/>
    <w:rsid w:val="00776849"/>
    <w:rsid w:val="007769F5"/>
    <w:rsid w:val="00776A52"/>
    <w:rsid w:val="00776B12"/>
    <w:rsid w:val="00776C00"/>
    <w:rsid w:val="00776C40"/>
    <w:rsid w:val="00776C9F"/>
    <w:rsid w:val="00776D72"/>
    <w:rsid w:val="00776E64"/>
    <w:rsid w:val="00776E6D"/>
    <w:rsid w:val="00776ED8"/>
    <w:rsid w:val="00776F21"/>
    <w:rsid w:val="00776F69"/>
    <w:rsid w:val="00776FFB"/>
    <w:rsid w:val="007770EF"/>
    <w:rsid w:val="007772B5"/>
    <w:rsid w:val="007773F8"/>
    <w:rsid w:val="00777453"/>
    <w:rsid w:val="0077751E"/>
    <w:rsid w:val="007775E2"/>
    <w:rsid w:val="00777690"/>
    <w:rsid w:val="007776B4"/>
    <w:rsid w:val="007777FB"/>
    <w:rsid w:val="007779F7"/>
    <w:rsid w:val="00777AB3"/>
    <w:rsid w:val="00777BAB"/>
    <w:rsid w:val="00777C33"/>
    <w:rsid w:val="00777CA3"/>
    <w:rsid w:val="00777CCA"/>
    <w:rsid w:val="00777CFB"/>
    <w:rsid w:val="00777ED9"/>
    <w:rsid w:val="00777EDF"/>
    <w:rsid w:val="00777FDD"/>
    <w:rsid w:val="007801FA"/>
    <w:rsid w:val="0078023F"/>
    <w:rsid w:val="0078032A"/>
    <w:rsid w:val="00780357"/>
    <w:rsid w:val="007803E7"/>
    <w:rsid w:val="00780555"/>
    <w:rsid w:val="00780566"/>
    <w:rsid w:val="007805F6"/>
    <w:rsid w:val="00780610"/>
    <w:rsid w:val="0078082C"/>
    <w:rsid w:val="007808D8"/>
    <w:rsid w:val="007808F2"/>
    <w:rsid w:val="0078099D"/>
    <w:rsid w:val="007809A2"/>
    <w:rsid w:val="00780A1D"/>
    <w:rsid w:val="00780BB4"/>
    <w:rsid w:val="00780BF7"/>
    <w:rsid w:val="00780C59"/>
    <w:rsid w:val="00780C9B"/>
    <w:rsid w:val="00780D30"/>
    <w:rsid w:val="00780DDC"/>
    <w:rsid w:val="00780E40"/>
    <w:rsid w:val="00780E4F"/>
    <w:rsid w:val="00780E9C"/>
    <w:rsid w:val="00780F65"/>
    <w:rsid w:val="00780FB6"/>
    <w:rsid w:val="0078106D"/>
    <w:rsid w:val="0078112A"/>
    <w:rsid w:val="00781465"/>
    <w:rsid w:val="007814EB"/>
    <w:rsid w:val="00781550"/>
    <w:rsid w:val="00781584"/>
    <w:rsid w:val="0078159E"/>
    <w:rsid w:val="007815D6"/>
    <w:rsid w:val="007816B1"/>
    <w:rsid w:val="007817C9"/>
    <w:rsid w:val="007817CC"/>
    <w:rsid w:val="007817CD"/>
    <w:rsid w:val="00781866"/>
    <w:rsid w:val="00781913"/>
    <w:rsid w:val="00781915"/>
    <w:rsid w:val="00781975"/>
    <w:rsid w:val="00781B90"/>
    <w:rsid w:val="00781CA7"/>
    <w:rsid w:val="00781CFD"/>
    <w:rsid w:val="00781D09"/>
    <w:rsid w:val="00781DDC"/>
    <w:rsid w:val="00781E4F"/>
    <w:rsid w:val="00781E86"/>
    <w:rsid w:val="00781EFA"/>
    <w:rsid w:val="00781FB8"/>
    <w:rsid w:val="00781FBC"/>
    <w:rsid w:val="00782107"/>
    <w:rsid w:val="0078226F"/>
    <w:rsid w:val="007822D8"/>
    <w:rsid w:val="00782333"/>
    <w:rsid w:val="0078239D"/>
    <w:rsid w:val="007823B1"/>
    <w:rsid w:val="007824BA"/>
    <w:rsid w:val="00782551"/>
    <w:rsid w:val="00782563"/>
    <w:rsid w:val="00782576"/>
    <w:rsid w:val="007826C1"/>
    <w:rsid w:val="007826FE"/>
    <w:rsid w:val="007827E3"/>
    <w:rsid w:val="0078285E"/>
    <w:rsid w:val="007828D8"/>
    <w:rsid w:val="007828E4"/>
    <w:rsid w:val="00782A83"/>
    <w:rsid w:val="00782C4E"/>
    <w:rsid w:val="00782C5D"/>
    <w:rsid w:val="00782D26"/>
    <w:rsid w:val="00782D67"/>
    <w:rsid w:val="00782DB4"/>
    <w:rsid w:val="00782E76"/>
    <w:rsid w:val="00782EED"/>
    <w:rsid w:val="00782FEB"/>
    <w:rsid w:val="007830BB"/>
    <w:rsid w:val="0078311F"/>
    <w:rsid w:val="0078315A"/>
    <w:rsid w:val="00783245"/>
    <w:rsid w:val="007832A6"/>
    <w:rsid w:val="0078352E"/>
    <w:rsid w:val="0078362D"/>
    <w:rsid w:val="00783677"/>
    <w:rsid w:val="007836EB"/>
    <w:rsid w:val="00783818"/>
    <w:rsid w:val="00783871"/>
    <w:rsid w:val="007838E8"/>
    <w:rsid w:val="0078394D"/>
    <w:rsid w:val="007839AF"/>
    <w:rsid w:val="00783AF0"/>
    <w:rsid w:val="00783E29"/>
    <w:rsid w:val="00783F1F"/>
    <w:rsid w:val="00783F50"/>
    <w:rsid w:val="00784037"/>
    <w:rsid w:val="00784104"/>
    <w:rsid w:val="0078412A"/>
    <w:rsid w:val="0078416E"/>
    <w:rsid w:val="00784178"/>
    <w:rsid w:val="00784184"/>
    <w:rsid w:val="007842AA"/>
    <w:rsid w:val="00784363"/>
    <w:rsid w:val="007844AD"/>
    <w:rsid w:val="007844B2"/>
    <w:rsid w:val="007845A2"/>
    <w:rsid w:val="00784629"/>
    <w:rsid w:val="00784631"/>
    <w:rsid w:val="007846A8"/>
    <w:rsid w:val="00784711"/>
    <w:rsid w:val="0078471E"/>
    <w:rsid w:val="0078476D"/>
    <w:rsid w:val="00784780"/>
    <w:rsid w:val="00784887"/>
    <w:rsid w:val="007848F0"/>
    <w:rsid w:val="00784A07"/>
    <w:rsid w:val="00784A2B"/>
    <w:rsid w:val="00784A5A"/>
    <w:rsid w:val="00784CFB"/>
    <w:rsid w:val="00784D0E"/>
    <w:rsid w:val="00785346"/>
    <w:rsid w:val="007853BE"/>
    <w:rsid w:val="007853DF"/>
    <w:rsid w:val="0078549B"/>
    <w:rsid w:val="00785540"/>
    <w:rsid w:val="00785586"/>
    <w:rsid w:val="00785669"/>
    <w:rsid w:val="007856AB"/>
    <w:rsid w:val="0078579E"/>
    <w:rsid w:val="007858C3"/>
    <w:rsid w:val="007859C0"/>
    <w:rsid w:val="007859EE"/>
    <w:rsid w:val="00785A11"/>
    <w:rsid w:val="00785A4E"/>
    <w:rsid w:val="00785B51"/>
    <w:rsid w:val="00785B6C"/>
    <w:rsid w:val="00785C0B"/>
    <w:rsid w:val="00785C57"/>
    <w:rsid w:val="00785CC6"/>
    <w:rsid w:val="00785CC7"/>
    <w:rsid w:val="00785D05"/>
    <w:rsid w:val="00785D58"/>
    <w:rsid w:val="00785D8F"/>
    <w:rsid w:val="00785E79"/>
    <w:rsid w:val="00785E7D"/>
    <w:rsid w:val="00785EFA"/>
    <w:rsid w:val="00786003"/>
    <w:rsid w:val="007861E7"/>
    <w:rsid w:val="00786208"/>
    <w:rsid w:val="00786274"/>
    <w:rsid w:val="007862B4"/>
    <w:rsid w:val="00786386"/>
    <w:rsid w:val="00786423"/>
    <w:rsid w:val="007864E7"/>
    <w:rsid w:val="00786621"/>
    <w:rsid w:val="0078671B"/>
    <w:rsid w:val="007867CC"/>
    <w:rsid w:val="00786942"/>
    <w:rsid w:val="00786999"/>
    <w:rsid w:val="00786B57"/>
    <w:rsid w:val="00786BB9"/>
    <w:rsid w:val="00786CBC"/>
    <w:rsid w:val="00786D7C"/>
    <w:rsid w:val="00786F1F"/>
    <w:rsid w:val="00786F34"/>
    <w:rsid w:val="007870B5"/>
    <w:rsid w:val="007870B9"/>
    <w:rsid w:val="0078716A"/>
    <w:rsid w:val="0078716C"/>
    <w:rsid w:val="007871F7"/>
    <w:rsid w:val="0078727E"/>
    <w:rsid w:val="0078740F"/>
    <w:rsid w:val="00787526"/>
    <w:rsid w:val="00787685"/>
    <w:rsid w:val="0078776B"/>
    <w:rsid w:val="007877C7"/>
    <w:rsid w:val="00787866"/>
    <w:rsid w:val="00787A4E"/>
    <w:rsid w:val="00787AD8"/>
    <w:rsid w:val="00787B3C"/>
    <w:rsid w:val="00787CDA"/>
    <w:rsid w:val="00787D42"/>
    <w:rsid w:val="00787D96"/>
    <w:rsid w:val="00787F33"/>
    <w:rsid w:val="00790015"/>
    <w:rsid w:val="00790187"/>
    <w:rsid w:val="0079021E"/>
    <w:rsid w:val="00790262"/>
    <w:rsid w:val="0079029E"/>
    <w:rsid w:val="007902A9"/>
    <w:rsid w:val="007902D0"/>
    <w:rsid w:val="007902F8"/>
    <w:rsid w:val="007903E8"/>
    <w:rsid w:val="0079043D"/>
    <w:rsid w:val="0079043E"/>
    <w:rsid w:val="007904BA"/>
    <w:rsid w:val="007904FC"/>
    <w:rsid w:val="0079051F"/>
    <w:rsid w:val="007905CD"/>
    <w:rsid w:val="007905D0"/>
    <w:rsid w:val="007905D7"/>
    <w:rsid w:val="007906C9"/>
    <w:rsid w:val="007909BD"/>
    <w:rsid w:val="007909E3"/>
    <w:rsid w:val="00790AA2"/>
    <w:rsid w:val="00790B80"/>
    <w:rsid w:val="00790BBD"/>
    <w:rsid w:val="00790EA5"/>
    <w:rsid w:val="00790F76"/>
    <w:rsid w:val="00790FD5"/>
    <w:rsid w:val="007910E1"/>
    <w:rsid w:val="0079111A"/>
    <w:rsid w:val="0079115D"/>
    <w:rsid w:val="00791253"/>
    <w:rsid w:val="007912E3"/>
    <w:rsid w:val="007913B6"/>
    <w:rsid w:val="0079148B"/>
    <w:rsid w:val="007915B9"/>
    <w:rsid w:val="007915F7"/>
    <w:rsid w:val="00791649"/>
    <w:rsid w:val="00791878"/>
    <w:rsid w:val="00791A04"/>
    <w:rsid w:val="00791A19"/>
    <w:rsid w:val="00791C85"/>
    <w:rsid w:val="00791D95"/>
    <w:rsid w:val="00791DC1"/>
    <w:rsid w:val="00791E31"/>
    <w:rsid w:val="00791F50"/>
    <w:rsid w:val="00791F8C"/>
    <w:rsid w:val="00791F90"/>
    <w:rsid w:val="00791FAB"/>
    <w:rsid w:val="0079218E"/>
    <w:rsid w:val="00792190"/>
    <w:rsid w:val="00792499"/>
    <w:rsid w:val="0079254E"/>
    <w:rsid w:val="00792554"/>
    <w:rsid w:val="00792585"/>
    <w:rsid w:val="007926B7"/>
    <w:rsid w:val="007926C0"/>
    <w:rsid w:val="007926F3"/>
    <w:rsid w:val="00792A5B"/>
    <w:rsid w:val="00792B44"/>
    <w:rsid w:val="00792B50"/>
    <w:rsid w:val="00792C2C"/>
    <w:rsid w:val="00792DA5"/>
    <w:rsid w:val="00792F16"/>
    <w:rsid w:val="007931BA"/>
    <w:rsid w:val="00793236"/>
    <w:rsid w:val="00793247"/>
    <w:rsid w:val="00793298"/>
    <w:rsid w:val="007933D3"/>
    <w:rsid w:val="0079342B"/>
    <w:rsid w:val="007934CD"/>
    <w:rsid w:val="0079351B"/>
    <w:rsid w:val="00793526"/>
    <w:rsid w:val="00793607"/>
    <w:rsid w:val="0079364E"/>
    <w:rsid w:val="0079378B"/>
    <w:rsid w:val="00793910"/>
    <w:rsid w:val="007939A6"/>
    <w:rsid w:val="00793AAC"/>
    <w:rsid w:val="00793AF8"/>
    <w:rsid w:val="00793B78"/>
    <w:rsid w:val="00793C06"/>
    <w:rsid w:val="00793C42"/>
    <w:rsid w:val="00793C9D"/>
    <w:rsid w:val="00793CB9"/>
    <w:rsid w:val="00793E64"/>
    <w:rsid w:val="00793E74"/>
    <w:rsid w:val="00793E79"/>
    <w:rsid w:val="00793E8A"/>
    <w:rsid w:val="00793FFE"/>
    <w:rsid w:val="00794069"/>
    <w:rsid w:val="007940BD"/>
    <w:rsid w:val="0079414E"/>
    <w:rsid w:val="007943CE"/>
    <w:rsid w:val="00794412"/>
    <w:rsid w:val="00794445"/>
    <w:rsid w:val="0079456C"/>
    <w:rsid w:val="00794597"/>
    <w:rsid w:val="00794650"/>
    <w:rsid w:val="0079467F"/>
    <w:rsid w:val="007946AB"/>
    <w:rsid w:val="0079470A"/>
    <w:rsid w:val="0079486E"/>
    <w:rsid w:val="00794A70"/>
    <w:rsid w:val="00794BB0"/>
    <w:rsid w:val="00794BE5"/>
    <w:rsid w:val="00794C1B"/>
    <w:rsid w:val="00794CCB"/>
    <w:rsid w:val="00794D8C"/>
    <w:rsid w:val="007950A4"/>
    <w:rsid w:val="00795136"/>
    <w:rsid w:val="0079514D"/>
    <w:rsid w:val="00795187"/>
    <w:rsid w:val="00795379"/>
    <w:rsid w:val="0079538B"/>
    <w:rsid w:val="0079545D"/>
    <w:rsid w:val="00795561"/>
    <w:rsid w:val="0079559F"/>
    <w:rsid w:val="00795652"/>
    <w:rsid w:val="007957D2"/>
    <w:rsid w:val="00795805"/>
    <w:rsid w:val="007958A5"/>
    <w:rsid w:val="00795947"/>
    <w:rsid w:val="0079596D"/>
    <w:rsid w:val="00795A4D"/>
    <w:rsid w:val="00795A73"/>
    <w:rsid w:val="00795AA7"/>
    <w:rsid w:val="00795B78"/>
    <w:rsid w:val="00795C40"/>
    <w:rsid w:val="00795D44"/>
    <w:rsid w:val="00795FAA"/>
    <w:rsid w:val="00795FFA"/>
    <w:rsid w:val="00796281"/>
    <w:rsid w:val="00796429"/>
    <w:rsid w:val="0079643B"/>
    <w:rsid w:val="00796486"/>
    <w:rsid w:val="0079648A"/>
    <w:rsid w:val="00796657"/>
    <w:rsid w:val="007966AF"/>
    <w:rsid w:val="007966FB"/>
    <w:rsid w:val="00796860"/>
    <w:rsid w:val="007968C5"/>
    <w:rsid w:val="007968F7"/>
    <w:rsid w:val="00796AED"/>
    <w:rsid w:val="00796DEA"/>
    <w:rsid w:val="00796EFC"/>
    <w:rsid w:val="00796F81"/>
    <w:rsid w:val="00796F84"/>
    <w:rsid w:val="007970E4"/>
    <w:rsid w:val="007971B1"/>
    <w:rsid w:val="007972AC"/>
    <w:rsid w:val="0079737E"/>
    <w:rsid w:val="00797386"/>
    <w:rsid w:val="007973F0"/>
    <w:rsid w:val="00797430"/>
    <w:rsid w:val="0079744F"/>
    <w:rsid w:val="00797538"/>
    <w:rsid w:val="0079753D"/>
    <w:rsid w:val="0079753E"/>
    <w:rsid w:val="00797671"/>
    <w:rsid w:val="00797742"/>
    <w:rsid w:val="007977F4"/>
    <w:rsid w:val="007979B4"/>
    <w:rsid w:val="007979F7"/>
    <w:rsid w:val="00797B57"/>
    <w:rsid w:val="00797B76"/>
    <w:rsid w:val="00797C66"/>
    <w:rsid w:val="00797CD8"/>
    <w:rsid w:val="00797D48"/>
    <w:rsid w:val="00797D93"/>
    <w:rsid w:val="00797E86"/>
    <w:rsid w:val="00797FDC"/>
    <w:rsid w:val="00797FF7"/>
    <w:rsid w:val="007A0173"/>
    <w:rsid w:val="007A0188"/>
    <w:rsid w:val="007A028D"/>
    <w:rsid w:val="007A0458"/>
    <w:rsid w:val="007A04B8"/>
    <w:rsid w:val="007A056E"/>
    <w:rsid w:val="007A0581"/>
    <w:rsid w:val="007A086B"/>
    <w:rsid w:val="007A08B8"/>
    <w:rsid w:val="007A0974"/>
    <w:rsid w:val="007A0A03"/>
    <w:rsid w:val="007A0A4C"/>
    <w:rsid w:val="007A0BF1"/>
    <w:rsid w:val="007A0C91"/>
    <w:rsid w:val="007A0CC6"/>
    <w:rsid w:val="007A0E3E"/>
    <w:rsid w:val="007A0E54"/>
    <w:rsid w:val="007A0F1E"/>
    <w:rsid w:val="007A0FA3"/>
    <w:rsid w:val="007A1068"/>
    <w:rsid w:val="007A109A"/>
    <w:rsid w:val="007A12C3"/>
    <w:rsid w:val="007A139B"/>
    <w:rsid w:val="007A13F7"/>
    <w:rsid w:val="007A1619"/>
    <w:rsid w:val="007A164B"/>
    <w:rsid w:val="007A1674"/>
    <w:rsid w:val="007A1862"/>
    <w:rsid w:val="007A186A"/>
    <w:rsid w:val="007A1893"/>
    <w:rsid w:val="007A1A17"/>
    <w:rsid w:val="007A1A4F"/>
    <w:rsid w:val="007A1B15"/>
    <w:rsid w:val="007A1CBE"/>
    <w:rsid w:val="007A1EE5"/>
    <w:rsid w:val="007A1EF1"/>
    <w:rsid w:val="007A212B"/>
    <w:rsid w:val="007A215E"/>
    <w:rsid w:val="007A2171"/>
    <w:rsid w:val="007A21D5"/>
    <w:rsid w:val="007A2211"/>
    <w:rsid w:val="007A2272"/>
    <w:rsid w:val="007A228C"/>
    <w:rsid w:val="007A25F8"/>
    <w:rsid w:val="007A26B6"/>
    <w:rsid w:val="007A26F9"/>
    <w:rsid w:val="007A27F9"/>
    <w:rsid w:val="007A299F"/>
    <w:rsid w:val="007A2A3F"/>
    <w:rsid w:val="007A2BA8"/>
    <w:rsid w:val="007A2BF5"/>
    <w:rsid w:val="007A2C04"/>
    <w:rsid w:val="007A2C31"/>
    <w:rsid w:val="007A2C88"/>
    <w:rsid w:val="007A2CA0"/>
    <w:rsid w:val="007A2CAF"/>
    <w:rsid w:val="007A2CD6"/>
    <w:rsid w:val="007A2DBF"/>
    <w:rsid w:val="007A2F73"/>
    <w:rsid w:val="007A2FE2"/>
    <w:rsid w:val="007A319F"/>
    <w:rsid w:val="007A33AE"/>
    <w:rsid w:val="007A33D1"/>
    <w:rsid w:val="007A34D2"/>
    <w:rsid w:val="007A34D5"/>
    <w:rsid w:val="007A34F1"/>
    <w:rsid w:val="007A3586"/>
    <w:rsid w:val="007A37D5"/>
    <w:rsid w:val="007A3864"/>
    <w:rsid w:val="007A3B59"/>
    <w:rsid w:val="007A3B5C"/>
    <w:rsid w:val="007A3B7B"/>
    <w:rsid w:val="007A3D5A"/>
    <w:rsid w:val="007A3DD4"/>
    <w:rsid w:val="007A3FE6"/>
    <w:rsid w:val="007A4017"/>
    <w:rsid w:val="007A40CE"/>
    <w:rsid w:val="007A4134"/>
    <w:rsid w:val="007A4250"/>
    <w:rsid w:val="007A429D"/>
    <w:rsid w:val="007A42B8"/>
    <w:rsid w:val="007A4354"/>
    <w:rsid w:val="007A43F3"/>
    <w:rsid w:val="007A4412"/>
    <w:rsid w:val="007A443F"/>
    <w:rsid w:val="007A444A"/>
    <w:rsid w:val="007A458E"/>
    <w:rsid w:val="007A46FE"/>
    <w:rsid w:val="007A4816"/>
    <w:rsid w:val="007A4860"/>
    <w:rsid w:val="007A4916"/>
    <w:rsid w:val="007A49A8"/>
    <w:rsid w:val="007A4A1A"/>
    <w:rsid w:val="007A4AA3"/>
    <w:rsid w:val="007A4AF1"/>
    <w:rsid w:val="007A4B04"/>
    <w:rsid w:val="007A4C81"/>
    <w:rsid w:val="007A4D4E"/>
    <w:rsid w:val="007A4E29"/>
    <w:rsid w:val="007A4E3F"/>
    <w:rsid w:val="007A4EEE"/>
    <w:rsid w:val="007A4FE6"/>
    <w:rsid w:val="007A5065"/>
    <w:rsid w:val="007A50D6"/>
    <w:rsid w:val="007A5167"/>
    <w:rsid w:val="007A51C6"/>
    <w:rsid w:val="007A533B"/>
    <w:rsid w:val="007A533D"/>
    <w:rsid w:val="007A5385"/>
    <w:rsid w:val="007A544F"/>
    <w:rsid w:val="007A5580"/>
    <w:rsid w:val="007A55CF"/>
    <w:rsid w:val="007A55EC"/>
    <w:rsid w:val="007A564B"/>
    <w:rsid w:val="007A585B"/>
    <w:rsid w:val="007A5931"/>
    <w:rsid w:val="007A595A"/>
    <w:rsid w:val="007A598F"/>
    <w:rsid w:val="007A59B1"/>
    <w:rsid w:val="007A5A05"/>
    <w:rsid w:val="007A5A89"/>
    <w:rsid w:val="007A5AEB"/>
    <w:rsid w:val="007A5B05"/>
    <w:rsid w:val="007A5B0E"/>
    <w:rsid w:val="007A5BCE"/>
    <w:rsid w:val="007A5E17"/>
    <w:rsid w:val="007A5E4E"/>
    <w:rsid w:val="007A5EE6"/>
    <w:rsid w:val="007A6018"/>
    <w:rsid w:val="007A603A"/>
    <w:rsid w:val="007A60F9"/>
    <w:rsid w:val="007A60FF"/>
    <w:rsid w:val="007A61C4"/>
    <w:rsid w:val="007A61F1"/>
    <w:rsid w:val="007A6214"/>
    <w:rsid w:val="007A6365"/>
    <w:rsid w:val="007A638F"/>
    <w:rsid w:val="007A655A"/>
    <w:rsid w:val="007A65B6"/>
    <w:rsid w:val="007A65DB"/>
    <w:rsid w:val="007A6666"/>
    <w:rsid w:val="007A67BA"/>
    <w:rsid w:val="007A67CE"/>
    <w:rsid w:val="007A68B5"/>
    <w:rsid w:val="007A68CF"/>
    <w:rsid w:val="007A68EC"/>
    <w:rsid w:val="007A6A85"/>
    <w:rsid w:val="007A6B45"/>
    <w:rsid w:val="007A6B8C"/>
    <w:rsid w:val="007A6BD6"/>
    <w:rsid w:val="007A6C90"/>
    <w:rsid w:val="007A6C9D"/>
    <w:rsid w:val="007A6D6A"/>
    <w:rsid w:val="007A6D71"/>
    <w:rsid w:val="007A6DF5"/>
    <w:rsid w:val="007A6E02"/>
    <w:rsid w:val="007A6EA7"/>
    <w:rsid w:val="007A6F7A"/>
    <w:rsid w:val="007A6FB2"/>
    <w:rsid w:val="007A700D"/>
    <w:rsid w:val="007A7050"/>
    <w:rsid w:val="007A7060"/>
    <w:rsid w:val="007A70F2"/>
    <w:rsid w:val="007A7133"/>
    <w:rsid w:val="007A715D"/>
    <w:rsid w:val="007A7277"/>
    <w:rsid w:val="007A7292"/>
    <w:rsid w:val="007A7418"/>
    <w:rsid w:val="007A7432"/>
    <w:rsid w:val="007A75DB"/>
    <w:rsid w:val="007A7673"/>
    <w:rsid w:val="007A77AE"/>
    <w:rsid w:val="007A79B3"/>
    <w:rsid w:val="007A7B07"/>
    <w:rsid w:val="007A7B32"/>
    <w:rsid w:val="007A7B74"/>
    <w:rsid w:val="007A7BFF"/>
    <w:rsid w:val="007A7CD7"/>
    <w:rsid w:val="007A7CDD"/>
    <w:rsid w:val="007A7DA6"/>
    <w:rsid w:val="007A7DCE"/>
    <w:rsid w:val="007A7FF7"/>
    <w:rsid w:val="007B00B6"/>
    <w:rsid w:val="007B00C2"/>
    <w:rsid w:val="007B0192"/>
    <w:rsid w:val="007B01EE"/>
    <w:rsid w:val="007B0333"/>
    <w:rsid w:val="007B0542"/>
    <w:rsid w:val="007B05FB"/>
    <w:rsid w:val="007B0699"/>
    <w:rsid w:val="007B06D8"/>
    <w:rsid w:val="007B0846"/>
    <w:rsid w:val="007B08E2"/>
    <w:rsid w:val="007B099B"/>
    <w:rsid w:val="007B09B7"/>
    <w:rsid w:val="007B09D8"/>
    <w:rsid w:val="007B09FF"/>
    <w:rsid w:val="007B0BAD"/>
    <w:rsid w:val="007B0BCD"/>
    <w:rsid w:val="007B0BE4"/>
    <w:rsid w:val="007B0D7B"/>
    <w:rsid w:val="007B0FBA"/>
    <w:rsid w:val="007B0FFA"/>
    <w:rsid w:val="007B1040"/>
    <w:rsid w:val="007B10C4"/>
    <w:rsid w:val="007B111A"/>
    <w:rsid w:val="007B11AF"/>
    <w:rsid w:val="007B1299"/>
    <w:rsid w:val="007B15CF"/>
    <w:rsid w:val="007B162B"/>
    <w:rsid w:val="007B16B7"/>
    <w:rsid w:val="007B16DF"/>
    <w:rsid w:val="007B1795"/>
    <w:rsid w:val="007B1875"/>
    <w:rsid w:val="007B18EF"/>
    <w:rsid w:val="007B19D0"/>
    <w:rsid w:val="007B19E3"/>
    <w:rsid w:val="007B19F4"/>
    <w:rsid w:val="007B1AB1"/>
    <w:rsid w:val="007B1B7D"/>
    <w:rsid w:val="007B1CA6"/>
    <w:rsid w:val="007B1CB5"/>
    <w:rsid w:val="007B1ED6"/>
    <w:rsid w:val="007B1F61"/>
    <w:rsid w:val="007B2006"/>
    <w:rsid w:val="007B224F"/>
    <w:rsid w:val="007B2292"/>
    <w:rsid w:val="007B2402"/>
    <w:rsid w:val="007B2449"/>
    <w:rsid w:val="007B2546"/>
    <w:rsid w:val="007B25F6"/>
    <w:rsid w:val="007B2704"/>
    <w:rsid w:val="007B29A6"/>
    <w:rsid w:val="007B2A68"/>
    <w:rsid w:val="007B2B96"/>
    <w:rsid w:val="007B2C1E"/>
    <w:rsid w:val="007B2D85"/>
    <w:rsid w:val="007B2E0E"/>
    <w:rsid w:val="007B2E5B"/>
    <w:rsid w:val="007B2E83"/>
    <w:rsid w:val="007B2EB4"/>
    <w:rsid w:val="007B2ED6"/>
    <w:rsid w:val="007B2F12"/>
    <w:rsid w:val="007B3036"/>
    <w:rsid w:val="007B32C1"/>
    <w:rsid w:val="007B33C6"/>
    <w:rsid w:val="007B3422"/>
    <w:rsid w:val="007B34CC"/>
    <w:rsid w:val="007B35CE"/>
    <w:rsid w:val="007B3657"/>
    <w:rsid w:val="007B376A"/>
    <w:rsid w:val="007B37ED"/>
    <w:rsid w:val="007B3939"/>
    <w:rsid w:val="007B39FB"/>
    <w:rsid w:val="007B3AD2"/>
    <w:rsid w:val="007B3BD1"/>
    <w:rsid w:val="007B3C12"/>
    <w:rsid w:val="007B3F0A"/>
    <w:rsid w:val="007B3F70"/>
    <w:rsid w:val="007B4010"/>
    <w:rsid w:val="007B401B"/>
    <w:rsid w:val="007B407A"/>
    <w:rsid w:val="007B41E4"/>
    <w:rsid w:val="007B4464"/>
    <w:rsid w:val="007B44DD"/>
    <w:rsid w:val="007B451F"/>
    <w:rsid w:val="007B46BE"/>
    <w:rsid w:val="007B488C"/>
    <w:rsid w:val="007B48A8"/>
    <w:rsid w:val="007B497C"/>
    <w:rsid w:val="007B49DB"/>
    <w:rsid w:val="007B4AE4"/>
    <w:rsid w:val="007B4B6A"/>
    <w:rsid w:val="007B4B6F"/>
    <w:rsid w:val="007B4BD7"/>
    <w:rsid w:val="007B4C75"/>
    <w:rsid w:val="007B4CDD"/>
    <w:rsid w:val="007B4DA3"/>
    <w:rsid w:val="007B4DF7"/>
    <w:rsid w:val="007B4E2B"/>
    <w:rsid w:val="007B4EAD"/>
    <w:rsid w:val="007B4EF1"/>
    <w:rsid w:val="007B4F01"/>
    <w:rsid w:val="007B50B9"/>
    <w:rsid w:val="007B521D"/>
    <w:rsid w:val="007B5220"/>
    <w:rsid w:val="007B5264"/>
    <w:rsid w:val="007B543F"/>
    <w:rsid w:val="007B5532"/>
    <w:rsid w:val="007B55C9"/>
    <w:rsid w:val="007B55D3"/>
    <w:rsid w:val="007B56DF"/>
    <w:rsid w:val="007B5791"/>
    <w:rsid w:val="007B58ED"/>
    <w:rsid w:val="007B59BD"/>
    <w:rsid w:val="007B59E4"/>
    <w:rsid w:val="007B5A0C"/>
    <w:rsid w:val="007B5A36"/>
    <w:rsid w:val="007B5A84"/>
    <w:rsid w:val="007B5AAF"/>
    <w:rsid w:val="007B5BB5"/>
    <w:rsid w:val="007B5CC8"/>
    <w:rsid w:val="007B5E17"/>
    <w:rsid w:val="007B5FA5"/>
    <w:rsid w:val="007B6064"/>
    <w:rsid w:val="007B60C8"/>
    <w:rsid w:val="007B60E6"/>
    <w:rsid w:val="007B62DB"/>
    <w:rsid w:val="007B6583"/>
    <w:rsid w:val="007B6687"/>
    <w:rsid w:val="007B669C"/>
    <w:rsid w:val="007B674A"/>
    <w:rsid w:val="007B6770"/>
    <w:rsid w:val="007B67AA"/>
    <w:rsid w:val="007B687B"/>
    <w:rsid w:val="007B68B4"/>
    <w:rsid w:val="007B699B"/>
    <w:rsid w:val="007B6B2C"/>
    <w:rsid w:val="007B6BFA"/>
    <w:rsid w:val="007B6CB9"/>
    <w:rsid w:val="007B6DAB"/>
    <w:rsid w:val="007B6E40"/>
    <w:rsid w:val="007B6E50"/>
    <w:rsid w:val="007B6E62"/>
    <w:rsid w:val="007B6F02"/>
    <w:rsid w:val="007B6F09"/>
    <w:rsid w:val="007B6F4C"/>
    <w:rsid w:val="007B6FF5"/>
    <w:rsid w:val="007B701B"/>
    <w:rsid w:val="007B70C7"/>
    <w:rsid w:val="007B713E"/>
    <w:rsid w:val="007B7194"/>
    <w:rsid w:val="007B71E3"/>
    <w:rsid w:val="007B7210"/>
    <w:rsid w:val="007B7355"/>
    <w:rsid w:val="007B7427"/>
    <w:rsid w:val="007B745E"/>
    <w:rsid w:val="007B7680"/>
    <w:rsid w:val="007B7747"/>
    <w:rsid w:val="007B78AE"/>
    <w:rsid w:val="007B7978"/>
    <w:rsid w:val="007B79A5"/>
    <w:rsid w:val="007B7B0C"/>
    <w:rsid w:val="007B7B7F"/>
    <w:rsid w:val="007B7C23"/>
    <w:rsid w:val="007B7CD4"/>
    <w:rsid w:val="007B7D1C"/>
    <w:rsid w:val="007B7D3D"/>
    <w:rsid w:val="007B7DE8"/>
    <w:rsid w:val="007B7FB5"/>
    <w:rsid w:val="007C0006"/>
    <w:rsid w:val="007C0062"/>
    <w:rsid w:val="007C00C7"/>
    <w:rsid w:val="007C0173"/>
    <w:rsid w:val="007C019A"/>
    <w:rsid w:val="007C026F"/>
    <w:rsid w:val="007C02E7"/>
    <w:rsid w:val="007C03E0"/>
    <w:rsid w:val="007C03FA"/>
    <w:rsid w:val="007C0727"/>
    <w:rsid w:val="007C0812"/>
    <w:rsid w:val="007C0A05"/>
    <w:rsid w:val="007C0BA3"/>
    <w:rsid w:val="007C0C04"/>
    <w:rsid w:val="007C0C11"/>
    <w:rsid w:val="007C0EED"/>
    <w:rsid w:val="007C0F02"/>
    <w:rsid w:val="007C0F9E"/>
    <w:rsid w:val="007C0FDB"/>
    <w:rsid w:val="007C111D"/>
    <w:rsid w:val="007C1138"/>
    <w:rsid w:val="007C1155"/>
    <w:rsid w:val="007C124B"/>
    <w:rsid w:val="007C1287"/>
    <w:rsid w:val="007C135C"/>
    <w:rsid w:val="007C13CF"/>
    <w:rsid w:val="007C1493"/>
    <w:rsid w:val="007C14B0"/>
    <w:rsid w:val="007C14B1"/>
    <w:rsid w:val="007C1506"/>
    <w:rsid w:val="007C165E"/>
    <w:rsid w:val="007C1662"/>
    <w:rsid w:val="007C16BC"/>
    <w:rsid w:val="007C198A"/>
    <w:rsid w:val="007C1A6F"/>
    <w:rsid w:val="007C1CA6"/>
    <w:rsid w:val="007C1E65"/>
    <w:rsid w:val="007C1EF4"/>
    <w:rsid w:val="007C1EFD"/>
    <w:rsid w:val="007C1F85"/>
    <w:rsid w:val="007C205A"/>
    <w:rsid w:val="007C2140"/>
    <w:rsid w:val="007C2180"/>
    <w:rsid w:val="007C2191"/>
    <w:rsid w:val="007C2200"/>
    <w:rsid w:val="007C2256"/>
    <w:rsid w:val="007C2266"/>
    <w:rsid w:val="007C2268"/>
    <w:rsid w:val="007C22D5"/>
    <w:rsid w:val="007C22D8"/>
    <w:rsid w:val="007C2398"/>
    <w:rsid w:val="007C249E"/>
    <w:rsid w:val="007C2526"/>
    <w:rsid w:val="007C2527"/>
    <w:rsid w:val="007C25B9"/>
    <w:rsid w:val="007C2707"/>
    <w:rsid w:val="007C2805"/>
    <w:rsid w:val="007C282E"/>
    <w:rsid w:val="007C2A5E"/>
    <w:rsid w:val="007C2B18"/>
    <w:rsid w:val="007C2CD6"/>
    <w:rsid w:val="007C2E54"/>
    <w:rsid w:val="007C2EEA"/>
    <w:rsid w:val="007C308C"/>
    <w:rsid w:val="007C30B3"/>
    <w:rsid w:val="007C30D8"/>
    <w:rsid w:val="007C3191"/>
    <w:rsid w:val="007C3225"/>
    <w:rsid w:val="007C339F"/>
    <w:rsid w:val="007C343B"/>
    <w:rsid w:val="007C34DA"/>
    <w:rsid w:val="007C364B"/>
    <w:rsid w:val="007C378E"/>
    <w:rsid w:val="007C3856"/>
    <w:rsid w:val="007C3B66"/>
    <w:rsid w:val="007C3C77"/>
    <w:rsid w:val="007C3C9F"/>
    <w:rsid w:val="007C3DFD"/>
    <w:rsid w:val="007C3F37"/>
    <w:rsid w:val="007C4020"/>
    <w:rsid w:val="007C4030"/>
    <w:rsid w:val="007C406F"/>
    <w:rsid w:val="007C40F9"/>
    <w:rsid w:val="007C4306"/>
    <w:rsid w:val="007C430A"/>
    <w:rsid w:val="007C43E3"/>
    <w:rsid w:val="007C4462"/>
    <w:rsid w:val="007C4510"/>
    <w:rsid w:val="007C45B4"/>
    <w:rsid w:val="007C47CE"/>
    <w:rsid w:val="007C4892"/>
    <w:rsid w:val="007C4917"/>
    <w:rsid w:val="007C4988"/>
    <w:rsid w:val="007C49FD"/>
    <w:rsid w:val="007C4A33"/>
    <w:rsid w:val="007C4A99"/>
    <w:rsid w:val="007C4A9E"/>
    <w:rsid w:val="007C4AC2"/>
    <w:rsid w:val="007C4B92"/>
    <w:rsid w:val="007C4C4A"/>
    <w:rsid w:val="007C4CAB"/>
    <w:rsid w:val="007C4CDF"/>
    <w:rsid w:val="007C4DFD"/>
    <w:rsid w:val="007C4EA5"/>
    <w:rsid w:val="007C4EB4"/>
    <w:rsid w:val="007C4F0F"/>
    <w:rsid w:val="007C4F1E"/>
    <w:rsid w:val="007C5017"/>
    <w:rsid w:val="007C5050"/>
    <w:rsid w:val="007C5141"/>
    <w:rsid w:val="007C5169"/>
    <w:rsid w:val="007C52A3"/>
    <w:rsid w:val="007C539D"/>
    <w:rsid w:val="007C54BD"/>
    <w:rsid w:val="007C54CF"/>
    <w:rsid w:val="007C54F6"/>
    <w:rsid w:val="007C54FD"/>
    <w:rsid w:val="007C5625"/>
    <w:rsid w:val="007C5665"/>
    <w:rsid w:val="007C570A"/>
    <w:rsid w:val="007C5736"/>
    <w:rsid w:val="007C5795"/>
    <w:rsid w:val="007C57D4"/>
    <w:rsid w:val="007C5945"/>
    <w:rsid w:val="007C59BA"/>
    <w:rsid w:val="007C5A75"/>
    <w:rsid w:val="007C5A94"/>
    <w:rsid w:val="007C5AD5"/>
    <w:rsid w:val="007C5ADE"/>
    <w:rsid w:val="007C5C65"/>
    <w:rsid w:val="007C5C94"/>
    <w:rsid w:val="007C5C97"/>
    <w:rsid w:val="007C5D18"/>
    <w:rsid w:val="007C5D4D"/>
    <w:rsid w:val="007C5DB1"/>
    <w:rsid w:val="007C5E45"/>
    <w:rsid w:val="007C5EEC"/>
    <w:rsid w:val="007C5FE9"/>
    <w:rsid w:val="007C6044"/>
    <w:rsid w:val="007C61D0"/>
    <w:rsid w:val="007C61F7"/>
    <w:rsid w:val="007C6482"/>
    <w:rsid w:val="007C64FD"/>
    <w:rsid w:val="007C675E"/>
    <w:rsid w:val="007C67AB"/>
    <w:rsid w:val="007C68BC"/>
    <w:rsid w:val="007C696F"/>
    <w:rsid w:val="007C6B76"/>
    <w:rsid w:val="007C6CEB"/>
    <w:rsid w:val="007C6D59"/>
    <w:rsid w:val="007C6DA9"/>
    <w:rsid w:val="007C6DBB"/>
    <w:rsid w:val="007C6EFE"/>
    <w:rsid w:val="007C6F99"/>
    <w:rsid w:val="007C7023"/>
    <w:rsid w:val="007C704E"/>
    <w:rsid w:val="007C715B"/>
    <w:rsid w:val="007C7173"/>
    <w:rsid w:val="007C724F"/>
    <w:rsid w:val="007C725C"/>
    <w:rsid w:val="007C72CF"/>
    <w:rsid w:val="007C7354"/>
    <w:rsid w:val="007C73AD"/>
    <w:rsid w:val="007C7415"/>
    <w:rsid w:val="007C7681"/>
    <w:rsid w:val="007C789A"/>
    <w:rsid w:val="007C794E"/>
    <w:rsid w:val="007C79C3"/>
    <w:rsid w:val="007C7A50"/>
    <w:rsid w:val="007C7B23"/>
    <w:rsid w:val="007C7B89"/>
    <w:rsid w:val="007C7C83"/>
    <w:rsid w:val="007C7CB4"/>
    <w:rsid w:val="007C7D11"/>
    <w:rsid w:val="007C7D1C"/>
    <w:rsid w:val="007C7D23"/>
    <w:rsid w:val="007C7DCD"/>
    <w:rsid w:val="007C7E52"/>
    <w:rsid w:val="007D0031"/>
    <w:rsid w:val="007D00D6"/>
    <w:rsid w:val="007D01BD"/>
    <w:rsid w:val="007D0220"/>
    <w:rsid w:val="007D027B"/>
    <w:rsid w:val="007D027D"/>
    <w:rsid w:val="007D056F"/>
    <w:rsid w:val="007D08CA"/>
    <w:rsid w:val="007D0910"/>
    <w:rsid w:val="007D09C3"/>
    <w:rsid w:val="007D0B18"/>
    <w:rsid w:val="007D0B40"/>
    <w:rsid w:val="007D0CC6"/>
    <w:rsid w:val="007D0CD8"/>
    <w:rsid w:val="007D0D9D"/>
    <w:rsid w:val="007D0ECE"/>
    <w:rsid w:val="007D0EFB"/>
    <w:rsid w:val="007D0FBC"/>
    <w:rsid w:val="007D1073"/>
    <w:rsid w:val="007D11D0"/>
    <w:rsid w:val="007D1412"/>
    <w:rsid w:val="007D15A9"/>
    <w:rsid w:val="007D1779"/>
    <w:rsid w:val="007D17A7"/>
    <w:rsid w:val="007D1840"/>
    <w:rsid w:val="007D1915"/>
    <w:rsid w:val="007D1935"/>
    <w:rsid w:val="007D1A2C"/>
    <w:rsid w:val="007D1B91"/>
    <w:rsid w:val="007D1BF3"/>
    <w:rsid w:val="007D2168"/>
    <w:rsid w:val="007D21BC"/>
    <w:rsid w:val="007D2352"/>
    <w:rsid w:val="007D2360"/>
    <w:rsid w:val="007D24F6"/>
    <w:rsid w:val="007D258A"/>
    <w:rsid w:val="007D25B4"/>
    <w:rsid w:val="007D25CC"/>
    <w:rsid w:val="007D2609"/>
    <w:rsid w:val="007D26EC"/>
    <w:rsid w:val="007D27BF"/>
    <w:rsid w:val="007D28B0"/>
    <w:rsid w:val="007D2A45"/>
    <w:rsid w:val="007D2CF4"/>
    <w:rsid w:val="007D2D81"/>
    <w:rsid w:val="007D2DC9"/>
    <w:rsid w:val="007D2EAB"/>
    <w:rsid w:val="007D2EEA"/>
    <w:rsid w:val="007D2F57"/>
    <w:rsid w:val="007D30D2"/>
    <w:rsid w:val="007D310E"/>
    <w:rsid w:val="007D3155"/>
    <w:rsid w:val="007D318F"/>
    <w:rsid w:val="007D322D"/>
    <w:rsid w:val="007D32F0"/>
    <w:rsid w:val="007D3355"/>
    <w:rsid w:val="007D3379"/>
    <w:rsid w:val="007D33E9"/>
    <w:rsid w:val="007D33EC"/>
    <w:rsid w:val="007D3498"/>
    <w:rsid w:val="007D3645"/>
    <w:rsid w:val="007D38FE"/>
    <w:rsid w:val="007D391D"/>
    <w:rsid w:val="007D3A14"/>
    <w:rsid w:val="007D3A5A"/>
    <w:rsid w:val="007D3AC5"/>
    <w:rsid w:val="007D3B75"/>
    <w:rsid w:val="007D3B79"/>
    <w:rsid w:val="007D3B7A"/>
    <w:rsid w:val="007D3C72"/>
    <w:rsid w:val="007D3CA4"/>
    <w:rsid w:val="007D3D22"/>
    <w:rsid w:val="007D3D76"/>
    <w:rsid w:val="007D3E19"/>
    <w:rsid w:val="007D3FEF"/>
    <w:rsid w:val="007D4038"/>
    <w:rsid w:val="007D409D"/>
    <w:rsid w:val="007D40E7"/>
    <w:rsid w:val="007D4210"/>
    <w:rsid w:val="007D4246"/>
    <w:rsid w:val="007D429A"/>
    <w:rsid w:val="007D42CD"/>
    <w:rsid w:val="007D4597"/>
    <w:rsid w:val="007D468B"/>
    <w:rsid w:val="007D4760"/>
    <w:rsid w:val="007D47F6"/>
    <w:rsid w:val="007D48CF"/>
    <w:rsid w:val="007D4915"/>
    <w:rsid w:val="007D49F6"/>
    <w:rsid w:val="007D4C61"/>
    <w:rsid w:val="007D4D6E"/>
    <w:rsid w:val="007D4DAF"/>
    <w:rsid w:val="007D4FBD"/>
    <w:rsid w:val="007D4FC7"/>
    <w:rsid w:val="007D510E"/>
    <w:rsid w:val="007D53E7"/>
    <w:rsid w:val="007D553B"/>
    <w:rsid w:val="007D559C"/>
    <w:rsid w:val="007D5696"/>
    <w:rsid w:val="007D576E"/>
    <w:rsid w:val="007D57E4"/>
    <w:rsid w:val="007D5820"/>
    <w:rsid w:val="007D58E9"/>
    <w:rsid w:val="007D59F3"/>
    <w:rsid w:val="007D5A0E"/>
    <w:rsid w:val="007D5B10"/>
    <w:rsid w:val="007D5B18"/>
    <w:rsid w:val="007D5B2F"/>
    <w:rsid w:val="007D5C80"/>
    <w:rsid w:val="007D5DCF"/>
    <w:rsid w:val="007D5E25"/>
    <w:rsid w:val="007D603E"/>
    <w:rsid w:val="007D6108"/>
    <w:rsid w:val="007D624C"/>
    <w:rsid w:val="007D62CE"/>
    <w:rsid w:val="007D64DD"/>
    <w:rsid w:val="007D6618"/>
    <w:rsid w:val="007D6676"/>
    <w:rsid w:val="007D6727"/>
    <w:rsid w:val="007D672F"/>
    <w:rsid w:val="007D6839"/>
    <w:rsid w:val="007D687B"/>
    <w:rsid w:val="007D68ED"/>
    <w:rsid w:val="007D695B"/>
    <w:rsid w:val="007D69AE"/>
    <w:rsid w:val="007D6A2A"/>
    <w:rsid w:val="007D6A44"/>
    <w:rsid w:val="007D6A54"/>
    <w:rsid w:val="007D6AED"/>
    <w:rsid w:val="007D6B1B"/>
    <w:rsid w:val="007D6CBA"/>
    <w:rsid w:val="007D6D56"/>
    <w:rsid w:val="007D6DD2"/>
    <w:rsid w:val="007D6E2C"/>
    <w:rsid w:val="007D7184"/>
    <w:rsid w:val="007D71E5"/>
    <w:rsid w:val="007D738C"/>
    <w:rsid w:val="007D73CF"/>
    <w:rsid w:val="007D7418"/>
    <w:rsid w:val="007D7597"/>
    <w:rsid w:val="007D75C5"/>
    <w:rsid w:val="007D763C"/>
    <w:rsid w:val="007D76A2"/>
    <w:rsid w:val="007D77D7"/>
    <w:rsid w:val="007D79B5"/>
    <w:rsid w:val="007D7C1F"/>
    <w:rsid w:val="007D7CF9"/>
    <w:rsid w:val="007D7D54"/>
    <w:rsid w:val="007D7F22"/>
    <w:rsid w:val="007E005D"/>
    <w:rsid w:val="007E00FA"/>
    <w:rsid w:val="007E01C2"/>
    <w:rsid w:val="007E01C4"/>
    <w:rsid w:val="007E01F2"/>
    <w:rsid w:val="007E0261"/>
    <w:rsid w:val="007E02F9"/>
    <w:rsid w:val="007E043E"/>
    <w:rsid w:val="007E049D"/>
    <w:rsid w:val="007E05C3"/>
    <w:rsid w:val="007E06DB"/>
    <w:rsid w:val="007E0767"/>
    <w:rsid w:val="007E082A"/>
    <w:rsid w:val="007E08BF"/>
    <w:rsid w:val="007E08FE"/>
    <w:rsid w:val="007E0913"/>
    <w:rsid w:val="007E0972"/>
    <w:rsid w:val="007E09AD"/>
    <w:rsid w:val="007E0ABB"/>
    <w:rsid w:val="007E0B8F"/>
    <w:rsid w:val="007E0B9B"/>
    <w:rsid w:val="007E0C0E"/>
    <w:rsid w:val="007E0D2C"/>
    <w:rsid w:val="007E0DF4"/>
    <w:rsid w:val="007E0E63"/>
    <w:rsid w:val="007E0E68"/>
    <w:rsid w:val="007E122F"/>
    <w:rsid w:val="007E132E"/>
    <w:rsid w:val="007E1370"/>
    <w:rsid w:val="007E13F2"/>
    <w:rsid w:val="007E1408"/>
    <w:rsid w:val="007E149A"/>
    <w:rsid w:val="007E14E2"/>
    <w:rsid w:val="007E157A"/>
    <w:rsid w:val="007E169A"/>
    <w:rsid w:val="007E16D9"/>
    <w:rsid w:val="007E16DF"/>
    <w:rsid w:val="007E1791"/>
    <w:rsid w:val="007E18D7"/>
    <w:rsid w:val="007E1912"/>
    <w:rsid w:val="007E1917"/>
    <w:rsid w:val="007E1A42"/>
    <w:rsid w:val="007E1C3C"/>
    <w:rsid w:val="007E1C73"/>
    <w:rsid w:val="007E1DE9"/>
    <w:rsid w:val="007E207D"/>
    <w:rsid w:val="007E2143"/>
    <w:rsid w:val="007E21BF"/>
    <w:rsid w:val="007E21DF"/>
    <w:rsid w:val="007E21F1"/>
    <w:rsid w:val="007E2411"/>
    <w:rsid w:val="007E24D2"/>
    <w:rsid w:val="007E2536"/>
    <w:rsid w:val="007E2711"/>
    <w:rsid w:val="007E273D"/>
    <w:rsid w:val="007E2784"/>
    <w:rsid w:val="007E27E0"/>
    <w:rsid w:val="007E27EF"/>
    <w:rsid w:val="007E2810"/>
    <w:rsid w:val="007E2873"/>
    <w:rsid w:val="007E2889"/>
    <w:rsid w:val="007E29A5"/>
    <w:rsid w:val="007E2A81"/>
    <w:rsid w:val="007E2BA2"/>
    <w:rsid w:val="007E2C4B"/>
    <w:rsid w:val="007E2C6A"/>
    <w:rsid w:val="007E2C8C"/>
    <w:rsid w:val="007E2EA7"/>
    <w:rsid w:val="007E2EDE"/>
    <w:rsid w:val="007E2F6A"/>
    <w:rsid w:val="007E2F8F"/>
    <w:rsid w:val="007E30B1"/>
    <w:rsid w:val="007E3180"/>
    <w:rsid w:val="007E3249"/>
    <w:rsid w:val="007E3296"/>
    <w:rsid w:val="007E32AD"/>
    <w:rsid w:val="007E32E6"/>
    <w:rsid w:val="007E3408"/>
    <w:rsid w:val="007E3494"/>
    <w:rsid w:val="007E3579"/>
    <w:rsid w:val="007E3596"/>
    <w:rsid w:val="007E35AC"/>
    <w:rsid w:val="007E362A"/>
    <w:rsid w:val="007E3746"/>
    <w:rsid w:val="007E3B05"/>
    <w:rsid w:val="007E3B78"/>
    <w:rsid w:val="007E3B97"/>
    <w:rsid w:val="007E3BE2"/>
    <w:rsid w:val="007E3BF6"/>
    <w:rsid w:val="007E3C2E"/>
    <w:rsid w:val="007E3D06"/>
    <w:rsid w:val="007E3F69"/>
    <w:rsid w:val="007E3FE2"/>
    <w:rsid w:val="007E4195"/>
    <w:rsid w:val="007E42CC"/>
    <w:rsid w:val="007E438E"/>
    <w:rsid w:val="007E444A"/>
    <w:rsid w:val="007E44D3"/>
    <w:rsid w:val="007E4574"/>
    <w:rsid w:val="007E464D"/>
    <w:rsid w:val="007E4669"/>
    <w:rsid w:val="007E480A"/>
    <w:rsid w:val="007E4916"/>
    <w:rsid w:val="007E4980"/>
    <w:rsid w:val="007E49AA"/>
    <w:rsid w:val="007E4BA5"/>
    <w:rsid w:val="007E4DB8"/>
    <w:rsid w:val="007E4DFC"/>
    <w:rsid w:val="007E4E39"/>
    <w:rsid w:val="007E4F05"/>
    <w:rsid w:val="007E4F4E"/>
    <w:rsid w:val="007E5151"/>
    <w:rsid w:val="007E5260"/>
    <w:rsid w:val="007E526E"/>
    <w:rsid w:val="007E52A5"/>
    <w:rsid w:val="007E52BD"/>
    <w:rsid w:val="007E53A8"/>
    <w:rsid w:val="007E5422"/>
    <w:rsid w:val="007E5453"/>
    <w:rsid w:val="007E555A"/>
    <w:rsid w:val="007E55C3"/>
    <w:rsid w:val="007E55EB"/>
    <w:rsid w:val="007E566A"/>
    <w:rsid w:val="007E57ED"/>
    <w:rsid w:val="007E5922"/>
    <w:rsid w:val="007E5957"/>
    <w:rsid w:val="007E59D9"/>
    <w:rsid w:val="007E5A31"/>
    <w:rsid w:val="007E5B54"/>
    <w:rsid w:val="007E5C5C"/>
    <w:rsid w:val="007E5EBF"/>
    <w:rsid w:val="007E5EDB"/>
    <w:rsid w:val="007E5EFF"/>
    <w:rsid w:val="007E5FBC"/>
    <w:rsid w:val="007E60C5"/>
    <w:rsid w:val="007E617F"/>
    <w:rsid w:val="007E62AE"/>
    <w:rsid w:val="007E6416"/>
    <w:rsid w:val="007E6464"/>
    <w:rsid w:val="007E64B3"/>
    <w:rsid w:val="007E650C"/>
    <w:rsid w:val="007E6526"/>
    <w:rsid w:val="007E6551"/>
    <w:rsid w:val="007E65AE"/>
    <w:rsid w:val="007E65B2"/>
    <w:rsid w:val="007E6933"/>
    <w:rsid w:val="007E6981"/>
    <w:rsid w:val="007E6AD0"/>
    <w:rsid w:val="007E6BC7"/>
    <w:rsid w:val="007E6D57"/>
    <w:rsid w:val="007E6E0A"/>
    <w:rsid w:val="007E6E91"/>
    <w:rsid w:val="007E6F39"/>
    <w:rsid w:val="007E6FF1"/>
    <w:rsid w:val="007E7199"/>
    <w:rsid w:val="007E71B2"/>
    <w:rsid w:val="007E72AC"/>
    <w:rsid w:val="007E72B0"/>
    <w:rsid w:val="007E734E"/>
    <w:rsid w:val="007E73BF"/>
    <w:rsid w:val="007E7426"/>
    <w:rsid w:val="007E7461"/>
    <w:rsid w:val="007E7587"/>
    <w:rsid w:val="007E76D1"/>
    <w:rsid w:val="007E7775"/>
    <w:rsid w:val="007E7777"/>
    <w:rsid w:val="007E78D5"/>
    <w:rsid w:val="007E793E"/>
    <w:rsid w:val="007E7B30"/>
    <w:rsid w:val="007E7E27"/>
    <w:rsid w:val="007E7E3C"/>
    <w:rsid w:val="007E7EC1"/>
    <w:rsid w:val="007E7EDF"/>
    <w:rsid w:val="007E7FD6"/>
    <w:rsid w:val="007F006D"/>
    <w:rsid w:val="007F0075"/>
    <w:rsid w:val="007F0211"/>
    <w:rsid w:val="007F028E"/>
    <w:rsid w:val="007F02AB"/>
    <w:rsid w:val="007F02C2"/>
    <w:rsid w:val="007F0464"/>
    <w:rsid w:val="007F052A"/>
    <w:rsid w:val="007F0600"/>
    <w:rsid w:val="007F0662"/>
    <w:rsid w:val="007F06E2"/>
    <w:rsid w:val="007F0838"/>
    <w:rsid w:val="007F083F"/>
    <w:rsid w:val="007F0841"/>
    <w:rsid w:val="007F09FA"/>
    <w:rsid w:val="007F0A50"/>
    <w:rsid w:val="007F0BE4"/>
    <w:rsid w:val="007F0C98"/>
    <w:rsid w:val="007F0CEA"/>
    <w:rsid w:val="007F0E03"/>
    <w:rsid w:val="007F0FBC"/>
    <w:rsid w:val="007F10A2"/>
    <w:rsid w:val="007F10E1"/>
    <w:rsid w:val="007F1150"/>
    <w:rsid w:val="007F11B6"/>
    <w:rsid w:val="007F1212"/>
    <w:rsid w:val="007F12C9"/>
    <w:rsid w:val="007F1343"/>
    <w:rsid w:val="007F14E8"/>
    <w:rsid w:val="007F14EA"/>
    <w:rsid w:val="007F14F8"/>
    <w:rsid w:val="007F154E"/>
    <w:rsid w:val="007F15C3"/>
    <w:rsid w:val="007F16BD"/>
    <w:rsid w:val="007F1722"/>
    <w:rsid w:val="007F17CA"/>
    <w:rsid w:val="007F1811"/>
    <w:rsid w:val="007F1D99"/>
    <w:rsid w:val="007F1EDC"/>
    <w:rsid w:val="007F1EF0"/>
    <w:rsid w:val="007F1F3F"/>
    <w:rsid w:val="007F1F57"/>
    <w:rsid w:val="007F2005"/>
    <w:rsid w:val="007F215A"/>
    <w:rsid w:val="007F219C"/>
    <w:rsid w:val="007F2338"/>
    <w:rsid w:val="007F23C5"/>
    <w:rsid w:val="007F247D"/>
    <w:rsid w:val="007F24B0"/>
    <w:rsid w:val="007F2508"/>
    <w:rsid w:val="007F257D"/>
    <w:rsid w:val="007F25CE"/>
    <w:rsid w:val="007F268D"/>
    <w:rsid w:val="007F26A0"/>
    <w:rsid w:val="007F291C"/>
    <w:rsid w:val="007F2B12"/>
    <w:rsid w:val="007F2B44"/>
    <w:rsid w:val="007F2B8F"/>
    <w:rsid w:val="007F2BBA"/>
    <w:rsid w:val="007F2BBC"/>
    <w:rsid w:val="007F2BF6"/>
    <w:rsid w:val="007F2C73"/>
    <w:rsid w:val="007F2CC8"/>
    <w:rsid w:val="007F2CCD"/>
    <w:rsid w:val="007F2D28"/>
    <w:rsid w:val="007F2E24"/>
    <w:rsid w:val="007F2EF2"/>
    <w:rsid w:val="007F2F43"/>
    <w:rsid w:val="007F2F65"/>
    <w:rsid w:val="007F30DD"/>
    <w:rsid w:val="007F30F9"/>
    <w:rsid w:val="007F310C"/>
    <w:rsid w:val="007F3115"/>
    <w:rsid w:val="007F3146"/>
    <w:rsid w:val="007F3148"/>
    <w:rsid w:val="007F32DB"/>
    <w:rsid w:val="007F33E9"/>
    <w:rsid w:val="007F3454"/>
    <w:rsid w:val="007F358F"/>
    <w:rsid w:val="007F3614"/>
    <w:rsid w:val="007F3687"/>
    <w:rsid w:val="007F36FC"/>
    <w:rsid w:val="007F36FF"/>
    <w:rsid w:val="007F3709"/>
    <w:rsid w:val="007F37A1"/>
    <w:rsid w:val="007F387F"/>
    <w:rsid w:val="007F3895"/>
    <w:rsid w:val="007F3A32"/>
    <w:rsid w:val="007F3AD8"/>
    <w:rsid w:val="007F3C1D"/>
    <w:rsid w:val="007F3D82"/>
    <w:rsid w:val="007F3D8A"/>
    <w:rsid w:val="007F3DA1"/>
    <w:rsid w:val="007F3DC9"/>
    <w:rsid w:val="007F3DCF"/>
    <w:rsid w:val="007F40BE"/>
    <w:rsid w:val="007F419D"/>
    <w:rsid w:val="007F41E7"/>
    <w:rsid w:val="007F4208"/>
    <w:rsid w:val="007F42D4"/>
    <w:rsid w:val="007F4327"/>
    <w:rsid w:val="007F438F"/>
    <w:rsid w:val="007F4486"/>
    <w:rsid w:val="007F467F"/>
    <w:rsid w:val="007F4738"/>
    <w:rsid w:val="007F47A2"/>
    <w:rsid w:val="007F4800"/>
    <w:rsid w:val="007F48E0"/>
    <w:rsid w:val="007F4921"/>
    <w:rsid w:val="007F4A1D"/>
    <w:rsid w:val="007F4AE4"/>
    <w:rsid w:val="007F4B04"/>
    <w:rsid w:val="007F4B40"/>
    <w:rsid w:val="007F4C79"/>
    <w:rsid w:val="007F4F64"/>
    <w:rsid w:val="007F4F9F"/>
    <w:rsid w:val="007F5169"/>
    <w:rsid w:val="007F51CE"/>
    <w:rsid w:val="007F5485"/>
    <w:rsid w:val="007F54D1"/>
    <w:rsid w:val="007F55A1"/>
    <w:rsid w:val="007F5624"/>
    <w:rsid w:val="007F575B"/>
    <w:rsid w:val="007F5766"/>
    <w:rsid w:val="007F577D"/>
    <w:rsid w:val="007F5845"/>
    <w:rsid w:val="007F59EC"/>
    <w:rsid w:val="007F5A74"/>
    <w:rsid w:val="007F5B58"/>
    <w:rsid w:val="007F5C22"/>
    <w:rsid w:val="007F5C3B"/>
    <w:rsid w:val="007F5C92"/>
    <w:rsid w:val="007F5E24"/>
    <w:rsid w:val="007F5F19"/>
    <w:rsid w:val="007F5F45"/>
    <w:rsid w:val="007F615D"/>
    <w:rsid w:val="007F618F"/>
    <w:rsid w:val="007F62D0"/>
    <w:rsid w:val="007F6349"/>
    <w:rsid w:val="007F6382"/>
    <w:rsid w:val="007F6399"/>
    <w:rsid w:val="007F63EB"/>
    <w:rsid w:val="007F641B"/>
    <w:rsid w:val="007F64F6"/>
    <w:rsid w:val="007F654A"/>
    <w:rsid w:val="007F667A"/>
    <w:rsid w:val="007F67EB"/>
    <w:rsid w:val="007F6836"/>
    <w:rsid w:val="007F6884"/>
    <w:rsid w:val="007F6B9D"/>
    <w:rsid w:val="007F6BD2"/>
    <w:rsid w:val="007F6D71"/>
    <w:rsid w:val="007F6E18"/>
    <w:rsid w:val="007F6E75"/>
    <w:rsid w:val="007F6EF3"/>
    <w:rsid w:val="007F70AD"/>
    <w:rsid w:val="007F713A"/>
    <w:rsid w:val="007F726C"/>
    <w:rsid w:val="007F7293"/>
    <w:rsid w:val="007F7296"/>
    <w:rsid w:val="007F72F7"/>
    <w:rsid w:val="007F72FA"/>
    <w:rsid w:val="007F7376"/>
    <w:rsid w:val="007F7412"/>
    <w:rsid w:val="007F749B"/>
    <w:rsid w:val="007F74CE"/>
    <w:rsid w:val="007F753E"/>
    <w:rsid w:val="007F76B1"/>
    <w:rsid w:val="007F76B7"/>
    <w:rsid w:val="007F780F"/>
    <w:rsid w:val="007F7862"/>
    <w:rsid w:val="007F78C6"/>
    <w:rsid w:val="007F78FF"/>
    <w:rsid w:val="007F7971"/>
    <w:rsid w:val="007F79F2"/>
    <w:rsid w:val="007F7A7B"/>
    <w:rsid w:val="007F7AF5"/>
    <w:rsid w:val="007F7CD7"/>
    <w:rsid w:val="007F7CEC"/>
    <w:rsid w:val="007F7E1C"/>
    <w:rsid w:val="007F7EA3"/>
    <w:rsid w:val="0080000D"/>
    <w:rsid w:val="008000ED"/>
    <w:rsid w:val="0080015A"/>
    <w:rsid w:val="00800275"/>
    <w:rsid w:val="008002B1"/>
    <w:rsid w:val="008002D8"/>
    <w:rsid w:val="00800496"/>
    <w:rsid w:val="008005FD"/>
    <w:rsid w:val="0080064A"/>
    <w:rsid w:val="0080065C"/>
    <w:rsid w:val="00800675"/>
    <w:rsid w:val="00800688"/>
    <w:rsid w:val="0080096F"/>
    <w:rsid w:val="00800AA9"/>
    <w:rsid w:val="00800B26"/>
    <w:rsid w:val="00800E10"/>
    <w:rsid w:val="00800E1C"/>
    <w:rsid w:val="00800E37"/>
    <w:rsid w:val="00800E69"/>
    <w:rsid w:val="008010E6"/>
    <w:rsid w:val="00801105"/>
    <w:rsid w:val="00801174"/>
    <w:rsid w:val="0080119F"/>
    <w:rsid w:val="00801267"/>
    <w:rsid w:val="0080134F"/>
    <w:rsid w:val="00801388"/>
    <w:rsid w:val="00801473"/>
    <w:rsid w:val="00801520"/>
    <w:rsid w:val="00801593"/>
    <w:rsid w:val="008015A3"/>
    <w:rsid w:val="00801648"/>
    <w:rsid w:val="0080168A"/>
    <w:rsid w:val="008016D2"/>
    <w:rsid w:val="008016D9"/>
    <w:rsid w:val="0080179E"/>
    <w:rsid w:val="00801842"/>
    <w:rsid w:val="008018A6"/>
    <w:rsid w:val="00801A94"/>
    <w:rsid w:val="00801D1B"/>
    <w:rsid w:val="00801DB1"/>
    <w:rsid w:val="00801E08"/>
    <w:rsid w:val="00801E2E"/>
    <w:rsid w:val="00801E30"/>
    <w:rsid w:val="00801E97"/>
    <w:rsid w:val="00801F50"/>
    <w:rsid w:val="008020B9"/>
    <w:rsid w:val="008020D1"/>
    <w:rsid w:val="0080220A"/>
    <w:rsid w:val="008023FE"/>
    <w:rsid w:val="0080240B"/>
    <w:rsid w:val="008024FB"/>
    <w:rsid w:val="00802511"/>
    <w:rsid w:val="008027C8"/>
    <w:rsid w:val="008028A0"/>
    <w:rsid w:val="00802939"/>
    <w:rsid w:val="00802981"/>
    <w:rsid w:val="00802A99"/>
    <w:rsid w:val="00802C10"/>
    <w:rsid w:val="00802D03"/>
    <w:rsid w:val="00802D96"/>
    <w:rsid w:val="00802E1D"/>
    <w:rsid w:val="00802ECD"/>
    <w:rsid w:val="00802F17"/>
    <w:rsid w:val="00802F67"/>
    <w:rsid w:val="00803344"/>
    <w:rsid w:val="008036FE"/>
    <w:rsid w:val="0080371B"/>
    <w:rsid w:val="00803812"/>
    <w:rsid w:val="00803832"/>
    <w:rsid w:val="0080397B"/>
    <w:rsid w:val="0080397D"/>
    <w:rsid w:val="008039A2"/>
    <w:rsid w:val="00803A63"/>
    <w:rsid w:val="00803B73"/>
    <w:rsid w:val="00803D80"/>
    <w:rsid w:val="00803EC8"/>
    <w:rsid w:val="00803EE9"/>
    <w:rsid w:val="00803F34"/>
    <w:rsid w:val="0080407C"/>
    <w:rsid w:val="0080419E"/>
    <w:rsid w:val="008041C6"/>
    <w:rsid w:val="0080427D"/>
    <w:rsid w:val="008042C3"/>
    <w:rsid w:val="0080446C"/>
    <w:rsid w:val="008044E5"/>
    <w:rsid w:val="00804565"/>
    <w:rsid w:val="00804575"/>
    <w:rsid w:val="00804667"/>
    <w:rsid w:val="00804797"/>
    <w:rsid w:val="008048D4"/>
    <w:rsid w:val="008048ED"/>
    <w:rsid w:val="008049F5"/>
    <w:rsid w:val="00804B42"/>
    <w:rsid w:val="00804BAC"/>
    <w:rsid w:val="00804D41"/>
    <w:rsid w:val="00804D90"/>
    <w:rsid w:val="00804E8E"/>
    <w:rsid w:val="00804EA9"/>
    <w:rsid w:val="00804EE9"/>
    <w:rsid w:val="00805245"/>
    <w:rsid w:val="008052D6"/>
    <w:rsid w:val="008052DA"/>
    <w:rsid w:val="00805442"/>
    <w:rsid w:val="0080545F"/>
    <w:rsid w:val="0080549C"/>
    <w:rsid w:val="008054A7"/>
    <w:rsid w:val="008054ED"/>
    <w:rsid w:val="0080551F"/>
    <w:rsid w:val="00805574"/>
    <w:rsid w:val="00805670"/>
    <w:rsid w:val="00805692"/>
    <w:rsid w:val="0080577C"/>
    <w:rsid w:val="0080578C"/>
    <w:rsid w:val="008057B6"/>
    <w:rsid w:val="00805856"/>
    <w:rsid w:val="00805863"/>
    <w:rsid w:val="008058EB"/>
    <w:rsid w:val="00805A13"/>
    <w:rsid w:val="00805BA6"/>
    <w:rsid w:val="00805D9C"/>
    <w:rsid w:val="00805E3D"/>
    <w:rsid w:val="00805E58"/>
    <w:rsid w:val="00805E68"/>
    <w:rsid w:val="00806078"/>
    <w:rsid w:val="008060FE"/>
    <w:rsid w:val="008061C3"/>
    <w:rsid w:val="008061C6"/>
    <w:rsid w:val="008061CB"/>
    <w:rsid w:val="0080631B"/>
    <w:rsid w:val="00806557"/>
    <w:rsid w:val="008065B2"/>
    <w:rsid w:val="00806683"/>
    <w:rsid w:val="008066C0"/>
    <w:rsid w:val="008066ED"/>
    <w:rsid w:val="00806791"/>
    <w:rsid w:val="008067B6"/>
    <w:rsid w:val="0080682B"/>
    <w:rsid w:val="0080693A"/>
    <w:rsid w:val="0080696F"/>
    <w:rsid w:val="008069F8"/>
    <w:rsid w:val="00806B6B"/>
    <w:rsid w:val="00806B7B"/>
    <w:rsid w:val="00806DBA"/>
    <w:rsid w:val="00806FAE"/>
    <w:rsid w:val="00806FE0"/>
    <w:rsid w:val="00806FEA"/>
    <w:rsid w:val="00807056"/>
    <w:rsid w:val="0080706C"/>
    <w:rsid w:val="00807091"/>
    <w:rsid w:val="008070CF"/>
    <w:rsid w:val="008071A4"/>
    <w:rsid w:val="008071AC"/>
    <w:rsid w:val="0080736D"/>
    <w:rsid w:val="008076E5"/>
    <w:rsid w:val="008076FB"/>
    <w:rsid w:val="0080778E"/>
    <w:rsid w:val="008078B3"/>
    <w:rsid w:val="0080792D"/>
    <w:rsid w:val="00807AEE"/>
    <w:rsid w:val="00807B05"/>
    <w:rsid w:val="00807B0C"/>
    <w:rsid w:val="00807B39"/>
    <w:rsid w:val="00807C2C"/>
    <w:rsid w:val="00807E73"/>
    <w:rsid w:val="00807F24"/>
    <w:rsid w:val="008101FD"/>
    <w:rsid w:val="0081020E"/>
    <w:rsid w:val="0081025F"/>
    <w:rsid w:val="008102A2"/>
    <w:rsid w:val="008104C1"/>
    <w:rsid w:val="0081063E"/>
    <w:rsid w:val="0081067A"/>
    <w:rsid w:val="00810789"/>
    <w:rsid w:val="0081092E"/>
    <w:rsid w:val="00810D0B"/>
    <w:rsid w:val="00810F46"/>
    <w:rsid w:val="008111E3"/>
    <w:rsid w:val="00811296"/>
    <w:rsid w:val="008113A1"/>
    <w:rsid w:val="008113C1"/>
    <w:rsid w:val="0081150A"/>
    <w:rsid w:val="0081152C"/>
    <w:rsid w:val="00811532"/>
    <w:rsid w:val="00811568"/>
    <w:rsid w:val="008115F7"/>
    <w:rsid w:val="0081166B"/>
    <w:rsid w:val="00811752"/>
    <w:rsid w:val="0081175E"/>
    <w:rsid w:val="008117B3"/>
    <w:rsid w:val="008117CC"/>
    <w:rsid w:val="00811872"/>
    <w:rsid w:val="00811905"/>
    <w:rsid w:val="0081198B"/>
    <w:rsid w:val="008119E0"/>
    <w:rsid w:val="00811A65"/>
    <w:rsid w:val="00811AE1"/>
    <w:rsid w:val="00811B9F"/>
    <w:rsid w:val="00811BE4"/>
    <w:rsid w:val="00811C6C"/>
    <w:rsid w:val="00811C82"/>
    <w:rsid w:val="00811CDC"/>
    <w:rsid w:val="00811DB6"/>
    <w:rsid w:val="00811E12"/>
    <w:rsid w:val="00811E98"/>
    <w:rsid w:val="00811EC1"/>
    <w:rsid w:val="00811F9D"/>
    <w:rsid w:val="00811FEE"/>
    <w:rsid w:val="0081204A"/>
    <w:rsid w:val="0081218F"/>
    <w:rsid w:val="00812192"/>
    <w:rsid w:val="0081224C"/>
    <w:rsid w:val="00812297"/>
    <w:rsid w:val="008122C0"/>
    <w:rsid w:val="00812338"/>
    <w:rsid w:val="00812555"/>
    <w:rsid w:val="008125B3"/>
    <w:rsid w:val="008125E8"/>
    <w:rsid w:val="00812726"/>
    <w:rsid w:val="00812856"/>
    <w:rsid w:val="0081290D"/>
    <w:rsid w:val="00812973"/>
    <w:rsid w:val="008129BE"/>
    <w:rsid w:val="00812A40"/>
    <w:rsid w:val="00812A99"/>
    <w:rsid w:val="00812B01"/>
    <w:rsid w:val="00812C14"/>
    <w:rsid w:val="00812C30"/>
    <w:rsid w:val="00812C89"/>
    <w:rsid w:val="00812C9C"/>
    <w:rsid w:val="00812E62"/>
    <w:rsid w:val="00812EED"/>
    <w:rsid w:val="00812F22"/>
    <w:rsid w:val="00812F65"/>
    <w:rsid w:val="00812F68"/>
    <w:rsid w:val="0081300A"/>
    <w:rsid w:val="0081300C"/>
    <w:rsid w:val="00813016"/>
    <w:rsid w:val="008132D3"/>
    <w:rsid w:val="00813318"/>
    <w:rsid w:val="0081332B"/>
    <w:rsid w:val="00813362"/>
    <w:rsid w:val="008133B2"/>
    <w:rsid w:val="008133CA"/>
    <w:rsid w:val="00813480"/>
    <w:rsid w:val="008136B0"/>
    <w:rsid w:val="008137AB"/>
    <w:rsid w:val="008138ED"/>
    <w:rsid w:val="008138F7"/>
    <w:rsid w:val="008138FA"/>
    <w:rsid w:val="00813997"/>
    <w:rsid w:val="00813B1D"/>
    <w:rsid w:val="00813BD8"/>
    <w:rsid w:val="00813DD4"/>
    <w:rsid w:val="0081405B"/>
    <w:rsid w:val="008140BE"/>
    <w:rsid w:val="0081410F"/>
    <w:rsid w:val="008141A9"/>
    <w:rsid w:val="0081427D"/>
    <w:rsid w:val="00814325"/>
    <w:rsid w:val="00814359"/>
    <w:rsid w:val="008144B7"/>
    <w:rsid w:val="008145EF"/>
    <w:rsid w:val="0081464C"/>
    <w:rsid w:val="00814674"/>
    <w:rsid w:val="00814715"/>
    <w:rsid w:val="0081475E"/>
    <w:rsid w:val="008147D9"/>
    <w:rsid w:val="008148DF"/>
    <w:rsid w:val="00814972"/>
    <w:rsid w:val="00814A04"/>
    <w:rsid w:val="00814A3F"/>
    <w:rsid w:val="00814A61"/>
    <w:rsid w:val="00814B0A"/>
    <w:rsid w:val="00814CEC"/>
    <w:rsid w:val="00814D38"/>
    <w:rsid w:val="00814D48"/>
    <w:rsid w:val="00814EAB"/>
    <w:rsid w:val="0081515C"/>
    <w:rsid w:val="0081523F"/>
    <w:rsid w:val="00815295"/>
    <w:rsid w:val="008154B9"/>
    <w:rsid w:val="0081551B"/>
    <w:rsid w:val="00815588"/>
    <w:rsid w:val="00815598"/>
    <w:rsid w:val="008156F8"/>
    <w:rsid w:val="00815920"/>
    <w:rsid w:val="00815966"/>
    <w:rsid w:val="00815A0C"/>
    <w:rsid w:val="00815AE3"/>
    <w:rsid w:val="00815B1F"/>
    <w:rsid w:val="00815B4E"/>
    <w:rsid w:val="00815B87"/>
    <w:rsid w:val="00815C5D"/>
    <w:rsid w:val="00815E44"/>
    <w:rsid w:val="00815FA4"/>
    <w:rsid w:val="00816029"/>
    <w:rsid w:val="00816036"/>
    <w:rsid w:val="0081606E"/>
    <w:rsid w:val="008160E4"/>
    <w:rsid w:val="008160F5"/>
    <w:rsid w:val="0081612F"/>
    <w:rsid w:val="00816160"/>
    <w:rsid w:val="00816175"/>
    <w:rsid w:val="0081620B"/>
    <w:rsid w:val="008162C7"/>
    <w:rsid w:val="0081652F"/>
    <w:rsid w:val="008165B7"/>
    <w:rsid w:val="008166D6"/>
    <w:rsid w:val="00816793"/>
    <w:rsid w:val="008167B2"/>
    <w:rsid w:val="008167BB"/>
    <w:rsid w:val="008167D2"/>
    <w:rsid w:val="008167D8"/>
    <w:rsid w:val="0081686B"/>
    <w:rsid w:val="00816875"/>
    <w:rsid w:val="0081688A"/>
    <w:rsid w:val="008168F3"/>
    <w:rsid w:val="00816B48"/>
    <w:rsid w:val="00816BDB"/>
    <w:rsid w:val="00816DFF"/>
    <w:rsid w:val="00816F49"/>
    <w:rsid w:val="00816F7F"/>
    <w:rsid w:val="00816FF2"/>
    <w:rsid w:val="008170A1"/>
    <w:rsid w:val="00817231"/>
    <w:rsid w:val="0081728D"/>
    <w:rsid w:val="008172EF"/>
    <w:rsid w:val="00817321"/>
    <w:rsid w:val="00817371"/>
    <w:rsid w:val="0081743F"/>
    <w:rsid w:val="00817576"/>
    <w:rsid w:val="008175C5"/>
    <w:rsid w:val="008175FF"/>
    <w:rsid w:val="008176ED"/>
    <w:rsid w:val="008176FF"/>
    <w:rsid w:val="008178A0"/>
    <w:rsid w:val="00817914"/>
    <w:rsid w:val="00817943"/>
    <w:rsid w:val="00817AD9"/>
    <w:rsid w:val="00817B5E"/>
    <w:rsid w:val="00817B78"/>
    <w:rsid w:val="00817CCE"/>
    <w:rsid w:val="00817D07"/>
    <w:rsid w:val="00817DB4"/>
    <w:rsid w:val="00817E7D"/>
    <w:rsid w:val="00817F41"/>
    <w:rsid w:val="00820038"/>
    <w:rsid w:val="00820096"/>
    <w:rsid w:val="008200AD"/>
    <w:rsid w:val="00820190"/>
    <w:rsid w:val="008201FC"/>
    <w:rsid w:val="0082033F"/>
    <w:rsid w:val="00820340"/>
    <w:rsid w:val="00820375"/>
    <w:rsid w:val="008204A7"/>
    <w:rsid w:val="008205C1"/>
    <w:rsid w:val="008206AE"/>
    <w:rsid w:val="0082082C"/>
    <w:rsid w:val="008208C6"/>
    <w:rsid w:val="00820C93"/>
    <w:rsid w:val="00820CC7"/>
    <w:rsid w:val="00820D1A"/>
    <w:rsid w:val="00820D86"/>
    <w:rsid w:val="00820DB0"/>
    <w:rsid w:val="00820EFE"/>
    <w:rsid w:val="00820FD7"/>
    <w:rsid w:val="008210C4"/>
    <w:rsid w:val="008210F3"/>
    <w:rsid w:val="00821141"/>
    <w:rsid w:val="008212BE"/>
    <w:rsid w:val="008212CB"/>
    <w:rsid w:val="00821448"/>
    <w:rsid w:val="00821449"/>
    <w:rsid w:val="0082156A"/>
    <w:rsid w:val="0082156F"/>
    <w:rsid w:val="00821691"/>
    <w:rsid w:val="00821722"/>
    <w:rsid w:val="008218ED"/>
    <w:rsid w:val="00821929"/>
    <w:rsid w:val="00821996"/>
    <w:rsid w:val="00821A7A"/>
    <w:rsid w:val="00821BE4"/>
    <w:rsid w:val="00821C8D"/>
    <w:rsid w:val="00821CD4"/>
    <w:rsid w:val="00821CE1"/>
    <w:rsid w:val="00821DEE"/>
    <w:rsid w:val="00821E4B"/>
    <w:rsid w:val="00821E9A"/>
    <w:rsid w:val="00821F39"/>
    <w:rsid w:val="00821F78"/>
    <w:rsid w:val="00822016"/>
    <w:rsid w:val="0082203D"/>
    <w:rsid w:val="0082206A"/>
    <w:rsid w:val="0082210C"/>
    <w:rsid w:val="008221BE"/>
    <w:rsid w:val="008221C9"/>
    <w:rsid w:val="00822291"/>
    <w:rsid w:val="008222A7"/>
    <w:rsid w:val="008222E7"/>
    <w:rsid w:val="00822366"/>
    <w:rsid w:val="008223AE"/>
    <w:rsid w:val="008223F5"/>
    <w:rsid w:val="00822602"/>
    <w:rsid w:val="0082265C"/>
    <w:rsid w:val="0082272B"/>
    <w:rsid w:val="0082283D"/>
    <w:rsid w:val="00822840"/>
    <w:rsid w:val="00822907"/>
    <w:rsid w:val="00822927"/>
    <w:rsid w:val="0082294E"/>
    <w:rsid w:val="008229D8"/>
    <w:rsid w:val="00822AC5"/>
    <w:rsid w:val="00822AD0"/>
    <w:rsid w:val="00822B6F"/>
    <w:rsid w:val="00822BE0"/>
    <w:rsid w:val="00822C0A"/>
    <w:rsid w:val="00822C46"/>
    <w:rsid w:val="00822CB6"/>
    <w:rsid w:val="00822CCA"/>
    <w:rsid w:val="00822E61"/>
    <w:rsid w:val="00822E78"/>
    <w:rsid w:val="00822F11"/>
    <w:rsid w:val="00822FD6"/>
    <w:rsid w:val="00822FE1"/>
    <w:rsid w:val="00823036"/>
    <w:rsid w:val="00823136"/>
    <w:rsid w:val="008233D5"/>
    <w:rsid w:val="00823483"/>
    <w:rsid w:val="008234D0"/>
    <w:rsid w:val="008236F7"/>
    <w:rsid w:val="0082373D"/>
    <w:rsid w:val="008238BF"/>
    <w:rsid w:val="00823A7E"/>
    <w:rsid w:val="00823B50"/>
    <w:rsid w:val="00823BD0"/>
    <w:rsid w:val="00823BEF"/>
    <w:rsid w:val="00823C17"/>
    <w:rsid w:val="00823F75"/>
    <w:rsid w:val="0082405D"/>
    <w:rsid w:val="008240CF"/>
    <w:rsid w:val="0082410D"/>
    <w:rsid w:val="00824377"/>
    <w:rsid w:val="0082437C"/>
    <w:rsid w:val="0082441D"/>
    <w:rsid w:val="008244C8"/>
    <w:rsid w:val="00824513"/>
    <w:rsid w:val="0082464D"/>
    <w:rsid w:val="00824700"/>
    <w:rsid w:val="0082476F"/>
    <w:rsid w:val="008247BC"/>
    <w:rsid w:val="00824842"/>
    <w:rsid w:val="00824A45"/>
    <w:rsid w:val="00824ACB"/>
    <w:rsid w:val="00824B52"/>
    <w:rsid w:val="00824CC4"/>
    <w:rsid w:val="00824EFB"/>
    <w:rsid w:val="00824F1B"/>
    <w:rsid w:val="00824F80"/>
    <w:rsid w:val="008253E9"/>
    <w:rsid w:val="00825418"/>
    <w:rsid w:val="00825454"/>
    <w:rsid w:val="008257A6"/>
    <w:rsid w:val="00825814"/>
    <w:rsid w:val="00825822"/>
    <w:rsid w:val="00825914"/>
    <w:rsid w:val="008259A8"/>
    <w:rsid w:val="00825A10"/>
    <w:rsid w:val="00825A76"/>
    <w:rsid w:val="00825AA1"/>
    <w:rsid w:val="00825B01"/>
    <w:rsid w:val="00825B57"/>
    <w:rsid w:val="00825BC2"/>
    <w:rsid w:val="00825D73"/>
    <w:rsid w:val="00825F12"/>
    <w:rsid w:val="00825F20"/>
    <w:rsid w:val="00825F48"/>
    <w:rsid w:val="00826196"/>
    <w:rsid w:val="00826358"/>
    <w:rsid w:val="00826385"/>
    <w:rsid w:val="00826498"/>
    <w:rsid w:val="008264A6"/>
    <w:rsid w:val="008264BC"/>
    <w:rsid w:val="008264C3"/>
    <w:rsid w:val="008264D5"/>
    <w:rsid w:val="0082663B"/>
    <w:rsid w:val="00826711"/>
    <w:rsid w:val="008267E1"/>
    <w:rsid w:val="008268E1"/>
    <w:rsid w:val="0082697A"/>
    <w:rsid w:val="00826A7A"/>
    <w:rsid w:val="00826A89"/>
    <w:rsid w:val="00826AB6"/>
    <w:rsid w:val="00826BF5"/>
    <w:rsid w:val="00826C68"/>
    <w:rsid w:val="00826C6F"/>
    <w:rsid w:val="00826CEB"/>
    <w:rsid w:val="00826DFA"/>
    <w:rsid w:val="00826E16"/>
    <w:rsid w:val="00826EE7"/>
    <w:rsid w:val="00826FB4"/>
    <w:rsid w:val="00827026"/>
    <w:rsid w:val="008270C8"/>
    <w:rsid w:val="00827208"/>
    <w:rsid w:val="00827253"/>
    <w:rsid w:val="008275EB"/>
    <w:rsid w:val="008275EC"/>
    <w:rsid w:val="0082764B"/>
    <w:rsid w:val="00827713"/>
    <w:rsid w:val="0082784E"/>
    <w:rsid w:val="008278CA"/>
    <w:rsid w:val="008279D4"/>
    <w:rsid w:val="008279DD"/>
    <w:rsid w:val="00827B14"/>
    <w:rsid w:val="00827D17"/>
    <w:rsid w:val="00827D92"/>
    <w:rsid w:val="00827DDC"/>
    <w:rsid w:val="00827EAD"/>
    <w:rsid w:val="00827EDB"/>
    <w:rsid w:val="00827F92"/>
    <w:rsid w:val="00830226"/>
    <w:rsid w:val="0083045C"/>
    <w:rsid w:val="00830511"/>
    <w:rsid w:val="0083055C"/>
    <w:rsid w:val="008305A7"/>
    <w:rsid w:val="008305BD"/>
    <w:rsid w:val="0083064D"/>
    <w:rsid w:val="008308AE"/>
    <w:rsid w:val="0083096D"/>
    <w:rsid w:val="00830A0F"/>
    <w:rsid w:val="00830A52"/>
    <w:rsid w:val="00830A8F"/>
    <w:rsid w:val="00830AAC"/>
    <w:rsid w:val="00830AE2"/>
    <w:rsid w:val="00830B4B"/>
    <w:rsid w:val="00830BED"/>
    <w:rsid w:val="00830C59"/>
    <w:rsid w:val="00830CE0"/>
    <w:rsid w:val="00830DC2"/>
    <w:rsid w:val="00830E7E"/>
    <w:rsid w:val="00830E90"/>
    <w:rsid w:val="00830FB8"/>
    <w:rsid w:val="008310F2"/>
    <w:rsid w:val="00831192"/>
    <w:rsid w:val="008311A4"/>
    <w:rsid w:val="008311D0"/>
    <w:rsid w:val="00831265"/>
    <w:rsid w:val="00831279"/>
    <w:rsid w:val="008312CC"/>
    <w:rsid w:val="008314D2"/>
    <w:rsid w:val="00831506"/>
    <w:rsid w:val="0083150A"/>
    <w:rsid w:val="0083162A"/>
    <w:rsid w:val="0083162F"/>
    <w:rsid w:val="0083168B"/>
    <w:rsid w:val="00831731"/>
    <w:rsid w:val="00831735"/>
    <w:rsid w:val="008317D7"/>
    <w:rsid w:val="008317DA"/>
    <w:rsid w:val="00831872"/>
    <w:rsid w:val="00831884"/>
    <w:rsid w:val="008318C3"/>
    <w:rsid w:val="00831908"/>
    <w:rsid w:val="008319DC"/>
    <w:rsid w:val="00831A1D"/>
    <w:rsid w:val="00831A59"/>
    <w:rsid w:val="00831A82"/>
    <w:rsid w:val="00831B54"/>
    <w:rsid w:val="00831BFD"/>
    <w:rsid w:val="00831C2E"/>
    <w:rsid w:val="00831C90"/>
    <w:rsid w:val="00831CDC"/>
    <w:rsid w:val="00831E0E"/>
    <w:rsid w:val="00831ECB"/>
    <w:rsid w:val="00831F14"/>
    <w:rsid w:val="00832051"/>
    <w:rsid w:val="00832065"/>
    <w:rsid w:val="008320E0"/>
    <w:rsid w:val="0083214F"/>
    <w:rsid w:val="008321FF"/>
    <w:rsid w:val="00832273"/>
    <w:rsid w:val="0083245F"/>
    <w:rsid w:val="008324C1"/>
    <w:rsid w:val="008325C7"/>
    <w:rsid w:val="0083279E"/>
    <w:rsid w:val="008327B5"/>
    <w:rsid w:val="008327B7"/>
    <w:rsid w:val="008327D2"/>
    <w:rsid w:val="0083280C"/>
    <w:rsid w:val="0083291F"/>
    <w:rsid w:val="00832929"/>
    <w:rsid w:val="00832D40"/>
    <w:rsid w:val="00832EBA"/>
    <w:rsid w:val="008330F2"/>
    <w:rsid w:val="0083314A"/>
    <w:rsid w:val="0083323F"/>
    <w:rsid w:val="008332E8"/>
    <w:rsid w:val="008333DE"/>
    <w:rsid w:val="00833404"/>
    <w:rsid w:val="00833409"/>
    <w:rsid w:val="0083347B"/>
    <w:rsid w:val="0083347F"/>
    <w:rsid w:val="0083348A"/>
    <w:rsid w:val="0083351C"/>
    <w:rsid w:val="00833581"/>
    <w:rsid w:val="008335FF"/>
    <w:rsid w:val="008336F3"/>
    <w:rsid w:val="008337C2"/>
    <w:rsid w:val="0083382C"/>
    <w:rsid w:val="008338A3"/>
    <w:rsid w:val="00833A28"/>
    <w:rsid w:val="00833B6E"/>
    <w:rsid w:val="00833C65"/>
    <w:rsid w:val="00833D59"/>
    <w:rsid w:val="00833D60"/>
    <w:rsid w:val="00833D94"/>
    <w:rsid w:val="00833E05"/>
    <w:rsid w:val="00833F04"/>
    <w:rsid w:val="00833F92"/>
    <w:rsid w:val="0083405B"/>
    <w:rsid w:val="008340FB"/>
    <w:rsid w:val="0083419E"/>
    <w:rsid w:val="00834219"/>
    <w:rsid w:val="00834321"/>
    <w:rsid w:val="008344E1"/>
    <w:rsid w:val="008344E7"/>
    <w:rsid w:val="00834523"/>
    <w:rsid w:val="0083455F"/>
    <w:rsid w:val="008345AD"/>
    <w:rsid w:val="00834607"/>
    <w:rsid w:val="008346FA"/>
    <w:rsid w:val="008347FD"/>
    <w:rsid w:val="0083487A"/>
    <w:rsid w:val="0083489A"/>
    <w:rsid w:val="00834B01"/>
    <w:rsid w:val="00834B2F"/>
    <w:rsid w:val="00834C09"/>
    <w:rsid w:val="00834C8F"/>
    <w:rsid w:val="00834C9B"/>
    <w:rsid w:val="00834D11"/>
    <w:rsid w:val="00834D36"/>
    <w:rsid w:val="00834FBD"/>
    <w:rsid w:val="008350D0"/>
    <w:rsid w:val="00835193"/>
    <w:rsid w:val="008351FA"/>
    <w:rsid w:val="00835238"/>
    <w:rsid w:val="008352EE"/>
    <w:rsid w:val="008353AC"/>
    <w:rsid w:val="00835581"/>
    <w:rsid w:val="00835696"/>
    <w:rsid w:val="008356CA"/>
    <w:rsid w:val="008357A5"/>
    <w:rsid w:val="00835811"/>
    <w:rsid w:val="00835880"/>
    <w:rsid w:val="0083595B"/>
    <w:rsid w:val="008359D1"/>
    <w:rsid w:val="008359FE"/>
    <w:rsid w:val="00835A14"/>
    <w:rsid w:val="00835A19"/>
    <w:rsid w:val="00835B1A"/>
    <w:rsid w:val="00835B90"/>
    <w:rsid w:val="00835C0C"/>
    <w:rsid w:val="00835C77"/>
    <w:rsid w:val="00835D5F"/>
    <w:rsid w:val="00835E4D"/>
    <w:rsid w:val="00835F71"/>
    <w:rsid w:val="008360B7"/>
    <w:rsid w:val="00836214"/>
    <w:rsid w:val="00836260"/>
    <w:rsid w:val="008362C0"/>
    <w:rsid w:val="0083655A"/>
    <w:rsid w:val="008366FB"/>
    <w:rsid w:val="00836749"/>
    <w:rsid w:val="00836955"/>
    <w:rsid w:val="00836BD8"/>
    <w:rsid w:val="00836CB4"/>
    <w:rsid w:val="00836CF7"/>
    <w:rsid w:val="00836D3B"/>
    <w:rsid w:val="00836DC4"/>
    <w:rsid w:val="00836DE8"/>
    <w:rsid w:val="00836EB9"/>
    <w:rsid w:val="00836EF5"/>
    <w:rsid w:val="00836F8C"/>
    <w:rsid w:val="00836FC7"/>
    <w:rsid w:val="00836FDA"/>
    <w:rsid w:val="00837193"/>
    <w:rsid w:val="00837200"/>
    <w:rsid w:val="00837211"/>
    <w:rsid w:val="008374CD"/>
    <w:rsid w:val="00837557"/>
    <w:rsid w:val="0083768B"/>
    <w:rsid w:val="00837733"/>
    <w:rsid w:val="008377D2"/>
    <w:rsid w:val="0083784C"/>
    <w:rsid w:val="008378B6"/>
    <w:rsid w:val="00837A63"/>
    <w:rsid w:val="00837AE9"/>
    <w:rsid w:val="00837B14"/>
    <w:rsid w:val="00837C51"/>
    <w:rsid w:val="00837CA7"/>
    <w:rsid w:val="00837CC0"/>
    <w:rsid w:val="00837FB9"/>
    <w:rsid w:val="00837FD4"/>
    <w:rsid w:val="008400B9"/>
    <w:rsid w:val="0084018D"/>
    <w:rsid w:val="0084031B"/>
    <w:rsid w:val="0084031D"/>
    <w:rsid w:val="00840390"/>
    <w:rsid w:val="008403C9"/>
    <w:rsid w:val="008404BD"/>
    <w:rsid w:val="00840529"/>
    <w:rsid w:val="00840635"/>
    <w:rsid w:val="008407B0"/>
    <w:rsid w:val="008408F8"/>
    <w:rsid w:val="0084095D"/>
    <w:rsid w:val="00840D1B"/>
    <w:rsid w:val="00840D5D"/>
    <w:rsid w:val="00840D80"/>
    <w:rsid w:val="00840DBC"/>
    <w:rsid w:val="00840FAE"/>
    <w:rsid w:val="00841034"/>
    <w:rsid w:val="008411D4"/>
    <w:rsid w:val="008411DF"/>
    <w:rsid w:val="0084126F"/>
    <w:rsid w:val="008412B6"/>
    <w:rsid w:val="008413D9"/>
    <w:rsid w:val="008413F5"/>
    <w:rsid w:val="00841409"/>
    <w:rsid w:val="008414FF"/>
    <w:rsid w:val="008416C2"/>
    <w:rsid w:val="00841869"/>
    <w:rsid w:val="008418E4"/>
    <w:rsid w:val="00841A54"/>
    <w:rsid w:val="00841AAD"/>
    <w:rsid w:val="00841C8B"/>
    <w:rsid w:val="00841DB1"/>
    <w:rsid w:val="00841EC9"/>
    <w:rsid w:val="00841F97"/>
    <w:rsid w:val="00841FE3"/>
    <w:rsid w:val="0084211C"/>
    <w:rsid w:val="008422F9"/>
    <w:rsid w:val="008423AA"/>
    <w:rsid w:val="008423C4"/>
    <w:rsid w:val="00842431"/>
    <w:rsid w:val="00842535"/>
    <w:rsid w:val="00842561"/>
    <w:rsid w:val="0084258E"/>
    <w:rsid w:val="008425E8"/>
    <w:rsid w:val="0084261C"/>
    <w:rsid w:val="00842683"/>
    <w:rsid w:val="008428CC"/>
    <w:rsid w:val="008429AC"/>
    <w:rsid w:val="00842A5F"/>
    <w:rsid w:val="00842B30"/>
    <w:rsid w:val="00842B57"/>
    <w:rsid w:val="00842B69"/>
    <w:rsid w:val="00842BB9"/>
    <w:rsid w:val="00842BBB"/>
    <w:rsid w:val="00842C26"/>
    <w:rsid w:val="00842D3A"/>
    <w:rsid w:val="00842E31"/>
    <w:rsid w:val="00842EEF"/>
    <w:rsid w:val="00843085"/>
    <w:rsid w:val="00843193"/>
    <w:rsid w:val="0084321E"/>
    <w:rsid w:val="008433C4"/>
    <w:rsid w:val="00843410"/>
    <w:rsid w:val="008434F2"/>
    <w:rsid w:val="008435EE"/>
    <w:rsid w:val="00843776"/>
    <w:rsid w:val="00843795"/>
    <w:rsid w:val="008438C9"/>
    <w:rsid w:val="00843976"/>
    <w:rsid w:val="008439F3"/>
    <w:rsid w:val="00843B0E"/>
    <w:rsid w:val="00843B74"/>
    <w:rsid w:val="00843C10"/>
    <w:rsid w:val="00843CEE"/>
    <w:rsid w:val="00843E44"/>
    <w:rsid w:val="00843EF7"/>
    <w:rsid w:val="00843F11"/>
    <w:rsid w:val="00844028"/>
    <w:rsid w:val="0084416A"/>
    <w:rsid w:val="0084425E"/>
    <w:rsid w:val="008444AF"/>
    <w:rsid w:val="008444FE"/>
    <w:rsid w:val="0084472E"/>
    <w:rsid w:val="00844734"/>
    <w:rsid w:val="00844739"/>
    <w:rsid w:val="00844742"/>
    <w:rsid w:val="008447B1"/>
    <w:rsid w:val="008447FB"/>
    <w:rsid w:val="0084485C"/>
    <w:rsid w:val="00844892"/>
    <w:rsid w:val="00844A4D"/>
    <w:rsid w:val="00844A6B"/>
    <w:rsid w:val="00844AB3"/>
    <w:rsid w:val="00844AF5"/>
    <w:rsid w:val="00844C01"/>
    <w:rsid w:val="00844C0C"/>
    <w:rsid w:val="00844C25"/>
    <w:rsid w:val="00844C2F"/>
    <w:rsid w:val="00844E0B"/>
    <w:rsid w:val="00844F05"/>
    <w:rsid w:val="00844FBB"/>
    <w:rsid w:val="008451D6"/>
    <w:rsid w:val="008451FB"/>
    <w:rsid w:val="00845272"/>
    <w:rsid w:val="00845279"/>
    <w:rsid w:val="008452DD"/>
    <w:rsid w:val="00845466"/>
    <w:rsid w:val="00845817"/>
    <w:rsid w:val="0084583A"/>
    <w:rsid w:val="00845995"/>
    <w:rsid w:val="008459F0"/>
    <w:rsid w:val="00845A04"/>
    <w:rsid w:val="00845A81"/>
    <w:rsid w:val="00845C53"/>
    <w:rsid w:val="00845CA6"/>
    <w:rsid w:val="00845CD2"/>
    <w:rsid w:val="00845E23"/>
    <w:rsid w:val="00845EBE"/>
    <w:rsid w:val="00845F77"/>
    <w:rsid w:val="00845F83"/>
    <w:rsid w:val="0084611F"/>
    <w:rsid w:val="0084628B"/>
    <w:rsid w:val="008462C0"/>
    <w:rsid w:val="008462E3"/>
    <w:rsid w:val="008463A6"/>
    <w:rsid w:val="0084642C"/>
    <w:rsid w:val="00846642"/>
    <w:rsid w:val="008467A2"/>
    <w:rsid w:val="008467C0"/>
    <w:rsid w:val="008469BB"/>
    <w:rsid w:val="00846CD1"/>
    <w:rsid w:val="00846D7B"/>
    <w:rsid w:val="00846DAA"/>
    <w:rsid w:val="00846DC8"/>
    <w:rsid w:val="00846E3E"/>
    <w:rsid w:val="00846E4C"/>
    <w:rsid w:val="00846E81"/>
    <w:rsid w:val="00846FB7"/>
    <w:rsid w:val="0084707E"/>
    <w:rsid w:val="008470D7"/>
    <w:rsid w:val="008470F1"/>
    <w:rsid w:val="0084718E"/>
    <w:rsid w:val="008471BA"/>
    <w:rsid w:val="0084720F"/>
    <w:rsid w:val="00847337"/>
    <w:rsid w:val="00847552"/>
    <w:rsid w:val="00847793"/>
    <w:rsid w:val="00847914"/>
    <w:rsid w:val="00847A6A"/>
    <w:rsid w:val="00847B64"/>
    <w:rsid w:val="00847B8D"/>
    <w:rsid w:val="00847BC6"/>
    <w:rsid w:val="00847BCA"/>
    <w:rsid w:val="00847D52"/>
    <w:rsid w:val="00847D72"/>
    <w:rsid w:val="00847E54"/>
    <w:rsid w:val="00847E60"/>
    <w:rsid w:val="00847EEE"/>
    <w:rsid w:val="00847FA6"/>
    <w:rsid w:val="00847FDE"/>
    <w:rsid w:val="00847FDF"/>
    <w:rsid w:val="00847FF1"/>
    <w:rsid w:val="00850297"/>
    <w:rsid w:val="0085035B"/>
    <w:rsid w:val="0085041A"/>
    <w:rsid w:val="00850515"/>
    <w:rsid w:val="00850516"/>
    <w:rsid w:val="00850526"/>
    <w:rsid w:val="00850556"/>
    <w:rsid w:val="00850564"/>
    <w:rsid w:val="008505D0"/>
    <w:rsid w:val="0085064A"/>
    <w:rsid w:val="00850692"/>
    <w:rsid w:val="00850757"/>
    <w:rsid w:val="00850791"/>
    <w:rsid w:val="00850832"/>
    <w:rsid w:val="00850839"/>
    <w:rsid w:val="00850987"/>
    <w:rsid w:val="008509D3"/>
    <w:rsid w:val="00850A26"/>
    <w:rsid w:val="00850AEB"/>
    <w:rsid w:val="00850B80"/>
    <w:rsid w:val="00850C70"/>
    <w:rsid w:val="00850CA2"/>
    <w:rsid w:val="00850D93"/>
    <w:rsid w:val="00850DBA"/>
    <w:rsid w:val="00850DC1"/>
    <w:rsid w:val="00850F74"/>
    <w:rsid w:val="00850F8B"/>
    <w:rsid w:val="0085103C"/>
    <w:rsid w:val="008510F3"/>
    <w:rsid w:val="00851163"/>
    <w:rsid w:val="00851179"/>
    <w:rsid w:val="0085117E"/>
    <w:rsid w:val="008511CB"/>
    <w:rsid w:val="00851204"/>
    <w:rsid w:val="008512E4"/>
    <w:rsid w:val="0085130C"/>
    <w:rsid w:val="00851379"/>
    <w:rsid w:val="0085144C"/>
    <w:rsid w:val="00851475"/>
    <w:rsid w:val="0085149B"/>
    <w:rsid w:val="008515DD"/>
    <w:rsid w:val="008516E6"/>
    <w:rsid w:val="0085174C"/>
    <w:rsid w:val="00851758"/>
    <w:rsid w:val="008517EF"/>
    <w:rsid w:val="008518E4"/>
    <w:rsid w:val="008519A1"/>
    <w:rsid w:val="00851BD7"/>
    <w:rsid w:val="00851C09"/>
    <w:rsid w:val="00851CD1"/>
    <w:rsid w:val="00851CF8"/>
    <w:rsid w:val="00851D00"/>
    <w:rsid w:val="00851E0C"/>
    <w:rsid w:val="00851E1F"/>
    <w:rsid w:val="00851E4D"/>
    <w:rsid w:val="00851F66"/>
    <w:rsid w:val="00852144"/>
    <w:rsid w:val="008521AA"/>
    <w:rsid w:val="00852310"/>
    <w:rsid w:val="00852313"/>
    <w:rsid w:val="00852353"/>
    <w:rsid w:val="00852395"/>
    <w:rsid w:val="00852700"/>
    <w:rsid w:val="00852759"/>
    <w:rsid w:val="008528FB"/>
    <w:rsid w:val="008529A4"/>
    <w:rsid w:val="00852A74"/>
    <w:rsid w:val="00852B4E"/>
    <w:rsid w:val="00852B67"/>
    <w:rsid w:val="00852C52"/>
    <w:rsid w:val="00852C7D"/>
    <w:rsid w:val="00852C8C"/>
    <w:rsid w:val="00852D33"/>
    <w:rsid w:val="00852D36"/>
    <w:rsid w:val="00852DCF"/>
    <w:rsid w:val="00852E5E"/>
    <w:rsid w:val="00853036"/>
    <w:rsid w:val="00853114"/>
    <w:rsid w:val="008532DD"/>
    <w:rsid w:val="008532F3"/>
    <w:rsid w:val="00853327"/>
    <w:rsid w:val="00853389"/>
    <w:rsid w:val="0085344A"/>
    <w:rsid w:val="0085347C"/>
    <w:rsid w:val="00853484"/>
    <w:rsid w:val="00853627"/>
    <w:rsid w:val="0085367F"/>
    <w:rsid w:val="00853719"/>
    <w:rsid w:val="00853773"/>
    <w:rsid w:val="00853777"/>
    <w:rsid w:val="008537C6"/>
    <w:rsid w:val="00853811"/>
    <w:rsid w:val="00853828"/>
    <w:rsid w:val="00853C20"/>
    <w:rsid w:val="00853C42"/>
    <w:rsid w:val="00853D28"/>
    <w:rsid w:val="00853D7E"/>
    <w:rsid w:val="00853EDF"/>
    <w:rsid w:val="00853EE2"/>
    <w:rsid w:val="00853F1E"/>
    <w:rsid w:val="00854152"/>
    <w:rsid w:val="00854159"/>
    <w:rsid w:val="00854176"/>
    <w:rsid w:val="008541B1"/>
    <w:rsid w:val="0085447D"/>
    <w:rsid w:val="008544D9"/>
    <w:rsid w:val="0085460F"/>
    <w:rsid w:val="0085473B"/>
    <w:rsid w:val="00854898"/>
    <w:rsid w:val="0085491B"/>
    <w:rsid w:val="00854930"/>
    <w:rsid w:val="00854BC5"/>
    <w:rsid w:val="00854D63"/>
    <w:rsid w:val="00854D88"/>
    <w:rsid w:val="00854E0E"/>
    <w:rsid w:val="00854EEB"/>
    <w:rsid w:val="00854F1F"/>
    <w:rsid w:val="0085502F"/>
    <w:rsid w:val="00855097"/>
    <w:rsid w:val="008550B7"/>
    <w:rsid w:val="0085513E"/>
    <w:rsid w:val="00855170"/>
    <w:rsid w:val="008551FF"/>
    <w:rsid w:val="00855267"/>
    <w:rsid w:val="008553AD"/>
    <w:rsid w:val="00855446"/>
    <w:rsid w:val="00855474"/>
    <w:rsid w:val="008554BF"/>
    <w:rsid w:val="00855534"/>
    <w:rsid w:val="008555E1"/>
    <w:rsid w:val="00855648"/>
    <w:rsid w:val="008556A7"/>
    <w:rsid w:val="008556EB"/>
    <w:rsid w:val="00855733"/>
    <w:rsid w:val="0085574A"/>
    <w:rsid w:val="0085582B"/>
    <w:rsid w:val="00855869"/>
    <w:rsid w:val="00855951"/>
    <w:rsid w:val="008559A9"/>
    <w:rsid w:val="008559C5"/>
    <w:rsid w:val="00855ADB"/>
    <w:rsid w:val="00855BA2"/>
    <w:rsid w:val="00855C8C"/>
    <w:rsid w:val="00855DE8"/>
    <w:rsid w:val="00855E3D"/>
    <w:rsid w:val="00855E5F"/>
    <w:rsid w:val="00855F1E"/>
    <w:rsid w:val="00856049"/>
    <w:rsid w:val="00856134"/>
    <w:rsid w:val="00856162"/>
    <w:rsid w:val="00856191"/>
    <w:rsid w:val="00856252"/>
    <w:rsid w:val="008562C1"/>
    <w:rsid w:val="008562F4"/>
    <w:rsid w:val="00856699"/>
    <w:rsid w:val="00856870"/>
    <w:rsid w:val="00856AEC"/>
    <w:rsid w:val="00856AFA"/>
    <w:rsid w:val="00856B02"/>
    <w:rsid w:val="00856B32"/>
    <w:rsid w:val="00856BC5"/>
    <w:rsid w:val="00856BD0"/>
    <w:rsid w:val="00856BEE"/>
    <w:rsid w:val="00856C85"/>
    <w:rsid w:val="00856E1E"/>
    <w:rsid w:val="00856F5E"/>
    <w:rsid w:val="00856F77"/>
    <w:rsid w:val="00856FC7"/>
    <w:rsid w:val="008570B4"/>
    <w:rsid w:val="008573F7"/>
    <w:rsid w:val="00857432"/>
    <w:rsid w:val="00857518"/>
    <w:rsid w:val="0085756A"/>
    <w:rsid w:val="008575AF"/>
    <w:rsid w:val="008575D9"/>
    <w:rsid w:val="00857612"/>
    <w:rsid w:val="00857689"/>
    <w:rsid w:val="008576F9"/>
    <w:rsid w:val="00857934"/>
    <w:rsid w:val="008579B4"/>
    <w:rsid w:val="00857A82"/>
    <w:rsid w:val="00857AAB"/>
    <w:rsid w:val="00857B70"/>
    <w:rsid w:val="00857C03"/>
    <w:rsid w:val="00857D8C"/>
    <w:rsid w:val="00857DAA"/>
    <w:rsid w:val="00857E0F"/>
    <w:rsid w:val="00857FBE"/>
    <w:rsid w:val="008600A3"/>
    <w:rsid w:val="00860312"/>
    <w:rsid w:val="008603B2"/>
    <w:rsid w:val="008603C9"/>
    <w:rsid w:val="008603F7"/>
    <w:rsid w:val="008604CC"/>
    <w:rsid w:val="0086059B"/>
    <w:rsid w:val="008605BC"/>
    <w:rsid w:val="00860681"/>
    <w:rsid w:val="00860685"/>
    <w:rsid w:val="00860752"/>
    <w:rsid w:val="00860783"/>
    <w:rsid w:val="0086086B"/>
    <w:rsid w:val="008609A8"/>
    <w:rsid w:val="00860AC4"/>
    <w:rsid w:val="00860AE9"/>
    <w:rsid w:val="00860B48"/>
    <w:rsid w:val="00860BAE"/>
    <w:rsid w:val="00860D01"/>
    <w:rsid w:val="00860D6D"/>
    <w:rsid w:val="00860D7B"/>
    <w:rsid w:val="00860D85"/>
    <w:rsid w:val="00860E93"/>
    <w:rsid w:val="00860ED1"/>
    <w:rsid w:val="00860F04"/>
    <w:rsid w:val="00860F10"/>
    <w:rsid w:val="00860F11"/>
    <w:rsid w:val="00860FBF"/>
    <w:rsid w:val="00861021"/>
    <w:rsid w:val="00861145"/>
    <w:rsid w:val="008611A7"/>
    <w:rsid w:val="00861251"/>
    <w:rsid w:val="008613ED"/>
    <w:rsid w:val="008614AA"/>
    <w:rsid w:val="0086157F"/>
    <w:rsid w:val="008615F8"/>
    <w:rsid w:val="0086180A"/>
    <w:rsid w:val="0086181A"/>
    <w:rsid w:val="0086183F"/>
    <w:rsid w:val="008618CA"/>
    <w:rsid w:val="00861952"/>
    <w:rsid w:val="00861A17"/>
    <w:rsid w:val="00861ABA"/>
    <w:rsid w:val="00861CCF"/>
    <w:rsid w:val="00861D73"/>
    <w:rsid w:val="00861D76"/>
    <w:rsid w:val="00861ECD"/>
    <w:rsid w:val="0086204C"/>
    <w:rsid w:val="0086205E"/>
    <w:rsid w:val="00862086"/>
    <w:rsid w:val="008622F7"/>
    <w:rsid w:val="00862483"/>
    <w:rsid w:val="008624FF"/>
    <w:rsid w:val="00862566"/>
    <w:rsid w:val="008626BD"/>
    <w:rsid w:val="00862733"/>
    <w:rsid w:val="0086279D"/>
    <w:rsid w:val="00862909"/>
    <w:rsid w:val="00862997"/>
    <w:rsid w:val="008629B1"/>
    <w:rsid w:val="008629F0"/>
    <w:rsid w:val="00862A44"/>
    <w:rsid w:val="00862BA0"/>
    <w:rsid w:val="00862BA1"/>
    <w:rsid w:val="00862C99"/>
    <w:rsid w:val="00862CB7"/>
    <w:rsid w:val="00862D64"/>
    <w:rsid w:val="00862D7D"/>
    <w:rsid w:val="00862DAB"/>
    <w:rsid w:val="00862E22"/>
    <w:rsid w:val="00862E93"/>
    <w:rsid w:val="00862EC0"/>
    <w:rsid w:val="00862F15"/>
    <w:rsid w:val="00862F77"/>
    <w:rsid w:val="00862FAB"/>
    <w:rsid w:val="00863002"/>
    <w:rsid w:val="0086310D"/>
    <w:rsid w:val="00863193"/>
    <w:rsid w:val="008631A6"/>
    <w:rsid w:val="00863216"/>
    <w:rsid w:val="0086324E"/>
    <w:rsid w:val="0086325C"/>
    <w:rsid w:val="0086336F"/>
    <w:rsid w:val="00863414"/>
    <w:rsid w:val="0086349D"/>
    <w:rsid w:val="00863553"/>
    <w:rsid w:val="00863587"/>
    <w:rsid w:val="008635A0"/>
    <w:rsid w:val="008635CA"/>
    <w:rsid w:val="0086369D"/>
    <w:rsid w:val="00863750"/>
    <w:rsid w:val="0086379D"/>
    <w:rsid w:val="0086383B"/>
    <w:rsid w:val="00863847"/>
    <w:rsid w:val="00863890"/>
    <w:rsid w:val="00863918"/>
    <w:rsid w:val="00863AA5"/>
    <w:rsid w:val="00863C5A"/>
    <w:rsid w:val="00863D73"/>
    <w:rsid w:val="00863E79"/>
    <w:rsid w:val="00863EA7"/>
    <w:rsid w:val="00863F47"/>
    <w:rsid w:val="00863FE4"/>
    <w:rsid w:val="008641D4"/>
    <w:rsid w:val="008641E7"/>
    <w:rsid w:val="008641F8"/>
    <w:rsid w:val="0086422A"/>
    <w:rsid w:val="00864324"/>
    <w:rsid w:val="0086433D"/>
    <w:rsid w:val="00864387"/>
    <w:rsid w:val="0086439A"/>
    <w:rsid w:val="0086442B"/>
    <w:rsid w:val="0086459F"/>
    <w:rsid w:val="008647D7"/>
    <w:rsid w:val="0086498F"/>
    <w:rsid w:val="008649AE"/>
    <w:rsid w:val="00864AB0"/>
    <w:rsid w:val="00864B68"/>
    <w:rsid w:val="00864B8B"/>
    <w:rsid w:val="00864CAE"/>
    <w:rsid w:val="00864D85"/>
    <w:rsid w:val="00864E75"/>
    <w:rsid w:val="00864EBD"/>
    <w:rsid w:val="00864F12"/>
    <w:rsid w:val="00864F15"/>
    <w:rsid w:val="00864FA8"/>
    <w:rsid w:val="00865020"/>
    <w:rsid w:val="0086504D"/>
    <w:rsid w:val="0086506F"/>
    <w:rsid w:val="00865147"/>
    <w:rsid w:val="0086514D"/>
    <w:rsid w:val="00865237"/>
    <w:rsid w:val="0086529A"/>
    <w:rsid w:val="008653F7"/>
    <w:rsid w:val="0086542F"/>
    <w:rsid w:val="008654F0"/>
    <w:rsid w:val="00865521"/>
    <w:rsid w:val="00865640"/>
    <w:rsid w:val="0086576B"/>
    <w:rsid w:val="0086585A"/>
    <w:rsid w:val="00865874"/>
    <w:rsid w:val="008658BE"/>
    <w:rsid w:val="008658C0"/>
    <w:rsid w:val="0086590D"/>
    <w:rsid w:val="00865A49"/>
    <w:rsid w:val="00865A56"/>
    <w:rsid w:val="00865B99"/>
    <w:rsid w:val="00865BEB"/>
    <w:rsid w:val="00865C4C"/>
    <w:rsid w:val="00865D60"/>
    <w:rsid w:val="00865D6F"/>
    <w:rsid w:val="00865DF9"/>
    <w:rsid w:val="00865E33"/>
    <w:rsid w:val="00865EBA"/>
    <w:rsid w:val="00865ED9"/>
    <w:rsid w:val="00865FA3"/>
    <w:rsid w:val="008660DF"/>
    <w:rsid w:val="008660ED"/>
    <w:rsid w:val="008661B3"/>
    <w:rsid w:val="0086623A"/>
    <w:rsid w:val="00866255"/>
    <w:rsid w:val="008662E2"/>
    <w:rsid w:val="0086634F"/>
    <w:rsid w:val="0086638A"/>
    <w:rsid w:val="0086647D"/>
    <w:rsid w:val="008664DD"/>
    <w:rsid w:val="008665EE"/>
    <w:rsid w:val="0086682B"/>
    <w:rsid w:val="008668A8"/>
    <w:rsid w:val="008669AD"/>
    <w:rsid w:val="008669CD"/>
    <w:rsid w:val="008669D2"/>
    <w:rsid w:val="00866AFD"/>
    <w:rsid w:val="00866B36"/>
    <w:rsid w:val="00866BA7"/>
    <w:rsid w:val="00866BF9"/>
    <w:rsid w:val="00866C73"/>
    <w:rsid w:val="00866D2F"/>
    <w:rsid w:val="00866DD1"/>
    <w:rsid w:val="00866EFC"/>
    <w:rsid w:val="0086700E"/>
    <w:rsid w:val="00867027"/>
    <w:rsid w:val="00867040"/>
    <w:rsid w:val="008671C7"/>
    <w:rsid w:val="008672E8"/>
    <w:rsid w:val="008675BF"/>
    <w:rsid w:val="0086760F"/>
    <w:rsid w:val="0086769A"/>
    <w:rsid w:val="00867A35"/>
    <w:rsid w:val="00867B27"/>
    <w:rsid w:val="00867BA6"/>
    <w:rsid w:val="00867C49"/>
    <w:rsid w:val="00867E7E"/>
    <w:rsid w:val="00867E88"/>
    <w:rsid w:val="00867EBA"/>
    <w:rsid w:val="00867F0A"/>
    <w:rsid w:val="00867F2F"/>
    <w:rsid w:val="00867F7B"/>
    <w:rsid w:val="00867F82"/>
    <w:rsid w:val="00867FB9"/>
    <w:rsid w:val="00867FC8"/>
    <w:rsid w:val="00867FF3"/>
    <w:rsid w:val="0087017F"/>
    <w:rsid w:val="008702B2"/>
    <w:rsid w:val="008702DF"/>
    <w:rsid w:val="00870323"/>
    <w:rsid w:val="00870483"/>
    <w:rsid w:val="00870688"/>
    <w:rsid w:val="008707B9"/>
    <w:rsid w:val="008707FC"/>
    <w:rsid w:val="00870911"/>
    <w:rsid w:val="00870920"/>
    <w:rsid w:val="00870948"/>
    <w:rsid w:val="0087094F"/>
    <w:rsid w:val="00870C24"/>
    <w:rsid w:val="00870C8F"/>
    <w:rsid w:val="00870D3B"/>
    <w:rsid w:val="00870DB4"/>
    <w:rsid w:val="00870E00"/>
    <w:rsid w:val="00870EA8"/>
    <w:rsid w:val="00870F75"/>
    <w:rsid w:val="0087106B"/>
    <w:rsid w:val="00871074"/>
    <w:rsid w:val="008714BF"/>
    <w:rsid w:val="008714E1"/>
    <w:rsid w:val="0087165A"/>
    <w:rsid w:val="008717E6"/>
    <w:rsid w:val="0087184E"/>
    <w:rsid w:val="0087186D"/>
    <w:rsid w:val="00871905"/>
    <w:rsid w:val="008719EE"/>
    <w:rsid w:val="00871A81"/>
    <w:rsid w:val="00871CED"/>
    <w:rsid w:val="00871DE2"/>
    <w:rsid w:val="00871E55"/>
    <w:rsid w:val="00871F66"/>
    <w:rsid w:val="00872184"/>
    <w:rsid w:val="00872199"/>
    <w:rsid w:val="008721C8"/>
    <w:rsid w:val="00872260"/>
    <w:rsid w:val="00872269"/>
    <w:rsid w:val="008722C2"/>
    <w:rsid w:val="008723DD"/>
    <w:rsid w:val="008724C8"/>
    <w:rsid w:val="00872594"/>
    <w:rsid w:val="00872667"/>
    <w:rsid w:val="00872669"/>
    <w:rsid w:val="00872696"/>
    <w:rsid w:val="00872712"/>
    <w:rsid w:val="00872722"/>
    <w:rsid w:val="008727F6"/>
    <w:rsid w:val="00872849"/>
    <w:rsid w:val="00872CD0"/>
    <w:rsid w:val="00872CD3"/>
    <w:rsid w:val="00872D64"/>
    <w:rsid w:val="00872DF0"/>
    <w:rsid w:val="00872E49"/>
    <w:rsid w:val="00872F12"/>
    <w:rsid w:val="00873018"/>
    <w:rsid w:val="008730A0"/>
    <w:rsid w:val="00873154"/>
    <w:rsid w:val="00873167"/>
    <w:rsid w:val="0087324A"/>
    <w:rsid w:val="00873381"/>
    <w:rsid w:val="0087360F"/>
    <w:rsid w:val="008737B2"/>
    <w:rsid w:val="008737F2"/>
    <w:rsid w:val="008738C7"/>
    <w:rsid w:val="00873A1E"/>
    <w:rsid w:val="00873A67"/>
    <w:rsid w:val="00873A97"/>
    <w:rsid w:val="00873CAA"/>
    <w:rsid w:val="00873E81"/>
    <w:rsid w:val="00873EC4"/>
    <w:rsid w:val="00873F40"/>
    <w:rsid w:val="00873F6C"/>
    <w:rsid w:val="008741DD"/>
    <w:rsid w:val="0087428C"/>
    <w:rsid w:val="008742C7"/>
    <w:rsid w:val="008743F9"/>
    <w:rsid w:val="0087442E"/>
    <w:rsid w:val="00874446"/>
    <w:rsid w:val="00874460"/>
    <w:rsid w:val="008744DF"/>
    <w:rsid w:val="0087457F"/>
    <w:rsid w:val="008745D4"/>
    <w:rsid w:val="0087478B"/>
    <w:rsid w:val="0087479C"/>
    <w:rsid w:val="00874807"/>
    <w:rsid w:val="0087495D"/>
    <w:rsid w:val="00874A31"/>
    <w:rsid w:val="00874DA0"/>
    <w:rsid w:val="00874DF9"/>
    <w:rsid w:val="00874DFC"/>
    <w:rsid w:val="00874E48"/>
    <w:rsid w:val="00874F4C"/>
    <w:rsid w:val="00874F6A"/>
    <w:rsid w:val="00874F95"/>
    <w:rsid w:val="00875068"/>
    <w:rsid w:val="008750EF"/>
    <w:rsid w:val="0087513B"/>
    <w:rsid w:val="00875198"/>
    <w:rsid w:val="008751FB"/>
    <w:rsid w:val="0087523B"/>
    <w:rsid w:val="008752B0"/>
    <w:rsid w:val="008753E6"/>
    <w:rsid w:val="0087547E"/>
    <w:rsid w:val="00875618"/>
    <w:rsid w:val="0087568B"/>
    <w:rsid w:val="0087574D"/>
    <w:rsid w:val="00875833"/>
    <w:rsid w:val="008758CA"/>
    <w:rsid w:val="00875954"/>
    <w:rsid w:val="0087598B"/>
    <w:rsid w:val="008759BA"/>
    <w:rsid w:val="00875AF5"/>
    <w:rsid w:val="00875B6E"/>
    <w:rsid w:val="00875C0C"/>
    <w:rsid w:val="00875C59"/>
    <w:rsid w:val="00875CE2"/>
    <w:rsid w:val="00875D30"/>
    <w:rsid w:val="00875D99"/>
    <w:rsid w:val="00875E2F"/>
    <w:rsid w:val="00875F7D"/>
    <w:rsid w:val="00875FFF"/>
    <w:rsid w:val="00876106"/>
    <w:rsid w:val="00876358"/>
    <w:rsid w:val="00876389"/>
    <w:rsid w:val="008763A2"/>
    <w:rsid w:val="0087642D"/>
    <w:rsid w:val="00876619"/>
    <w:rsid w:val="00876648"/>
    <w:rsid w:val="0087665D"/>
    <w:rsid w:val="0087692B"/>
    <w:rsid w:val="00876A11"/>
    <w:rsid w:val="00876A94"/>
    <w:rsid w:val="00876B32"/>
    <w:rsid w:val="00876B70"/>
    <w:rsid w:val="00876B9C"/>
    <w:rsid w:val="00876CAE"/>
    <w:rsid w:val="00876CDB"/>
    <w:rsid w:val="00876D59"/>
    <w:rsid w:val="00876D5D"/>
    <w:rsid w:val="00876DB9"/>
    <w:rsid w:val="00876E7A"/>
    <w:rsid w:val="00877053"/>
    <w:rsid w:val="00877137"/>
    <w:rsid w:val="008771FB"/>
    <w:rsid w:val="00877285"/>
    <w:rsid w:val="008772E8"/>
    <w:rsid w:val="008772ED"/>
    <w:rsid w:val="0087748D"/>
    <w:rsid w:val="008775EF"/>
    <w:rsid w:val="00877645"/>
    <w:rsid w:val="0087771F"/>
    <w:rsid w:val="008777DF"/>
    <w:rsid w:val="008778F4"/>
    <w:rsid w:val="008779DC"/>
    <w:rsid w:val="00877A00"/>
    <w:rsid w:val="00877AA4"/>
    <w:rsid w:val="00877ABA"/>
    <w:rsid w:val="00877AD1"/>
    <w:rsid w:val="00877ADF"/>
    <w:rsid w:val="00877C8A"/>
    <w:rsid w:val="00877FE0"/>
    <w:rsid w:val="00880081"/>
    <w:rsid w:val="00880144"/>
    <w:rsid w:val="008801E8"/>
    <w:rsid w:val="0088032D"/>
    <w:rsid w:val="008803A8"/>
    <w:rsid w:val="00880400"/>
    <w:rsid w:val="0088041E"/>
    <w:rsid w:val="00880620"/>
    <w:rsid w:val="00880637"/>
    <w:rsid w:val="00880766"/>
    <w:rsid w:val="008807A8"/>
    <w:rsid w:val="00880811"/>
    <w:rsid w:val="00880824"/>
    <w:rsid w:val="0088082A"/>
    <w:rsid w:val="008809EB"/>
    <w:rsid w:val="008809F6"/>
    <w:rsid w:val="00880AB4"/>
    <w:rsid w:val="00880C7F"/>
    <w:rsid w:val="00880CA1"/>
    <w:rsid w:val="00880DF5"/>
    <w:rsid w:val="00880EC4"/>
    <w:rsid w:val="00880F1B"/>
    <w:rsid w:val="00881011"/>
    <w:rsid w:val="00881012"/>
    <w:rsid w:val="0088105D"/>
    <w:rsid w:val="008810DC"/>
    <w:rsid w:val="008812ED"/>
    <w:rsid w:val="00881410"/>
    <w:rsid w:val="0088145F"/>
    <w:rsid w:val="008814A3"/>
    <w:rsid w:val="008815F5"/>
    <w:rsid w:val="0088163A"/>
    <w:rsid w:val="00881735"/>
    <w:rsid w:val="00881746"/>
    <w:rsid w:val="0088175C"/>
    <w:rsid w:val="008817D9"/>
    <w:rsid w:val="0088181F"/>
    <w:rsid w:val="008818B5"/>
    <w:rsid w:val="0088191C"/>
    <w:rsid w:val="0088197A"/>
    <w:rsid w:val="008819B6"/>
    <w:rsid w:val="00881A97"/>
    <w:rsid w:val="00881ABB"/>
    <w:rsid w:val="00881F1E"/>
    <w:rsid w:val="00881F90"/>
    <w:rsid w:val="00882012"/>
    <w:rsid w:val="008820D3"/>
    <w:rsid w:val="008820F1"/>
    <w:rsid w:val="0088228B"/>
    <w:rsid w:val="00882391"/>
    <w:rsid w:val="00882438"/>
    <w:rsid w:val="0088248B"/>
    <w:rsid w:val="0088248E"/>
    <w:rsid w:val="00882493"/>
    <w:rsid w:val="008824B1"/>
    <w:rsid w:val="008824D5"/>
    <w:rsid w:val="00882577"/>
    <w:rsid w:val="0088261B"/>
    <w:rsid w:val="00882652"/>
    <w:rsid w:val="0088272B"/>
    <w:rsid w:val="0088291A"/>
    <w:rsid w:val="00882B05"/>
    <w:rsid w:val="00882B6E"/>
    <w:rsid w:val="00882C4C"/>
    <w:rsid w:val="00882CA8"/>
    <w:rsid w:val="00882D2B"/>
    <w:rsid w:val="00882EA7"/>
    <w:rsid w:val="00882ED5"/>
    <w:rsid w:val="00882F14"/>
    <w:rsid w:val="008830C0"/>
    <w:rsid w:val="008830FC"/>
    <w:rsid w:val="0088336D"/>
    <w:rsid w:val="008833AA"/>
    <w:rsid w:val="008833D4"/>
    <w:rsid w:val="0088351C"/>
    <w:rsid w:val="008835F4"/>
    <w:rsid w:val="00883649"/>
    <w:rsid w:val="00883720"/>
    <w:rsid w:val="008837D5"/>
    <w:rsid w:val="00883846"/>
    <w:rsid w:val="00883901"/>
    <w:rsid w:val="0088395C"/>
    <w:rsid w:val="00883B52"/>
    <w:rsid w:val="00883B56"/>
    <w:rsid w:val="00883BB7"/>
    <w:rsid w:val="00883C12"/>
    <w:rsid w:val="00883E8A"/>
    <w:rsid w:val="00884042"/>
    <w:rsid w:val="008840F5"/>
    <w:rsid w:val="00884331"/>
    <w:rsid w:val="00884370"/>
    <w:rsid w:val="00884548"/>
    <w:rsid w:val="0088459E"/>
    <w:rsid w:val="008845F3"/>
    <w:rsid w:val="00884614"/>
    <w:rsid w:val="00884648"/>
    <w:rsid w:val="008846FE"/>
    <w:rsid w:val="00884772"/>
    <w:rsid w:val="0088483D"/>
    <w:rsid w:val="00884855"/>
    <w:rsid w:val="0088490B"/>
    <w:rsid w:val="00884917"/>
    <w:rsid w:val="008849D0"/>
    <w:rsid w:val="00884ADA"/>
    <w:rsid w:val="00884BA7"/>
    <w:rsid w:val="00884CCC"/>
    <w:rsid w:val="00884F2A"/>
    <w:rsid w:val="00884F68"/>
    <w:rsid w:val="0088508C"/>
    <w:rsid w:val="008852C3"/>
    <w:rsid w:val="0088536D"/>
    <w:rsid w:val="0088563B"/>
    <w:rsid w:val="00885674"/>
    <w:rsid w:val="00885705"/>
    <w:rsid w:val="0088575C"/>
    <w:rsid w:val="00885775"/>
    <w:rsid w:val="0088596F"/>
    <w:rsid w:val="00885972"/>
    <w:rsid w:val="008859C2"/>
    <w:rsid w:val="00885C7D"/>
    <w:rsid w:val="00885CC4"/>
    <w:rsid w:val="00885CF9"/>
    <w:rsid w:val="00885D9F"/>
    <w:rsid w:val="00885E53"/>
    <w:rsid w:val="00885F04"/>
    <w:rsid w:val="00885F11"/>
    <w:rsid w:val="00885FF7"/>
    <w:rsid w:val="0088600C"/>
    <w:rsid w:val="00886020"/>
    <w:rsid w:val="0088617F"/>
    <w:rsid w:val="00886196"/>
    <w:rsid w:val="00886249"/>
    <w:rsid w:val="00886537"/>
    <w:rsid w:val="00886545"/>
    <w:rsid w:val="008865D8"/>
    <w:rsid w:val="008866A2"/>
    <w:rsid w:val="008868F5"/>
    <w:rsid w:val="00886924"/>
    <w:rsid w:val="00886934"/>
    <w:rsid w:val="008869D0"/>
    <w:rsid w:val="00886A01"/>
    <w:rsid w:val="00886B4C"/>
    <w:rsid w:val="00886BE0"/>
    <w:rsid w:val="00886C16"/>
    <w:rsid w:val="00886C30"/>
    <w:rsid w:val="00886CC2"/>
    <w:rsid w:val="00886CF8"/>
    <w:rsid w:val="00886E08"/>
    <w:rsid w:val="00886FF0"/>
    <w:rsid w:val="0088700D"/>
    <w:rsid w:val="00887041"/>
    <w:rsid w:val="0088715C"/>
    <w:rsid w:val="00887199"/>
    <w:rsid w:val="00887329"/>
    <w:rsid w:val="0088732C"/>
    <w:rsid w:val="00887338"/>
    <w:rsid w:val="0088744D"/>
    <w:rsid w:val="00887502"/>
    <w:rsid w:val="00887585"/>
    <w:rsid w:val="008875D3"/>
    <w:rsid w:val="008875E0"/>
    <w:rsid w:val="00887696"/>
    <w:rsid w:val="008876A4"/>
    <w:rsid w:val="0088794C"/>
    <w:rsid w:val="00887B0D"/>
    <w:rsid w:val="00887C68"/>
    <w:rsid w:val="00887CA1"/>
    <w:rsid w:val="00887E17"/>
    <w:rsid w:val="00887F59"/>
    <w:rsid w:val="008901B8"/>
    <w:rsid w:val="008901BF"/>
    <w:rsid w:val="00890362"/>
    <w:rsid w:val="00890605"/>
    <w:rsid w:val="0089060D"/>
    <w:rsid w:val="008906C5"/>
    <w:rsid w:val="0089086A"/>
    <w:rsid w:val="008908C3"/>
    <w:rsid w:val="0089090C"/>
    <w:rsid w:val="00890921"/>
    <w:rsid w:val="00890AE8"/>
    <w:rsid w:val="00890AFD"/>
    <w:rsid w:val="00890B79"/>
    <w:rsid w:val="00890C1B"/>
    <w:rsid w:val="00890C22"/>
    <w:rsid w:val="00890D2D"/>
    <w:rsid w:val="00890D88"/>
    <w:rsid w:val="00890DBC"/>
    <w:rsid w:val="00890EB7"/>
    <w:rsid w:val="00890F77"/>
    <w:rsid w:val="00890FAD"/>
    <w:rsid w:val="00890FEF"/>
    <w:rsid w:val="00891151"/>
    <w:rsid w:val="0089116A"/>
    <w:rsid w:val="008911BF"/>
    <w:rsid w:val="008912B5"/>
    <w:rsid w:val="00891341"/>
    <w:rsid w:val="0089134A"/>
    <w:rsid w:val="008913E3"/>
    <w:rsid w:val="008916FE"/>
    <w:rsid w:val="0089184C"/>
    <w:rsid w:val="008918C4"/>
    <w:rsid w:val="00891901"/>
    <w:rsid w:val="00891A63"/>
    <w:rsid w:val="00891A82"/>
    <w:rsid w:val="00891AB0"/>
    <w:rsid w:val="00891D10"/>
    <w:rsid w:val="00891E18"/>
    <w:rsid w:val="0089203E"/>
    <w:rsid w:val="00892044"/>
    <w:rsid w:val="008920A1"/>
    <w:rsid w:val="00892104"/>
    <w:rsid w:val="0089216B"/>
    <w:rsid w:val="008921E3"/>
    <w:rsid w:val="0089231D"/>
    <w:rsid w:val="0089234C"/>
    <w:rsid w:val="008923DA"/>
    <w:rsid w:val="00892493"/>
    <w:rsid w:val="008924EC"/>
    <w:rsid w:val="00892582"/>
    <w:rsid w:val="008925D1"/>
    <w:rsid w:val="008925EA"/>
    <w:rsid w:val="008926D8"/>
    <w:rsid w:val="00892733"/>
    <w:rsid w:val="00892787"/>
    <w:rsid w:val="008927D8"/>
    <w:rsid w:val="00892807"/>
    <w:rsid w:val="00892943"/>
    <w:rsid w:val="00892A49"/>
    <w:rsid w:val="00892AE2"/>
    <w:rsid w:val="00892BA5"/>
    <w:rsid w:val="00892C63"/>
    <w:rsid w:val="00892D33"/>
    <w:rsid w:val="00892D4D"/>
    <w:rsid w:val="0089302A"/>
    <w:rsid w:val="00893078"/>
    <w:rsid w:val="008930AF"/>
    <w:rsid w:val="00893186"/>
    <w:rsid w:val="008931A6"/>
    <w:rsid w:val="008931C3"/>
    <w:rsid w:val="008931EB"/>
    <w:rsid w:val="0089320C"/>
    <w:rsid w:val="008932D0"/>
    <w:rsid w:val="00893344"/>
    <w:rsid w:val="00893356"/>
    <w:rsid w:val="008933AE"/>
    <w:rsid w:val="008933B1"/>
    <w:rsid w:val="008933EE"/>
    <w:rsid w:val="00893422"/>
    <w:rsid w:val="00893424"/>
    <w:rsid w:val="008935A9"/>
    <w:rsid w:val="0089361C"/>
    <w:rsid w:val="00893635"/>
    <w:rsid w:val="00893646"/>
    <w:rsid w:val="00893666"/>
    <w:rsid w:val="00893721"/>
    <w:rsid w:val="0089375E"/>
    <w:rsid w:val="00893798"/>
    <w:rsid w:val="00893898"/>
    <w:rsid w:val="008938D3"/>
    <w:rsid w:val="008938F7"/>
    <w:rsid w:val="00893A53"/>
    <w:rsid w:val="00893AAE"/>
    <w:rsid w:val="00893AD3"/>
    <w:rsid w:val="00893B2D"/>
    <w:rsid w:val="00893B32"/>
    <w:rsid w:val="00893B34"/>
    <w:rsid w:val="00893B7B"/>
    <w:rsid w:val="00893BB0"/>
    <w:rsid w:val="00893C6E"/>
    <w:rsid w:val="00893D57"/>
    <w:rsid w:val="00893DE1"/>
    <w:rsid w:val="00893E5A"/>
    <w:rsid w:val="00893EB3"/>
    <w:rsid w:val="00893FA0"/>
    <w:rsid w:val="00894172"/>
    <w:rsid w:val="0089420B"/>
    <w:rsid w:val="00894226"/>
    <w:rsid w:val="008942B6"/>
    <w:rsid w:val="0089430D"/>
    <w:rsid w:val="00894333"/>
    <w:rsid w:val="008943A4"/>
    <w:rsid w:val="008943C3"/>
    <w:rsid w:val="008945A5"/>
    <w:rsid w:val="008945B8"/>
    <w:rsid w:val="00894611"/>
    <w:rsid w:val="00894727"/>
    <w:rsid w:val="00894925"/>
    <w:rsid w:val="00894A8E"/>
    <w:rsid w:val="00894B74"/>
    <w:rsid w:val="00894B98"/>
    <w:rsid w:val="00894C10"/>
    <w:rsid w:val="00894C3B"/>
    <w:rsid w:val="00894DAD"/>
    <w:rsid w:val="00894DB1"/>
    <w:rsid w:val="00894DD3"/>
    <w:rsid w:val="00894DF6"/>
    <w:rsid w:val="00894E6C"/>
    <w:rsid w:val="00894EE0"/>
    <w:rsid w:val="00894FA0"/>
    <w:rsid w:val="00895037"/>
    <w:rsid w:val="0089506C"/>
    <w:rsid w:val="008950CA"/>
    <w:rsid w:val="00895271"/>
    <w:rsid w:val="00895305"/>
    <w:rsid w:val="0089531B"/>
    <w:rsid w:val="00895348"/>
    <w:rsid w:val="00895381"/>
    <w:rsid w:val="0089547A"/>
    <w:rsid w:val="00895633"/>
    <w:rsid w:val="00895653"/>
    <w:rsid w:val="00895662"/>
    <w:rsid w:val="00895691"/>
    <w:rsid w:val="008956DC"/>
    <w:rsid w:val="00895720"/>
    <w:rsid w:val="0089572E"/>
    <w:rsid w:val="0089580C"/>
    <w:rsid w:val="00895AEE"/>
    <w:rsid w:val="00895BB1"/>
    <w:rsid w:val="00895D95"/>
    <w:rsid w:val="00895E65"/>
    <w:rsid w:val="00895EDF"/>
    <w:rsid w:val="00895F8C"/>
    <w:rsid w:val="008961B1"/>
    <w:rsid w:val="008961F7"/>
    <w:rsid w:val="0089629A"/>
    <w:rsid w:val="00896478"/>
    <w:rsid w:val="00896495"/>
    <w:rsid w:val="00896533"/>
    <w:rsid w:val="00896559"/>
    <w:rsid w:val="00896675"/>
    <w:rsid w:val="008966E1"/>
    <w:rsid w:val="00896754"/>
    <w:rsid w:val="008967FD"/>
    <w:rsid w:val="0089682C"/>
    <w:rsid w:val="008968FD"/>
    <w:rsid w:val="0089699E"/>
    <w:rsid w:val="00896A01"/>
    <w:rsid w:val="00896A67"/>
    <w:rsid w:val="00896AB2"/>
    <w:rsid w:val="00896ADF"/>
    <w:rsid w:val="00896B99"/>
    <w:rsid w:val="00896D1B"/>
    <w:rsid w:val="00896D5A"/>
    <w:rsid w:val="00896D83"/>
    <w:rsid w:val="00896D84"/>
    <w:rsid w:val="00896DC5"/>
    <w:rsid w:val="00896DDE"/>
    <w:rsid w:val="00896E09"/>
    <w:rsid w:val="00896E34"/>
    <w:rsid w:val="00896E5E"/>
    <w:rsid w:val="00896EF2"/>
    <w:rsid w:val="00896FB1"/>
    <w:rsid w:val="0089701C"/>
    <w:rsid w:val="00897070"/>
    <w:rsid w:val="008970C8"/>
    <w:rsid w:val="008970EE"/>
    <w:rsid w:val="0089739D"/>
    <w:rsid w:val="008973C2"/>
    <w:rsid w:val="00897437"/>
    <w:rsid w:val="00897466"/>
    <w:rsid w:val="008974A2"/>
    <w:rsid w:val="00897528"/>
    <w:rsid w:val="00897590"/>
    <w:rsid w:val="008975D4"/>
    <w:rsid w:val="008975FA"/>
    <w:rsid w:val="008976A6"/>
    <w:rsid w:val="008977B2"/>
    <w:rsid w:val="008979A8"/>
    <w:rsid w:val="00897A28"/>
    <w:rsid w:val="00897AA8"/>
    <w:rsid w:val="00897AD5"/>
    <w:rsid w:val="00897C43"/>
    <w:rsid w:val="00897C7F"/>
    <w:rsid w:val="00897E20"/>
    <w:rsid w:val="00897E24"/>
    <w:rsid w:val="00897EB5"/>
    <w:rsid w:val="00897F89"/>
    <w:rsid w:val="008A00FD"/>
    <w:rsid w:val="008A01DB"/>
    <w:rsid w:val="008A035E"/>
    <w:rsid w:val="008A042B"/>
    <w:rsid w:val="008A0452"/>
    <w:rsid w:val="008A04ED"/>
    <w:rsid w:val="008A0533"/>
    <w:rsid w:val="008A05EB"/>
    <w:rsid w:val="008A0679"/>
    <w:rsid w:val="008A06C2"/>
    <w:rsid w:val="008A0860"/>
    <w:rsid w:val="008A095A"/>
    <w:rsid w:val="008A0A07"/>
    <w:rsid w:val="008A0B54"/>
    <w:rsid w:val="008A0B8C"/>
    <w:rsid w:val="008A0D02"/>
    <w:rsid w:val="008A0E23"/>
    <w:rsid w:val="008A0E73"/>
    <w:rsid w:val="008A0FDA"/>
    <w:rsid w:val="008A1152"/>
    <w:rsid w:val="008A115A"/>
    <w:rsid w:val="008A1160"/>
    <w:rsid w:val="008A11A7"/>
    <w:rsid w:val="008A132E"/>
    <w:rsid w:val="008A1330"/>
    <w:rsid w:val="008A13AE"/>
    <w:rsid w:val="008A1461"/>
    <w:rsid w:val="008A154C"/>
    <w:rsid w:val="008A157E"/>
    <w:rsid w:val="008A17A3"/>
    <w:rsid w:val="008A1A53"/>
    <w:rsid w:val="008A1C18"/>
    <w:rsid w:val="008A1C61"/>
    <w:rsid w:val="008A1CA4"/>
    <w:rsid w:val="008A1CB4"/>
    <w:rsid w:val="008A1E28"/>
    <w:rsid w:val="008A1F1A"/>
    <w:rsid w:val="008A205D"/>
    <w:rsid w:val="008A20EE"/>
    <w:rsid w:val="008A20F9"/>
    <w:rsid w:val="008A21C1"/>
    <w:rsid w:val="008A2326"/>
    <w:rsid w:val="008A2329"/>
    <w:rsid w:val="008A252D"/>
    <w:rsid w:val="008A2657"/>
    <w:rsid w:val="008A2820"/>
    <w:rsid w:val="008A2A9D"/>
    <w:rsid w:val="008A2AD2"/>
    <w:rsid w:val="008A2B0C"/>
    <w:rsid w:val="008A2B91"/>
    <w:rsid w:val="008A2C5F"/>
    <w:rsid w:val="008A2CD3"/>
    <w:rsid w:val="008A2D20"/>
    <w:rsid w:val="008A2D52"/>
    <w:rsid w:val="008A2EFB"/>
    <w:rsid w:val="008A3067"/>
    <w:rsid w:val="008A314F"/>
    <w:rsid w:val="008A3196"/>
    <w:rsid w:val="008A31D3"/>
    <w:rsid w:val="008A3227"/>
    <w:rsid w:val="008A3240"/>
    <w:rsid w:val="008A3268"/>
    <w:rsid w:val="008A32D2"/>
    <w:rsid w:val="008A3324"/>
    <w:rsid w:val="008A3418"/>
    <w:rsid w:val="008A34C9"/>
    <w:rsid w:val="008A3558"/>
    <w:rsid w:val="008A357D"/>
    <w:rsid w:val="008A35D7"/>
    <w:rsid w:val="008A3601"/>
    <w:rsid w:val="008A3772"/>
    <w:rsid w:val="008A3778"/>
    <w:rsid w:val="008A385A"/>
    <w:rsid w:val="008A39E6"/>
    <w:rsid w:val="008A3A7D"/>
    <w:rsid w:val="008A3BE6"/>
    <w:rsid w:val="008A3C49"/>
    <w:rsid w:val="008A3CD0"/>
    <w:rsid w:val="008A3E83"/>
    <w:rsid w:val="008A3FA3"/>
    <w:rsid w:val="008A405E"/>
    <w:rsid w:val="008A4112"/>
    <w:rsid w:val="008A4180"/>
    <w:rsid w:val="008A41A1"/>
    <w:rsid w:val="008A41F4"/>
    <w:rsid w:val="008A4205"/>
    <w:rsid w:val="008A4308"/>
    <w:rsid w:val="008A430F"/>
    <w:rsid w:val="008A4382"/>
    <w:rsid w:val="008A43E3"/>
    <w:rsid w:val="008A4435"/>
    <w:rsid w:val="008A45DD"/>
    <w:rsid w:val="008A45FE"/>
    <w:rsid w:val="008A46BF"/>
    <w:rsid w:val="008A471D"/>
    <w:rsid w:val="008A481C"/>
    <w:rsid w:val="008A4843"/>
    <w:rsid w:val="008A49F9"/>
    <w:rsid w:val="008A4AF2"/>
    <w:rsid w:val="008A4B9D"/>
    <w:rsid w:val="008A4BC9"/>
    <w:rsid w:val="008A4D7B"/>
    <w:rsid w:val="008A5028"/>
    <w:rsid w:val="008A5194"/>
    <w:rsid w:val="008A525D"/>
    <w:rsid w:val="008A52B9"/>
    <w:rsid w:val="008A53BF"/>
    <w:rsid w:val="008A53F3"/>
    <w:rsid w:val="008A5623"/>
    <w:rsid w:val="008A56D1"/>
    <w:rsid w:val="008A56DB"/>
    <w:rsid w:val="008A5789"/>
    <w:rsid w:val="008A583C"/>
    <w:rsid w:val="008A5A53"/>
    <w:rsid w:val="008A5AF9"/>
    <w:rsid w:val="008A5B08"/>
    <w:rsid w:val="008A5C4A"/>
    <w:rsid w:val="008A5D64"/>
    <w:rsid w:val="008A5DA7"/>
    <w:rsid w:val="008A5E82"/>
    <w:rsid w:val="008A5F50"/>
    <w:rsid w:val="008A5F7F"/>
    <w:rsid w:val="008A5FEE"/>
    <w:rsid w:val="008A6050"/>
    <w:rsid w:val="008A60DA"/>
    <w:rsid w:val="008A611E"/>
    <w:rsid w:val="008A61C2"/>
    <w:rsid w:val="008A61EC"/>
    <w:rsid w:val="008A6388"/>
    <w:rsid w:val="008A63A7"/>
    <w:rsid w:val="008A64B5"/>
    <w:rsid w:val="008A64B9"/>
    <w:rsid w:val="008A64CB"/>
    <w:rsid w:val="008A64F4"/>
    <w:rsid w:val="008A6785"/>
    <w:rsid w:val="008A67E8"/>
    <w:rsid w:val="008A696F"/>
    <w:rsid w:val="008A6B9E"/>
    <w:rsid w:val="008A6C74"/>
    <w:rsid w:val="008A6DF6"/>
    <w:rsid w:val="008A6E80"/>
    <w:rsid w:val="008A6EFC"/>
    <w:rsid w:val="008A6F8D"/>
    <w:rsid w:val="008A710B"/>
    <w:rsid w:val="008A72D3"/>
    <w:rsid w:val="008A7347"/>
    <w:rsid w:val="008A734B"/>
    <w:rsid w:val="008A7386"/>
    <w:rsid w:val="008A74AA"/>
    <w:rsid w:val="008A7602"/>
    <w:rsid w:val="008A7760"/>
    <w:rsid w:val="008A77BA"/>
    <w:rsid w:val="008A7959"/>
    <w:rsid w:val="008A7AB1"/>
    <w:rsid w:val="008A7BAF"/>
    <w:rsid w:val="008A7BDB"/>
    <w:rsid w:val="008A7C41"/>
    <w:rsid w:val="008A7D1E"/>
    <w:rsid w:val="008A7D40"/>
    <w:rsid w:val="008A7E3F"/>
    <w:rsid w:val="008A7E82"/>
    <w:rsid w:val="008B001D"/>
    <w:rsid w:val="008B0038"/>
    <w:rsid w:val="008B00F8"/>
    <w:rsid w:val="008B02F4"/>
    <w:rsid w:val="008B0576"/>
    <w:rsid w:val="008B05FD"/>
    <w:rsid w:val="008B063E"/>
    <w:rsid w:val="008B072F"/>
    <w:rsid w:val="008B085B"/>
    <w:rsid w:val="008B08E9"/>
    <w:rsid w:val="008B0925"/>
    <w:rsid w:val="008B096A"/>
    <w:rsid w:val="008B0A62"/>
    <w:rsid w:val="008B0B49"/>
    <w:rsid w:val="008B0DBC"/>
    <w:rsid w:val="008B0EB9"/>
    <w:rsid w:val="008B0F61"/>
    <w:rsid w:val="008B100C"/>
    <w:rsid w:val="008B1091"/>
    <w:rsid w:val="008B10F1"/>
    <w:rsid w:val="008B110D"/>
    <w:rsid w:val="008B1159"/>
    <w:rsid w:val="008B13A3"/>
    <w:rsid w:val="008B1486"/>
    <w:rsid w:val="008B1537"/>
    <w:rsid w:val="008B1584"/>
    <w:rsid w:val="008B17CD"/>
    <w:rsid w:val="008B18A9"/>
    <w:rsid w:val="008B196D"/>
    <w:rsid w:val="008B19C3"/>
    <w:rsid w:val="008B1A20"/>
    <w:rsid w:val="008B1AF9"/>
    <w:rsid w:val="008B1C21"/>
    <w:rsid w:val="008B1CB9"/>
    <w:rsid w:val="008B1CD7"/>
    <w:rsid w:val="008B1D73"/>
    <w:rsid w:val="008B1E67"/>
    <w:rsid w:val="008B1EFF"/>
    <w:rsid w:val="008B1F22"/>
    <w:rsid w:val="008B2061"/>
    <w:rsid w:val="008B206E"/>
    <w:rsid w:val="008B21A3"/>
    <w:rsid w:val="008B22E1"/>
    <w:rsid w:val="008B22EF"/>
    <w:rsid w:val="008B2327"/>
    <w:rsid w:val="008B2362"/>
    <w:rsid w:val="008B2504"/>
    <w:rsid w:val="008B2518"/>
    <w:rsid w:val="008B2608"/>
    <w:rsid w:val="008B266E"/>
    <w:rsid w:val="008B26D6"/>
    <w:rsid w:val="008B2776"/>
    <w:rsid w:val="008B2B6A"/>
    <w:rsid w:val="008B2BCB"/>
    <w:rsid w:val="008B2C40"/>
    <w:rsid w:val="008B2C6B"/>
    <w:rsid w:val="008B2CB5"/>
    <w:rsid w:val="008B2F18"/>
    <w:rsid w:val="008B2FAB"/>
    <w:rsid w:val="008B3064"/>
    <w:rsid w:val="008B315A"/>
    <w:rsid w:val="008B32D0"/>
    <w:rsid w:val="008B33B8"/>
    <w:rsid w:val="008B345C"/>
    <w:rsid w:val="008B3483"/>
    <w:rsid w:val="008B3534"/>
    <w:rsid w:val="008B37DF"/>
    <w:rsid w:val="008B38B2"/>
    <w:rsid w:val="008B39A0"/>
    <w:rsid w:val="008B39DA"/>
    <w:rsid w:val="008B3AA9"/>
    <w:rsid w:val="008B3B3A"/>
    <w:rsid w:val="008B3BFE"/>
    <w:rsid w:val="008B3C2F"/>
    <w:rsid w:val="008B3C38"/>
    <w:rsid w:val="008B3CF7"/>
    <w:rsid w:val="008B3D0C"/>
    <w:rsid w:val="008B3E35"/>
    <w:rsid w:val="008B3EAE"/>
    <w:rsid w:val="008B3F1E"/>
    <w:rsid w:val="008B402C"/>
    <w:rsid w:val="008B4090"/>
    <w:rsid w:val="008B40AB"/>
    <w:rsid w:val="008B40D1"/>
    <w:rsid w:val="008B41EF"/>
    <w:rsid w:val="008B431A"/>
    <w:rsid w:val="008B4449"/>
    <w:rsid w:val="008B45A5"/>
    <w:rsid w:val="008B4697"/>
    <w:rsid w:val="008B46DA"/>
    <w:rsid w:val="008B474D"/>
    <w:rsid w:val="008B474E"/>
    <w:rsid w:val="008B483F"/>
    <w:rsid w:val="008B48A1"/>
    <w:rsid w:val="008B48BF"/>
    <w:rsid w:val="008B4AC6"/>
    <w:rsid w:val="008B4BFB"/>
    <w:rsid w:val="008B4C7E"/>
    <w:rsid w:val="008B4CB9"/>
    <w:rsid w:val="008B4D21"/>
    <w:rsid w:val="008B4D3E"/>
    <w:rsid w:val="008B4DBB"/>
    <w:rsid w:val="008B4DC8"/>
    <w:rsid w:val="008B4DD8"/>
    <w:rsid w:val="008B4ED1"/>
    <w:rsid w:val="008B4F03"/>
    <w:rsid w:val="008B4F06"/>
    <w:rsid w:val="008B4F71"/>
    <w:rsid w:val="008B4F9F"/>
    <w:rsid w:val="008B5067"/>
    <w:rsid w:val="008B50DF"/>
    <w:rsid w:val="008B51AD"/>
    <w:rsid w:val="008B537E"/>
    <w:rsid w:val="008B5455"/>
    <w:rsid w:val="008B548F"/>
    <w:rsid w:val="008B54B9"/>
    <w:rsid w:val="008B5542"/>
    <w:rsid w:val="008B5685"/>
    <w:rsid w:val="008B56B0"/>
    <w:rsid w:val="008B5794"/>
    <w:rsid w:val="008B5795"/>
    <w:rsid w:val="008B57B1"/>
    <w:rsid w:val="008B582B"/>
    <w:rsid w:val="008B58B8"/>
    <w:rsid w:val="008B596D"/>
    <w:rsid w:val="008B5A3B"/>
    <w:rsid w:val="008B5A98"/>
    <w:rsid w:val="008B5B20"/>
    <w:rsid w:val="008B5B27"/>
    <w:rsid w:val="008B5B7F"/>
    <w:rsid w:val="008B5BE2"/>
    <w:rsid w:val="008B5C64"/>
    <w:rsid w:val="008B5DE8"/>
    <w:rsid w:val="008B5DEE"/>
    <w:rsid w:val="008B5DF7"/>
    <w:rsid w:val="008B5ED5"/>
    <w:rsid w:val="008B5F13"/>
    <w:rsid w:val="008B5FCB"/>
    <w:rsid w:val="008B5FD4"/>
    <w:rsid w:val="008B5FD5"/>
    <w:rsid w:val="008B6082"/>
    <w:rsid w:val="008B6151"/>
    <w:rsid w:val="008B6154"/>
    <w:rsid w:val="008B6244"/>
    <w:rsid w:val="008B62DC"/>
    <w:rsid w:val="008B642A"/>
    <w:rsid w:val="008B6438"/>
    <w:rsid w:val="008B6543"/>
    <w:rsid w:val="008B654A"/>
    <w:rsid w:val="008B656E"/>
    <w:rsid w:val="008B65E3"/>
    <w:rsid w:val="008B65EF"/>
    <w:rsid w:val="008B6602"/>
    <w:rsid w:val="008B663A"/>
    <w:rsid w:val="008B66DC"/>
    <w:rsid w:val="008B6791"/>
    <w:rsid w:val="008B6870"/>
    <w:rsid w:val="008B68E1"/>
    <w:rsid w:val="008B6AB6"/>
    <w:rsid w:val="008B6B86"/>
    <w:rsid w:val="008B6C3D"/>
    <w:rsid w:val="008B6CBB"/>
    <w:rsid w:val="008B6D75"/>
    <w:rsid w:val="008B6D99"/>
    <w:rsid w:val="008B705D"/>
    <w:rsid w:val="008B70DF"/>
    <w:rsid w:val="008B71FA"/>
    <w:rsid w:val="008B7446"/>
    <w:rsid w:val="008B747F"/>
    <w:rsid w:val="008B7683"/>
    <w:rsid w:val="008B7839"/>
    <w:rsid w:val="008B785B"/>
    <w:rsid w:val="008B7914"/>
    <w:rsid w:val="008B7A1F"/>
    <w:rsid w:val="008B7C93"/>
    <w:rsid w:val="008B7D7B"/>
    <w:rsid w:val="008B7DAC"/>
    <w:rsid w:val="008B7E74"/>
    <w:rsid w:val="008B7E9B"/>
    <w:rsid w:val="008B7F34"/>
    <w:rsid w:val="008C0044"/>
    <w:rsid w:val="008C00A2"/>
    <w:rsid w:val="008C0105"/>
    <w:rsid w:val="008C0136"/>
    <w:rsid w:val="008C0144"/>
    <w:rsid w:val="008C0190"/>
    <w:rsid w:val="008C0236"/>
    <w:rsid w:val="008C02BF"/>
    <w:rsid w:val="008C0421"/>
    <w:rsid w:val="008C0494"/>
    <w:rsid w:val="008C04EA"/>
    <w:rsid w:val="008C0521"/>
    <w:rsid w:val="008C05F6"/>
    <w:rsid w:val="008C061A"/>
    <w:rsid w:val="008C0661"/>
    <w:rsid w:val="008C06CF"/>
    <w:rsid w:val="008C078F"/>
    <w:rsid w:val="008C0838"/>
    <w:rsid w:val="008C0985"/>
    <w:rsid w:val="008C0990"/>
    <w:rsid w:val="008C0B63"/>
    <w:rsid w:val="008C0C63"/>
    <w:rsid w:val="008C0C91"/>
    <w:rsid w:val="008C0D5D"/>
    <w:rsid w:val="008C0E3C"/>
    <w:rsid w:val="008C0E7B"/>
    <w:rsid w:val="008C0F63"/>
    <w:rsid w:val="008C10D8"/>
    <w:rsid w:val="008C10DB"/>
    <w:rsid w:val="008C10DF"/>
    <w:rsid w:val="008C10F5"/>
    <w:rsid w:val="008C1113"/>
    <w:rsid w:val="008C1132"/>
    <w:rsid w:val="008C119B"/>
    <w:rsid w:val="008C136B"/>
    <w:rsid w:val="008C142A"/>
    <w:rsid w:val="008C14CF"/>
    <w:rsid w:val="008C1852"/>
    <w:rsid w:val="008C193E"/>
    <w:rsid w:val="008C19B1"/>
    <w:rsid w:val="008C1A4B"/>
    <w:rsid w:val="008C1AA8"/>
    <w:rsid w:val="008C1AC6"/>
    <w:rsid w:val="008C1D29"/>
    <w:rsid w:val="008C1E13"/>
    <w:rsid w:val="008C1EAF"/>
    <w:rsid w:val="008C1FC7"/>
    <w:rsid w:val="008C211E"/>
    <w:rsid w:val="008C2191"/>
    <w:rsid w:val="008C227B"/>
    <w:rsid w:val="008C22B9"/>
    <w:rsid w:val="008C22FE"/>
    <w:rsid w:val="008C233E"/>
    <w:rsid w:val="008C23C7"/>
    <w:rsid w:val="008C241F"/>
    <w:rsid w:val="008C2598"/>
    <w:rsid w:val="008C2674"/>
    <w:rsid w:val="008C2766"/>
    <w:rsid w:val="008C27B7"/>
    <w:rsid w:val="008C288D"/>
    <w:rsid w:val="008C28D5"/>
    <w:rsid w:val="008C29A7"/>
    <w:rsid w:val="008C2B0C"/>
    <w:rsid w:val="008C2BF3"/>
    <w:rsid w:val="008C2C53"/>
    <w:rsid w:val="008C2CDB"/>
    <w:rsid w:val="008C2E3D"/>
    <w:rsid w:val="008C2E55"/>
    <w:rsid w:val="008C2EA8"/>
    <w:rsid w:val="008C2EE3"/>
    <w:rsid w:val="008C2F89"/>
    <w:rsid w:val="008C3255"/>
    <w:rsid w:val="008C34BB"/>
    <w:rsid w:val="008C35BA"/>
    <w:rsid w:val="008C3636"/>
    <w:rsid w:val="008C365B"/>
    <w:rsid w:val="008C36F0"/>
    <w:rsid w:val="008C387D"/>
    <w:rsid w:val="008C3A44"/>
    <w:rsid w:val="008C3CB3"/>
    <w:rsid w:val="008C3D68"/>
    <w:rsid w:val="008C3D82"/>
    <w:rsid w:val="008C3DFF"/>
    <w:rsid w:val="008C3E3F"/>
    <w:rsid w:val="008C3F3C"/>
    <w:rsid w:val="008C3FE6"/>
    <w:rsid w:val="008C40C7"/>
    <w:rsid w:val="008C412B"/>
    <w:rsid w:val="008C4176"/>
    <w:rsid w:val="008C43EC"/>
    <w:rsid w:val="008C45B6"/>
    <w:rsid w:val="008C464C"/>
    <w:rsid w:val="008C467B"/>
    <w:rsid w:val="008C476B"/>
    <w:rsid w:val="008C478E"/>
    <w:rsid w:val="008C4792"/>
    <w:rsid w:val="008C47D1"/>
    <w:rsid w:val="008C482E"/>
    <w:rsid w:val="008C483E"/>
    <w:rsid w:val="008C4977"/>
    <w:rsid w:val="008C49D5"/>
    <w:rsid w:val="008C4BF2"/>
    <w:rsid w:val="008C4C37"/>
    <w:rsid w:val="008C4C52"/>
    <w:rsid w:val="008C4D3B"/>
    <w:rsid w:val="008C4DC1"/>
    <w:rsid w:val="008C50E0"/>
    <w:rsid w:val="008C5111"/>
    <w:rsid w:val="008C51FF"/>
    <w:rsid w:val="008C526C"/>
    <w:rsid w:val="008C52E6"/>
    <w:rsid w:val="008C5360"/>
    <w:rsid w:val="008C5373"/>
    <w:rsid w:val="008C5464"/>
    <w:rsid w:val="008C54DA"/>
    <w:rsid w:val="008C5509"/>
    <w:rsid w:val="008C582E"/>
    <w:rsid w:val="008C5959"/>
    <w:rsid w:val="008C59E4"/>
    <w:rsid w:val="008C5A37"/>
    <w:rsid w:val="008C5AF3"/>
    <w:rsid w:val="008C5D30"/>
    <w:rsid w:val="008C5DA9"/>
    <w:rsid w:val="008C5E1E"/>
    <w:rsid w:val="008C5EE3"/>
    <w:rsid w:val="008C5F06"/>
    <w:rsid w:val="008C61A2"/>
    <w:rsid w:val="008C6314"/>
    <w:rsid w:val="008C6344"/>
    <w:rsid w:val="008C6412"/>
    <w:rsid w:val="008C644B"/>
    <w:rsid w:val="008C647E"/>
    <w:rsid w:val="008C651D"/>
    <w:rsid w:val="008C662D"/>
    <w:rsid w:val="008C67A8"/>
    <w:rsid w:val="008C68E5"/>
    <w:rsid w:val="008C694A"/>
    <w:rsid w:val="008C699C"/>
    <w:rsid w:val="008C69B4"/>
    <w:rsid w:val="008C69C3"/>
    <w:rsid w:val="008C6A28"/>
    <w:rsid w:val="008C6ABF"/>
    <w:rsid w:val="008C6B85"/>
    <w:rsid w:val="008C6B9E"/>
    <w:rsid w:val="008C6C80"/>
    <w:rsid w:val="008C6D21"/>
    <w:rsid w:val="008C6D83"/>
    <w:rsid w:val="008C6DE8"/>
    <w:rsid w:val="008C6EF1"/>
    <w:rsid w:val="008C6EF6"/>
    <w:rsid w:val="008C6F15"/>
    <w:rsid w:val="008C703F"/>
    <w:rsid w:val="008C7088"/>
    <w:rsid w:val="008C712A"/>
    <w:rsid w:val="008C726F"/>
    <w:rsid w:val="008C7373"/>
    <w:rsid w:val="008C759A"/>
    <w:rsid w:val="008C75AF"/>
    <w:rsid w:val="008C75C2"/>
    <w:rsid w:val="008C76D4"/>
    <w:rsid w:val="008C76E0"/>
    <w:rsid w:val="008C7853"/>
    <w:rsid w:val="008C7939"/>
    <w:rsid w:val="008C7AAF"/>
    <w:rsid w:val="008C7BF4"/>
    <w:rsid w:val="008C7C05"/>
    <w:rsid w:val="008C7D47"/>
    <w:rsid w:val="008C7E22"/>
    <w:rsid w:val="008C7E8A"/>
    <w:rsid w:val="008C7F9A"/>
    <w:rsid w:val="008C7FA0"/>
    <w:rsid w:val="008C7FA7"/>
    <w:rsid w:val="008C7FC9"/>
    <w:rsid w:val="008D00E6"/>
    <w:rsid w:val="008D0158"/>
    <w:rsid w:val="008D0246"/>
    <w:rsid w:val="008D02EC"/>
    <w:rsid w:val="008D03C8"/>
    <w:rsid w:val="008D049C"/>
    <w:rsid w:val="008D0580"/>
    <w:rsid w:val="008D05A6"/>
    <w:rsid w:val="008D06CD"/>
    <w:rsid w:val="008D08AD"/>
    <w:rsid w:val="008D08BE"/>
    <w:rsid w:val="008D08D7"/>
    <w:rsid w:val="008D09A6"/>
    <w:rsid w:val="008D0AAE"/>
    <w:rsid w:val="008D0B0A"/>
    <w:rsid w:val="008D0BF4"/>
    <w:rsid w:val="008D0C02"/>
    <w:rsid w:val="008D0C03"/>
    <w:rsid w:val="008D0CA7"/>
    <w:rsid w:val="008D0D08"/>
    <w:rsid w:val="008D0DB5"/>
    <w:rsid w:val="008D0DC5"/>
    <w:rsid w:val="008D0EB3"/>
    <w:rsid w:val="008D0EE1"/>
    <w:rsid w:val="008D100C"/>
    <w:rsid w:val="008D1063"/>
    <w:rsid w:val="008D1102"/>
    <w:rsid w:val="008D1257"/>
    <w:rsid w:val="008D12AE"/>
    <w:rsid w:val="008D1378"/>
    <w:rsid w:val="008D1479"/>
    <w:rsid w:val="008D1642"/>
    <w:rsid w:val="008D166E"/>
    <w:rsid w:val="008D16AC"/>
    <w:rsid w:val="008D180B"/>
    <w:rsid w:val="008D185B"/>
    <w:rsid w:val="008D1962"/>
    <w:rsid w:val="008D1A4E"/>
    <w:rsid w:val="008D1A6A"/>
    <w:rsid w:val="008D1A86"/>
    <w:rsid w:val="008D1A8A"/>
    <w:rsid w:val="008D1BFA"/>
    <w:rsid w:val="008D227B"/>
    <w:rsid w:val="008D22F9"/>
    <w:rsid w:val="008D22FC"/>
    <w:rsid w:val="008D236A"/>
    <w:rsid w:val="008D2405"/>
    <w:rsid w:val="008D25A5"/>
    <w:rsid w:val="008D2639"/>
    <w:rsid w:val="008D27E8"/>
    <w:rsid w:val="008D2805"/>
    <w:rsid w:val="008D2809"/>
    <w:rsid w:val="008D2A2F"/>
    <w:rsid w:val="008D2A34"/>
    <w:rsid w:val="008D2AD8"/>
    <w:rsid w:val="008D2C5D"/>
    <w:rsid w:val="008D2D6D"/>
    <w:rsid w:val="008D2DE4"/>
    <w:rsid w:val="008D2E41"/>
    <w:rsid w:val="008D2F3C"/>
    <w:rsid w:val="008D2F5D"/>
    <w:rsid w:val="008D3058"/>
    <w:rsid w:val="008D31CF"/>
    <w:rsid w:val="008D357B"/>
    <w:rsid w:val="008D3619"/>
    <w:rsid w:val="008D361C"/>
    <w:rsid w:val="008D38B5"/>
    <w:rsid w:val="008D3907"/>
    <w:rsid w:val="008D3925"/>
    <w:rsid w:val="008D3960"/>
    <w:rsid w:val="008D3A97"/>
    <w:rsid w:val="008D3AC3"/>
    <w:rsid w:val="008D3B4D"/>
    <w:rsid w:val="008D3C68"/>
    <w:rsid w:val="008D3D81"/>
    <w:rsid w:val="008D3E1C"/>
    <w:rsid w:val="008D3E24"/>
    <w:rsid w:val="008D3F35"/>
    <w:rsid w:val="008D4088"/>
    <w:rsid w:val="008D40C2"/>
    <w:rsid w:val="008D41A0"/>
    <w:rsid w:val="008D4243"/>
    <w:rsid w:val="008D4413"/>
    <w:rsid w:val="008D4436"/>
    <w:rsid w:val="008D445D"/>
    <w:rsid w:val="008D44C0"/>
    <w:rsid w:val="008D4573"/>
    <w:rsid w:val="008D45E7"/>
    <w:rsid w:val="008D4633"/>
    <w:rsid w:val="008D47AC"/>
    <w:rsid w:val="008D47AD"/>
    <w:rsid w:val="008D47D6"/>
    <w:rsid w:val="008D4881"/>
    <w:rsid w:val="008D4B0C"/>
    <w:rsid w:val="008D4C03"/>
    <w:rsid w:val="008D4C4D"/>
    <w:rsid w:val="008D4E55"/>
    <w:rsid w:val="008D4E5D"/>
    <w:rsid w:val="008D4E84"/>
    <w:rsid w:val="008D4F80"/>
    <w:rsid w:val="008D5091"/>
    <w:rsid w:val="008D50E0"/>
    <w:rsid w:val="008D515A"/>
    <w:rsid w:val="008D51F6"/>
    <w:rsid w:val="008D5201"/>
    <w:rsid w:val="008D53F3"/>
    <w:rsid w:val="008D5524"/>
    <w:rsid w:val="008D56C3"/>
    <w:rsid w:val="008D5862"/>
    <w:rsid w:val="008D588F"/>
    <w:rsid w:val="008D5952"/>
    <w:rsid w:val="008D5956"/>
    <w:rsid w:val="008D5962"/>
    <w:rsid w:val="008D5A18"/>
    <w:rsid w:val="008D5BB5"/>
    <w:rsid w:val="008D5C64"/>
    <w:rsid w:val="008D5D0A"/>
    <w:rsid w:val="008D5D80"/>
    <w:rsid w:val="008D5D95"/>
    <w:rsid w:val="008D5DE7"/>
    <w:rsid w:val="008D5EE3"/>
    <w:rsid w:val="008D5F04"/>
    <w:rsid w:val="008D607D"/>
    <w:rsid w:val="008D60C7"/>
    <w:rsid w:val="008D611E"/>
    <w:rsid w:val="008D6287"/>
    <w:rsid w:val="008D6363"/>
    <w:rsid w:val="008D656C"/>
    <w:rsid w:val="008D690A"/>
    <w:rsid w:val="008D691F"/>
    <w:rsid w:val="008D69AB"/>
    <w:rsid w:val="008D69E7"/>
    <w:rsid w:val="008D6A39"/>
    <w:rsid w:val="008D6AD6"/>
    <w:rsid w:val="008D6B08"/>
    <w:rsid w:val="008D6B0A"/>
    <w:rsid w:val="008D6B76"/>
    <w:rsid w:val="008D6B9D"/>
    <w:rsid w:val="008D6DD0"/>
    <w:rsid w:val="008D6EA7"/>
    <w:rsid w:val="008D6F24"/>
    <w:rsid w:val="008D6F2D"/>
    <w:rsid w:val="008D6FF2"/>
    <w:rsid w:val="008D700E"/>
    <w:rsid w:val="008D7053"/>
    <w:rsid w:val="008D705F"/>
    <w:rsid w:val="008D7132"/>
    <w:rsid w:val="008D7251"/>
    <w:rsid w:val="008D7304"/>
    <w:rsid w:val="008D73F3"/>
    <w:rsid w:val="008D74DA"/>
    <w:rsid w:val="008D74E8"/>
    <w:rsid w:val="008D74E9"/>
    <w:rsid w:val="008D7589"/>
    <w:rsid w:val="008D75A5"/>
    <w:rsid w:val="008D7605"/>
    <w:rsid w:val="008D7655"/>
    <w:rsid w:val="008D768F"/>
    <w:rsid w:val="008D7695"/>
    <w:rsid w:val="008D7759"/>
    <w:rsid w:val="008D776A"/>
    <w:rsid w:val="008D783C"/>
    <w:rsid w:val="008D7886"/>
    <w:rsid w:val="008D78E1"/>
    <w:rsid w:val="008D79BC"/>
    <w:rsid w:val="008D7BE9"/>
    <w:rsid w:val="008D7C27"/>
    <w:rsid w:val="008D7C2C"/>
    <w:rsid w:val="008D7D6B"/>
    <w:rsid w:val="008D7E2A"/>
    <w:rsid w:val="008D7EDF"/>
    <w:rsid w:val="008D7F85"/>
    <w:rsid w:val="008D7FB0"/>
    <w:rsid w:val="008E0002"/>
    <w:rsid w:val="008E0025"/>
    <w:rsid w:val="008E01BB"/>
    <w:rsid w:val="008E01CB"/>
    <w:rsid w:val="008E0315"/>
    <w:rsid w:val="008E04DC"/>
    <w:rsid w:val="008E056F"/>
    <w:rsid w:val="008E0574"/>
    <w:rsid w:val="008E05E4"/>
    <w:rsid w:val="008E06CA"/>
    <w:rsid w:val="008E080B"/>
    <w:rsid w:val="008E0965"/>
    <w:rsid w:val="008E0A26"/>
    <w:rsid w:val="008E0C29"/>
    <w:rsid w:val="008E0C55"/>
    <w:rsid w:val="008E0CDD"/>
    <w:rsid w:val="008E0D26"/>
    <w:rsid w:val="008E0D46"/>
    <w:rsid w:val="008E0D48"/>
    <w:rsid w:val="008E0E01"/>
    <w:rsid w:val="008E0E1B"/>
    <w:rsid w:val="008E0E71"/>
    <w:rsid w:val="008E0EC0"/>
    <w:rsid w:val="008E0FC6"/>
    <w:rsid w:val="008E1152"/>
    <w:rsid w:val="008E11D2"/>
    <w:rsid w:val="008E1260"/>
    <w:rsid w:val="008E1477"/>
    <w:rsid w:val="008E1553"/>
    <w:rsid w:val="008E1589"/>
    <w:rsid w:val="008E1597"/>
    <w:rsid w:val="008E15F8"/>
    <w:rsid w:val="008E1605"/>
    <w:rsid w:val="008E1623"/>
    <w:rsid w:val="008E1628"/>
    <w:rsid w:val="008E169A"/>
    <w:rsid w:val="008E170D"/>
    <w:rsid w:val="008E1755"/>
    <w:rsid w:val="008E18C7"/>
    <w:rsid w:val="008E1AEC"/>
    <w:rsid w:val="008E1C51"/>
    <w:rsid w:val="008E1F33"/>
    <w:rsid w:val="008E1F8D"/>
    <w:rsid w:val="008E2077"/>
    <w:rsid w:val="008E20B4"/>
    <w:rsid w:val="008E2107"/>
    <w:rsid w:val="008E218D"/>
    <w:rsid w:val="008E2335"/>
    <w:rsid w:val="008E2354"/>
    <w:rsid w:val="008E240E"/>
    <w:rsid w:val="008E248B"/>
    <w:rsid w:val="008E25B8"/>
    <w:rsid w:val="008E25E4"/>
    <w:rsid w:val="008E26AD"/>
    <w:rsid w:val="008E2818"/>
    <w:rsid w:val="008E28B9"/>
    <w:rsid w:val="008E28F6"/>
    <w:rsid w:val="008E2A32"/>
    <w:rsid w:val="008E2A69"/>
    <w:rsid w:val="008E2B0D"/>
    <w:rsid w:val="008E2B50"/>
    <w:rsid w:val="008E2BD3"/>
    <w:rsid w:val="008E2C1E"/>
    <w:rsid w:val="008E2CE6"/>
    <w:rsid w:val="008E2D5F"/>
    <w:rsid w:val="008E2DB8"/>
    <w:rsid w:val="008E2DCC"/>
    <w:rsid w:val="008E2EC0"/>
    <w:rsid w:val="008E2F69"/>
    <w:rsid w:val="008E3037"/>
    <w:rsid w:val="008E3081"/>
    <w:rsid w:val="008E30A0"/>
    <w:rsid w:val="008E311A"/>
    <w:rsid w:val="008E3165"/>
    <w:rsid w:val="008E31FC"/>
    <w:rsid w:val="008E3278"/>
    <w:rsid w:val="008E3338"/>
    <w:rsid w:val="008E33A9"/>
    <w:rsid w:val="008E36DA"/>
    <w:rsid w:val="008E3732"/>
    <w:rsid w:val="008E379D"/>
    <w:rsid w:val="008E37AF"/>
    <w:rsid w:val="008E3AA4"/>
    <w:rsid w:val="008E3AE4"/>
    <w:rsid w:val="008E3B1F"/>
    <w:rsid w:val="008E3CC9"/>
    <w:rsid w:val="008E3D6D"/>
    <w:rsid w:val="008E3D84"/>
    <w:rsid w:val="008E3DE6"/>
    <w:rsid w:val="008E3F6E"/>
    <w:rsid w:val="008E3FA9"/>
    <w:rsid w:val="008E400B"/>
    <w:rsid w:val="008E407E"/>
    <w:rsid w:val="008E40D4"/>
    <w:rsid w:val="008E40EE"/>
    <w:rsid w:val="008E4142"/>
    <w:rsid w:val="008E4150"/>
    <w:rsid w:val="008E41F7"/>
    <w:rsid w:val="008E4383"/>
    <w:rsid w:val="008E46EB"/>
    <w:rsid w:val="008E47B5"/>
    <w:rsid w:val="008E47E6"/>
    <w:rsid w:val="008E4800"/>
    <w:rsid w:val="008E482D"/>
    <w:rsid w:val="008E48B2"/>
    <w:rsid w:val="008E48F4"/>
    <w:rsid w:val="008E49DD"/>
    <w:rsid w:val="008E4A31"/>
    <w:rsid w:val="008E4A52"/>
    <w:rsid w:val="008E4B1C"/>
    <w:rsid w:val="008E4B85"/>
    <w:rsid w:val="008E4B8B"/>
    <w:rsid w:val="008E4C6A"/>
    <w:rsid w:val="008E4C8B"/>
    <w:rsid w:val="008E4DBF"/>
    <w:rsid w:val="008E4E92"/>
    <w:rsid w:val="008E4F10"/>
    <w:rsid w:val="008E4F24"/>
    <w:rsid w:val="008E4FCA"/>
    <w:rsid w:val="008E5053"/>
    <w:rsid w:val="008E514B"/>
    <w:rsid w:val="008E516A"/>
    <w:rsid w:val="008E51DB"/>
    <w:rsid w:val="008E52A2"/>
    <w:rsid w:val="008E52B9"/>
    <w:rsid w:val="008E52F5"/>
    <w:rsid w:val="008E535F"/>
    <w:rsid w:val="008E53EE"/>
    <w:rsid w:val="008E56AF"/>
    <w:rsid w:val="008E57F9"/>
    <w:rsid w:val="008E5A38"/>
    <w:rsid w:val="008E5A61"/>
    <w:rsid w:val="008E5A6A"/>
    <w:rsid w:val="008E5AF2"/>
    <w:rsid w:val="008E5B8C"/>
    <w:rsid w:val="008E5BDA"/>
    <w:rsid w:val="008E5C51"/>
    <w:rsid w:val="008E5E93"/>
    <w:rsid w:val="008E5F41"/>
    <w:rsid w:val="008E5F89"/>
    <w:rsid w:val="008E5FC1"/>
    <w:rsid w:val="008E6156"/>
    <w:rsid w:val="008E617B"/>
    <w:rsid w:val="008E62A0"/>
    <w:rsid w:val="008E62CF"/>
    <w:rsid w:val="008E6375"/>
    <w:rsid w:val="008E63ED"/>
    <w:rsid w:val="008E6411"/>
    <w:rsid w:val="008E6430"/>
    <w:rsid w:val="008E652F"/>
    <w:rsid w:val="008E65FE"/>
    <w:rsid w:val="008E662E"/>
    <w:rsid w:val="008E66B6"/>
    <w:rsid w:val="008E67E0"/>
    <w:rsid w:val="008E692E"/>
    <w:rsid w:val="008E6A27"/>
    <w:rsid w:val="008E6A64"/>
    <w:rsid w:val="008E6A85"/>
    <w:rsid w:val="008E6C44"/>
    <w:rsid w:val="008E6C85"/>
    <w:rsid w:val="008E6D0C"/>
    <w:rsid w:val="008E6DBC"/>
    <w:rsid w:val="008E6E52"/>
    <w:rsid w:val="008E6F3B"/>
    <w:rsid w:val="008E7088"/>
    <w:rsid w:val="008E716A"/>
    <w:rsid w:val="008E719D"/>
    <w:rsid w:val="008E71D2"/>
    <w:rsid w:val="008E71F7"/>
    <w:rsid w:val="008E7277"/>
    <w:rsid w:val="008E7291"/>
    <w:rsid w:val="008E7300"/>
    <w:rsid w:val="008E7365"/>
    <w:rsid w:val="008E74BC"/>
    <w:rsid w:val="008E74FD"/>
    <w:rsid w:val="008E75A6"/>
    <w:rsid w:val="008E75AB"/>
    <w:rsid w:val="008E7815"/>
    <w:rsid w:val="008E796F"/>
    <w:rsid w:val="008E7B9C"/>
    <w:rsid w:val="008E7C61"/>
    <w:rsid w:val="008E7C6E"/>
    <w:rsid w:val="008E7D77"/>
    <w:rsid w:val="008E7F68"/>
    <w:rsid w:val="008E7FB4"/>
    <w:rsid w:val="008E7FB8"/>
    <w:rsid w:val="008E7FBC"/>
    <w:rsid w:val="008F0199"/>
    <w:rsid w:val="008F01D1"/>
    <w:rsid w:val="008F02B8"/>
    <w:rsid w:val="008F02E4"/>
    <w:rsid w:val="008F0359"/>
    <w:rsid w:val="008F03E1"/>
    <w:rsid w:val="008F05FB"/>
    <w:rsid w:val="008F0602"/>
    <w:rsid w:val="008F06F1"/>
    <w:rsid w:val="008F07FD"/>
    <w:rsid w:val="008F0806"/>
    <w:rsid w:val="008F089F"/>
    <w:rsid w:val="008F0A9C"/>
    <w:rsid w:val="008F0B63"/>
    <w:rsid w:val="008F0BBF"/>
    <w:rsid w:val="008F0C01"/>
    <w:rsid w:val="008F0C9A"/>
    <w:rsid w:val="008F0DD4"/>
    <w:rsid w:val="008F0E3C"/>
    <w:rsid w:val="008F0F5C"/>
    <w:rsid w:val="008F1071"/>
    <w:rsid w:val="008F1104"/>
    <w:rsid w:val="008F1354"/>
    <w:rsid w:val="008F144D"/>
    <w:rsid w:val="008F155B"/>
    <w:rsid w:val="008F1652"/>
    <w:rsid w:val="008F165F"/>
    <w:rsid w:val="008F17F7"/>
    <w:rsid w:val="008F1889"/>
    <w:rsid w:val="008F19F3"/>
    <w:rsid w:val="008F1A6E"/>
    <w:rsid w:val="008F1AE0"/>
    <w:rsid w:val="008F1B22"/>
    <w:rsid w:val="008F1BA1"/>
    <w:rsid w:val="008F1BAC"/>
    <w:rsid w:val="008F1BB2"/>
    <w:rsid w:val="008F1CAE"/>
    <w:rsid w:val="008F1D03"/>
    <w:rsid w:val="008F1DB5"/>
    <w:rsid w:val="008F1F50"/>
    <w:rsid w:val="008F2121"/>
    <w:rsid w:val="008F2191"/>
    <w:rsid w:val="008F2232"/>
    <w:rsid w:val="008F233B"/>
    <w:rsid w:val="008F2447"/>
    <w:rsid w:val="008F2498"/>
    <w:rsid w:val="008F2601"/>
    <w:rsid w:val="008F2626"/>
    <w:rsid w:val="008F26A8"/>
    <w:rsid w:val="008F272B"/>
    <w:rsid w:val="008F2882"/>
    <w:rsid w:val="008F28B9"/>
    <w:rsid w:val="008F2936"/>
    <w:rsid w:val="008F29BA"/>
    <w:rsid w:val="008F29D3"/>
    <w:rsid w:val="008F2A01"/>
    <w:rsid w:val="008F2A48"/>
    <w:rsid w:val="008F2BC8"/>
    <w:rsid w:val="008F2C14"/>
    <w:rsid w:val="008F2C8B"/>
    <w:rsid w:val="008F2DB7"/>
    <w:rsid w:val="008F2ED7"/>
    <w:rsid w:val="008F2F17"/>
    <w:rsid w:val="008F2F21"/>
    <w:rsid w:val="008F324B"/>
    <w:rsid w:val="008F32D5"/>
    <w:rsid w:val="008F3334"/>
    <w:rsid w:val="008F33A1"/>
    <w:rsid w:val="008F35B5"/>
    <w:rsid w:val="008F3649"/>
    <w:rsid w:val="008F3655"/>
    <w:rsid w:val="008F37A0"/>
    <w:rsid w:val="008F37D7"/>
    <w:rsid w:val="008F3867"/>
    <w:rsid w:val="008F38DD"/>
    <w:rsid w:val="008F3909"/>
    <w:rsid w:val="008F3A8F"/>
    <w:rsid w:val="008F3B22"/>
    <w:rsid w:val="008F3B62"/>
    <w:rsid w:val="008F3B96"/>
    <w:rsid w:val="008F3EB5"/>
    <w:rsid w:val="008F4099"/>
    <w:rsid w:val="008F40A9"/>
    <w:rsid w:val="008F40CB"/>
    <w:rsid w:val="008F40ED"/>
    <w:rsid w:val="008F4179"/>
    <w:rsid w:val="008F417B"/>
    <w:rsid w:val="008F41A0"/>
    <w:rsid w:val="008F42BB"/>
    <w:rsid w:val="008F4325"/>
    <w:rsid w:val="008F4548"/>
    <w:rsid w:val="008F465E"/>
    <w:rsid w:val="008F4668"/>
    <w:rsid w:val="008F467E"/>
    <w:rsid w:val="008F46B8"/>
    <w:rsid w:val="008F46D6"/>
    <w:rsid w:val="008F47E5"/>
    <w:rsid w:val="008F4815"/>
    <w:rsid w:val="008F481E"/>
    <w:rsid w:val="008F4939"/>
    <w:rsid w:val="008F49D3"/>
    <w:rsid w:val="008F4A9E"/>
    <w:rsid w:val="008F4AE1"/>
    <w:rsid w:val="008F4B3A"/>
    <w:rsid w:val="008F4B86"/>
    <w:rsid w:val="008F4BB1"/>
    <w:rsid w:val="008F4C5A"/>
    <w:rsid w:val="008F4C70"/>
    <w:rsid w:val="008F4C83"/>
    <w:rsid w:val="008F4CA2"/>
    <w:rsid w:val="008F4E2B"/>
    <w:rsid w:val="008F4EAD"/>
    <w:rsid w:val="008F51BC"/>
    <w:rsid w:val="008F51F5"/>
    <w:rsid w:val="008F5342"/>
    <w:rsid w:val="008F539B"/>
    <w:rsid w:val="008F5419"/>
    <w:rsid w:val="008F54B7"/>
    <w:rsid w:val="008F5541"/>
    <w:rsid w:val="008F5547"/>
    <w:rsid w:val="008F55AC"/>
    <w:rsid w:val="008F5643"/>
    <w:rsid w:val="008F5665"/>
    <w:rsid w:val="008F5B47"/>
    <w:rsid w:val="008F5C97"/>
    <w:rsid w:val="008F5D3A"/>
    <w:rsid w:val="008F5D3E"/>
    <w:rsid w:val="008F5DD8"/>
    <w:rsid w:val="008F601C"/>
    <w:rsid w:val="008F6117"/>
    <w:rsid w:val="008F6168"/>
    <w:rsid w:val="008F61B5"/>
    <w:rsid w:val="008F6610"/>
    <w:rsid w:val="008F667E"/>
    <w:rsid w:val="008F6770"/>
    <w:rsid w:val="008F67C4"/>
    <w:rsid w:val="008F6999"/>
    <w:rsid w:val="008F6A0F"/>
    <w:rsid w:val="008F6A17"/>
    <w:rsid w:val="008F6D0F"/>
    <w:rsid w:val="008F6D15"/>
    <w:rsid w:val="008F6D2C"/>
    <w:rsid w:val="008F6E19"/>
    <w:rsid w:val="008F6EF2"/>
    <w:rsid w:val="008F6F63"/>
    <w:rsid w:val="008F70B4"/>
    <w:rsid w:val="008F70CD"/>
    <w:rsid w:val="008F7106"/>
    <w:rsid w:val="008F7190"/>
    <w:rsid w:val="008F71D1"/>
    <w:rsid w:val="008F71EC"/>
    <w:rsid w:val="008F7224"/>
    <w:rsid w:val="008F7231"/>
    <w:rsid w:val="008F72DB"/>
    <w:rsid w:val="008F73F7"/>
    <w:rsid w:val="008F7405"/>
    <w:rsid w:val="008F745C"/>
    <w:rsid w:val="008F7464"/>
    <w:rsid w:val="008F7489"/>
    <w:rsid w:val="008F764B"/>
    <w:rsid w:val="008F765D"/>
    <w:rsid w:val="008F76EF"/>
    <w:rsid w:val="008F7769"/>
    <w:rsid w:val="008F7930"/>
    <w:rsid w:val="008F7997"/>
    <w:rsid w:val="008F7A59"/>
    <w:rsid w:val="008F7B65"/>
    <w:rsid w:val="008F7BF6"/>
    <w:rsid w:val="008F7C9D"/>
    <w:rsid w:val="008F7D9A"/>
    <w:rsid w:val="008F7DE4"/>
    <w:rsid w:val="008F7E7E"/>
    <w:rsid w:val="008F7F44"/>
    <w:rsid w:val="00900093"/>
    <w:rsid w:val="009001AA"/>
    <w:rsid w:val="009001FE"/>
    <w:rsid w:val="0090020F"/>
    <w:rsid w:val="00900211"/>
    <w:rsid w:val="009002F5"/>
    <w:rsid w:val="0090043B"/>
    <w:rsid w:val="00900482"/>
    <w:rsid w:val="009004FE"/>
    <w:rsid w:val="00900929"/>
    <w:rsid w:val="009009B7"/>
    <w:rsid w:val="00900AEF"/>
    <w:rsid w:val="00900C54"/>
    <w:rsid w:val="00900CFD"/>
    <w:rsid w:val="00900E15"/>
    <w:rsid w:val="00900E69"/>
    <w:rsid w:val="00900EB9"/>
    <w:rsid w:val="00900F2A"/>
    <w:rsid w:val="00900FF9"/>
    <w:rsid w:val="00901006"/>
    <w:rsid w:val="00901067"/>
    <w:rsid w:val="00901229"/>
    <w:rsid w:val="0090129E"/>
    <w:rsid w:val="009012E8"/>
    <w:rsid w:val="0090130F"/>
    <w:rsid w:val="009013F3"/>
    <w:rsid w:val="00901442"/>
    <w:rsid w:val="00901594"/>
    <w:rsid w:val="00901606"/>
    <w:rsid w:val="00901696"/>
    <w:rsid w:val="00901772"/>
    <w:rsid w:val="009017B3"/>
    <w:rsid w:val="0090186C"/>
    <w:rsid w:val="0090188A"/>
    <w:rsid w:val="00901961"/>
    <w:rsid w:val="00901991"/>
    <w:rsid w:val="009019A8"/>
    <w:rsid w:val="009019D4"/>
    <w:rsid w:val="00901A0C"/>
    <w:rsid w:val="00901A86"/>
    <w:rsid w:val="00901AC6"/>
    <w:rsid w:val="00901BAB"/>
    <w:rsid w:val="00901C07"/>
    <w:rsid w:val="00901C1D"/>
    <w:rsid w:val="00901D69"/>
    <w:rsid w:val="00901E7D"/>
    <w:rsid w:val="00901EAD"/>
    <w:rsid w:val="00902145"/>
    <w:rsid w:val="009021D0"/>
    <w:rsid w:val="0090223F"/>
    <w:rsid w:val="0090229F"/>
    <w:rsid w:val="00902305"/>
    <w:rsid w:val="0090237E"/>
    <w:rsid w:val="00902471"/>
    <w:rsid w:val="00902506"/>
    <w:rsid w:val="0090253E"/>
    <w:rsid w:val="00902625"/>
    <w:rsid w:val="009027AE"/>
    <w:rsid w:val="00902840"/>
    <w:rsid w:val="009028F3"/>
    <w:rsid w:val="00902AB5"/>
    <w:rsid w:val="00902CAD"/>
    <w:rsid w:val="00902E09"/>
    <w:rsid w:val="00902E91"/>
    <w:rsid w:val="00902FF4"/>
    <w:rsid w:val="009030B3"/>
    <w:rsid w:val="009031F5"/>
    <w:rsid w:val="0090328F"/>
    <w:rsid w:val="0090358A"/>
    <w:rsid w:val="00903599"/>
    <w:rsid w:val="009036D7"/>
    <w:rsid w:val="0090376A"/>
    <w:rsid w:val="00903770"/>
    <w:rsid w:val="0090377D"/>
    <w:rsid w:val="009037F2"/>
    <w:rsid w:val="00903831"/>
    <w:rsid w:val="00903835"/>
    <w:rsid w:val="009038E3"/>
    <w:rsid w:val="00903911"/>
    <w:rsid w:val="009039A8"/>
    <w:rsid w:val="00903A1F"/>
    <w:rsid w:val="00903B4F"/>
    <w:rsid w:val="00903DA4"/>
    <w:rsid w:val="00903EF5"/>
    <w:rsid w:val="00903FA4"/>
    <w:rsid w:val="009040A5"/>
    <w:rsid w:val="0090414A"/>
    <w:rsid w:val="009041B6"/>
    <w:rsid w:val="009045E5"/>
    <w:rsid w:val="009046D9"/>
    <w:rsid w:val="00904743"/>
    <w:rsid w:val="009047C9"/>
    <w:rsid w:val="009047CE"/>
    <w:rsid w:val="00904894"/>
    <w:rsid w:val="00904AB1"/>
    <w:rsid w:val="00904C15"/>
    <w:rsid w:val="00904C87"/>
    <w:rsid w:val="00904C96"/>
    <w:rsid w:val="00904D52"/>
    <w:rsid w:val="00904F2C"/>
    <w:rsid w:val="0090506B"/>
    <w:rsid w:val="00905181"/>
    <w:rsid w:val="009051AE"/>
    <w:rsid w:val="00905206"/>
    <w:rsid w:val="0090529F"/>
    <w:rsid w:val="009052EC"/>
    <w:rsid w:val="00905468"/>
    <w:rsid w:val="00905605"/>
    <w:rsid w:val="009056EC"/>
    <w:rsid w:val="00905858"/>
    <w:rsid w:val="009059AD"/>
    <w:rsid w:val="00905B9C"/>
    <w:rsid w:val="00905BF7"/>
    <w:rsid w:val="00905CFA"/>
    <w:rsid w:val="00905D39"/>
    <w:rsid w:val="00905D46"/>
    <w:rsid w:val="00905DD8"/>
    <w:rsid w:val="00905EBE"/>
    <w:rsid w:val="00905EC4"/>
    <w:rsid w:val="00905FC5"/>
    <w:rsid w:val="00905FEA"/>
    <w:rsid w:val="00906002"/>
    <w:rsid w:val="00906133"/>
    <w:rsid w:val="009061F0"/>
    <w:rsid w:val="009062A6"/>
    <w:rsid w:val="0090632D"/>
    <w:rsid w:val="00906559"/>
    <w:rsid w:val="00906587"/>
    <w:rsid w:val="00906615"/>
    <w:rsid w:val="00906650"/>
    <w:rsid w:val="00906692"/>
    <w:rsid w:val="0090671B"/>
    <w:rsid w:val="0090685B"/>
    <w:rsid w:val="009068FC"/>
    <w:rsid w:val="009069CE"/>
    <w:rsid w:val="00906A95"/>
    <w:rsid w:val="00906ABD"/>
    <w:rsid w:val="00906AD4"/>
    <w:rsid w:val="00906B07"/>
    <w:rsid w:val="00906B68"/>
    <w:rsid w:val="00906D6F"/>
    <w:rsid w:val="00906DE7"/>
    <w:rsid w:val="00906E13"/>
    <w:rsid w:val="00906E3A"/>
    <w:rsid w:val="00906E61"/>
    <w:rsid w:val="00906E80"/>
    <w:rsid w:val="00906F53"/>
    <w:rsid w:val="00906FB2"/>
    <w:rsid w:val="00906FBA"/>
    <w:rsid w:val="00907050"/>
    <w:rsid w:val="00907102"/>
    <w:rsid w:val="00907155"/>
    <w:rsid w:val="009071F9"/>
    <w:rsid w:val="009073C4"/>
    <w:rsid w:val="009074C4"/>
    <w:rsid w:val="00907532"/>
    <w:rsid w:val="009075C8"/>
    <w:rsid w:val="00907641"/>
    <w:rsid w:val="009076FE"/>
    <w:rsid w:val="00907760"/>
    <w:rsid w:val="00907813"/>
    <w:rsid w:val="00907829"/>
    <w:rsid w:val="009078CC"/>
    <w:rsid w:val="0090796E"/>
    <w:rsid w:val="009079A6"/>
    <w:rsid w:val="009079D1"/>
    <w:rsid w:val="00907A9B"/>
    <w:rsid w:val="00907BAD"/>
    <w:rsid w:val="00907C00"/>
    <w:rsid w:val="00907C4E"/>
    <w:rsid w:val="00907D7D"/>
    <w:rsid w:val="00907E83"/>
    <w:rsid w:val="00907EF5"/>
    <w:rsid w:val="00910122"/>
    <w:rsid w:val="00910173"/>
    <w:rsid w:val="0091022B"/>
    <w:rsid w:val="00910248"/>
    <w:rsid w:val="009102A1"/>
    <w:rsid w:val="0091030B"/>
    <w:rsid w:val="00910320"/>
    <w:rsid w:val="009103A3"/>
    <w:rsid w:val="009103F7"/>
    <w:rsid w:val="00910585"/>
    <w:rsid w:val="00910600"/>
    <w:rsid w:val="009106BA"/>
    <w:rsid w:val="009106CA"/>
    <w:rsid w:val="009108D1"/>
    <w:rsid w:val="0091096F"/>
    <w:rsid w:val="00910974"/>
    <w:rsid w:val="009109D0"/>
    <w:rsid w:val="00910AA1"/>
    <w:rsid w:val="00910BCC"/>
    <w:rsid w:val="00910C36"/>
    <w:rsid w:val="00910D08"/>
    <w:rsid w:val="00910DEB"/>
    <w:rsid w:val="00910E3B"/>
    <w:rsid w:val="00910FB4"/>
    <w:rsid w:val="009110D4"/>
    <w:rsid w:val="00911220"/>
    <w:rsid w:val="00911243"/>
    <w:rsid w:val="009112A0"/>
    <w:rsid w:val="0091140C"/>
    <w:rsid w:val="009114A7"/>
    <w:rsid w:val="009114C6"/>
    <w:rsid w:val="009114F9"/>
    <w:rsid w:val="00911546"/>
    <w:rsid w:val="009117FB"/>
    <w:rsid w:val="009118F9"/>
    <w:rsid w:val="0091191B"/>
    <w:rsid w:val="009119DA"/>
    <w:rsid w:val="00911B3D"/>
    <w:rsid w:val="00911DDC"/>
    <w:rsid w:val="00911E2A"/>
    <w:rsid w:val="00911E63"/>
    <w:rsid w:val="00911E9D"/>
    <w:rsid w:val="00912000"/>
    <w:rsid w:val="00912083"/>
    <w:rsid w:val="009120A8"/>
    <w:rsid w:val="009120EE"/>
    <w:rsid w:val="0091213D"/>
    <w:rsid w:val="009121A4"/>
    <w:rsid w:val="009122EB"/>
    <w:rsid w:val="00912330"/>
    <w:rsid w:val="00912334"/>
    <w:rsid w:val="009123A8"/>
    <w:rsid w:val="009123AC"/>
    <w:rsid w:val="009123DD"/>
    <w:rsid w:val="009123E0"/>
    <w:rsid w:val="009123E3"/>
    <w:rsid w:val="00912476"/>
    <w:rsid w:val="009124A3"/>
    <w:rsid w:val="00912517"/>
    <w:rsid w:val="00912541"/>
    <w:rsid w:val="009125A9"/>
    <w:rsid w:val="009125B0"/>
    <w:rsid w:val="00912801"/>
    <w:rsid w:val="00912824"/>
    <w:rsid w:val="00912886"/>
    <w:rsid w:val="0091299C"/>
    <w:rsid w:val="00912A78"/>
    <w:rsid w:val="00912ADA"/>
    <w:rsid w:val="00912BC5"/>
    <w:rsid w:val="00912C3D"/>
    <w:rsid w:val="00912C8F"/>
    <w:rsid w:val="00912D09"/>
    <w:rsid w:val="00912D0E"/>
    <w:rsid w:val="00912D2B"/>
    <w:rsid w:val="00912D70"/>
    <w:rsid w:val="00912D95"/>
    <w:rsid w:val="00912DDD"/>
    <w:rsid w:val="00912DE1"/>
    <w:rsid w:val="00912FF8"/>
    <w:rsid w:val="00913045"/>
    <w:rsid w:val="009131B1"/>
    <w:rsid w:val="009133DF"/>
    <w:rsid w:val="00913403"/>
    <w:rsid w:val="0091347B"/>
    <w:rsid w:val="009134B6"/>
    <w:rsid w:val="00913532"/>
    <w:rsid w:val="00913533"/>
    <w:rsid w:val="009136FC"/>
    <w:rsid w:val="0091375F"/>
    <w:rsid w:val="009137AE"/>
    <w:rsid w:val="00913806"/>
    <w:rsid w:val="0091390A"/>
    <w:rsid w:val="009139A1"/>
    <w:rsid w:val="009139B3"/>
    <w:rsid w:val="009139CC"/>
    <w:rsid w:val="00913A4F"/>
    <w:rsid w:val="00913AD8"/>
    <w:rsid w:val="00913BF7"/>
    <w:rsid w:val="00913C5B"/>
    <w:rsid w:val="00913C74"/>
    <w:rsid w:val="00913DB6"/>
    <w:rsid w:val="00913E89"/>
    <w:rsid w:val="00913F0C"/>
    <w:rsid w:val="00913F4C"/>
    <w:rsid w:val="00913F92"/>
    <w:rsid w:val="00914049"/>
    <w:rsid w:val="00914139"/>
    <w:rsid w:val="009141C9"/>
    <w:rsid w:val="00914256"/>
    <w:rsid w:val="00914312"/>
    <w:rsid w:val="0091437D"/>
    <w:rsid w:val="009143E6"/>
    <w:rsid w:val="009144CF"/>
    <w:rsid w:val="0091455F"/>
    <w:rsid w:val="00914832"/>
    <w:rsid w:val="00914940"/>
    <w:rsid w:val="009149E1"/>
    <w:rsid w:val="009149FC"/>
    <w:rsid w:val="00914A93"/>
    <w:rsid w:val="00914A9B"/>
    <w:rsid w:val="00914C32"/>
    <w:rsid w:val="00914D52"/>
    <w:rsid w:val="00914E8E"/>
    <w:rsid w:val="00914ED9"/>
    <w:rsid w:val="009150E4"/>
    <w:rsid w:val="00915186"/>
    <w:rsid w:val="00915322"/>
    <w:rsid w:val="00915352"/>
    <w:rsid w:val="0091540E"/>
    <w:rsid w:val="00915420"/>
    <w:rsid w:val="0091542A"/>
    <w:rsid w:val="00915482"/>
    <w:rsid w:val="009154CD"/>
    <w:rsid w:val="00915516"/>
    <w:rsid w:val="00915553"/>
    <w:rsid w:val="0091568B"/>
    <w:rsid w:val="00915747"/>
    <w:rsid w:val="00915988"/>
    <w:rsid w:val="009159CF"/>
    <w:rsid w:val="009159E6"/>
    <w:rsid w:val="009159FB"/>
    <w:rsid w:val="00915B89"/>
    <w:rsid w:val="00915C72"/>
    <w:rsid w:val="00915CEE"/>
    <w:rsid w:val="00915D80"/>
    <w:rsid w:val="00915E8C"/>
    <w:rsid w:val="00915F21"/>
    <w:rsid w:val="00915F24"/>
    <w:rsid w:val="00916036"/>
    <w:rsid w:val="009161B3"/>
    <w:rsid w:val="00916203"/>
    <w:rsid w:val="0091637E"/>
    <w:rsid w:val="009163A9"/>
    <w:rsid w:val="009163F3"/>
    <w:rsid w:val="009164B3"/>
    <w:rsid w:val="009164C5"/>
    <w:rsid w:val="00916976"/>
    <w:rsid w:val="009169D1"/>
    <w:rsid w:val="00916BAF"/>
    <w:rsid w:val="00916D3C"/>
    <w:rsid w:val="00916D71"/>
    <w:rsid w:val="00916DBA"/>
    <w:rsid w:val="00916F14"/>
    <w:rsid w:val="00916F57"/>
    <w:rsid w:val="00917133"/>
    <w:rsid w:val="00917199"/>
    <w:rsid w:val="00917285"/>
    <w:rsid w:val="00917312"/>
    <w:rsid w:val="00917316"/>
    <w:rsid w:val="00917367"/>
    <w:rsid w:val="009173E5"/>
    <w:rsid w:val="00917476"/>
    <w:rsid w:val="00917551"/>
    <w:rsid w:val="00917553"/>
    <w:rsid w:val="00917598"/>
    <w:rsid w:val="009175CE"/>
    <w:rsid w:val="009176DF"/>
    <w:rsid w:val="00917907"/>
    <w:rsid w:val="00917932"/>
    <w:rsid w:val="0091797F"/>
    <w:rsid w:val="00917ACD"/>
    <w:rsid w:val="00917B3A"/>
    <w:rsid w:val="00917B4E"/>
    <w:rsid w:val="00917B71"/>
    <w:rsid w:val="00917BEA"/>
    <w:rsid w:val="00917C58"/>
    <w:rsid w:val="00917CE8"/>
    <w:rsid w:val="00917D21"/>
    <w:rsid w:val="00917D41"/>
    <w:rsid w:val="00917D85"/>
    <w:rsid w:val="00917DB7"/>
    <w:rsid w:val="00917DFF"/>
    <w:rsid w:val="00917E83"/>
    <w:rsid w:val="00917FB8"/>
    <w:rsid w:val="00917FD7"/>
    <w:rsid w:val="00920024"/>
    <w:rsid w:val="00920058"/>
    <w:rsid w:val="00920173"/>
    <w:rsid w:val="00920190"/>
    <w:rsid w:val="009201CD"/>
    <w:rsid w:val="00920277"/>
    <w:rsid w:val="00920306"/>
    <w:rsid w:val="00920314"/>
    <w:rsid w:val="0092031C"/>
    <w:rsid w:val="00920340"/>
    <w:rsid w:val="009203AE"/>
    <w:rsid w:val="00920551"/>
    <w:rsid w:val="00920646"/>
    <w:rsid w:val="00920654"/>
    <w:rsid w:val="009206E1"/>
    <w:rsid w:val="00920702"/>
    <w:rsid w:val="00920722"/>
    <w:rsid w:val="0092079C"/>
    <w:rsid w:val="009207FC"/>
    <w:rsid w:val="00920841"/>
    <w:rsid w:val="0092088B"/>
    <w:rsid w:val="009208B6"/>
    <w:rsid w:val="009208DE"/>
    <w:rsid w:val="00920941"/>
    <w:rsid w:val="0092098E"/>
    <w:rsid w:val="009209CC"/>
    <w:rsid w:val="00920A41"/>
    <w:rsid w:val="00920AF6"/>
    <w:rsid w:val="00920BD2"/>
    <w:rsid w:val="00920C3D"/>
    <w:rsid w:val="00920D22"/>
    <w:rsid w:val="00920DA5"/>
    <w:rsid w:val="00920E62"/>
    <w:rsid w:val="009214A6"/>
    <w:rsid w:val="009214B1"/>
    <w:rsid w:val="00921501"/>
    <w:rsid w:val="00921532"/>
    <w:rsid w:val="0092159F"/>
    <w:rsid w:val="009216D9"/>
    <w:rsid w:val="009217B1"/>
    <w:rsid w:val="0092182A"/>
    <w:rsid w:val="0092186A"/>
    <w:rsid w:val="00921928"/>
    <w:rsid w:val="0092195F"/>
    <w:rsid w:val="00921B7B"/>
    <w:rsid w:val="00921C6D"/>
    <w:rsid w:val="0092215C"/>
    <w:rsid w:val="00922164"/>
    <w:rsid w:val="00922378"/>
    <w:rsid w:val="009223A5"/>
    <w:rsid w:val="00922450"/>
    <w:rsid w:val="009224AF"/>
    <w:rsid w:val="00922550"/>
    <w:rsid w:val="009225C3"/>
    <w:rsid w:val="009225F9"/>
    <w:rsid w:val="0092267A"/>
    <w:rsid w:val="009226AE"/>
    <w:rsid w:val="009226E8"/>
    <w:rsid w:val="009226FC"/>
    <w:rsid w:val="009229B9"/>
    <w:rsid w:val="00922AAF"/>
    <w:rsid w:val="00922AC9"/>
    <w:rsid w:val="00922AF3"/>
    <w:rsid w:val="00922B14"/>
    <w:rsid w:val="00922B2D"/>
    <w:rsid w:val="00922B98"/>
    <w:rsid w:val="00922BE8"/>
    <w:rsid w:val="00922D93"/>
    <w:rsid w:val="00922D9C"/>
    <w:rsid w:val="00922E13"/>
    <w:rsid w:val="00922E27"/>
    <w:rsid w:val="00922E49"/>
    <w:rsid w:val="00922FA5"/>
    <w:rsid w:val="00922FFE"/>
    <w:rsid w:val="0092305E"/>
    <w:rsid w:val="009230E2"/>
    <w:rsid w:val="00923237"/>
    <w:rsid w:val="00923276"/>
    <w:rsid w:val="009232FA"/>
    <w:rsid w:val="0092333C"/>
    <w:rsid w:val="009234BF"/>
    <w:rsid w:val="0092366A"/>
    <w:rsid w:val="009236EE"/>
    <w:rsid w:val="00923862"/>
    <w:rsid w:val="00923992"/>
    <w:rsid w:val="00923A95"/>
    <w:rsid w:val="00923AEF"/>
    <w:rsid w:val="00923AFC"/>
    <w:rsid w:val="00923B9E"/>
    <w:rsid w:val="00923BBE"/>
    <w:rsid w:val="00923BF9"/>
    <w:rsid w:val="00923CF6"/>
    <w:rsid w:val="00923F4D"/>
    <w:rsid w:val="00924055"/>
    <w:rsid w:val="00924075"/>
    <w:rsid w:val="00924115"/>
    <w:rsid w:val="00924173"/>
    <w:rsid w:val="00924195"/>
    <w:rsid w:val="00924225"/>
    <w:rsid w:val="00924242"/>
    <w:rsid w:val="00924255"/>
    <w:rsid w:val="009242A4"/>
    <w:rsid w:val="009242DA"/>
    <w:rsid w:val="00924311"/>
    <w:rsid w:val="00924506"/>
    <w:rsid w:val="0092450D"/>
    <w:rsid w:val="0092468D"/>
    <w:rsid w:val="0092478B"/>
    <w:rsid w:val="00924994"/>
    <w:rsid w:val="009249F5"/>
    <w:rsid w:val="00924AB4"/>
    <w:rsid w:val="00924C71"/>
    <w:rsid w:val="00924D16"/>
    <w:rsid w:val="00924D29"/>
    <w:rsid w:val="00924E39"/>
    <w:rsid w:val="00924F94"/>
    <w:rsid w:val="00924FD4"/>
    <w:rsid w:val="00925102"/>
    <w:rsid w:val="0092527C"/>
    <w:rsid w:val="009252A2"/>
    <w:rsid w:val="009252E4"/>
    <w:rsid w:val="009255C3"/>
    <w:rsid w:val="009255DC"/>
    <w:rsid w:val="009256E7"/>
    <w:rsid w:val="0092572D"/>
    <w:rsid w:val="00925745"/>
    <w:rsid w:val="009259D7"/>
    <w:rsid w:val="009259F8"/>
    <w:rsid w:val="00925AFD"/>
    <w:rsid w:val="00925B3A"/>
    <w:rsid w:val="00925B3F"/>
    <w:rsid w:val="00925B4D"/>
    <w:rsid w:val="00925BA3"/>
    <w:rsid w:val="00925BB4"/>
    <w:rsid w:val="00925CAC"/>
    <w:rsid w:val="00925DA5"/>
    <w:rsid w:val="00925F35"/>
    <w:rsid w:val="00925F66"/>
    <w:rsid w:val="00925FF1"/>
    <w:rsid w:val="00926069"/>
    <w:rsid w:val="009260BF"/>
    <w:rsid w:val="009260FF"/>
    <w:rsid w:val="009261B8"/>
    <w:rsid w:val="00926346"/>
    <w:rsid w:val="009263A9"/>
    <w:rsid w:val="00926440"/>
    <w:rsid w:val="009264E6"/>
    <w:rsid w:val="00926514"/>
    <w:rsid w:val="0092653F"/>
    <w:rsid w:val="009265F2"/>
    <w:rsid w:val="009266B7"/>
    <w:rsid w:val="009266F9"/>
    <w:rsid w:val="009267AE"/>
    <w:rsid w:val="009268A4"/>
    <w:rsid w:val="0092693B"/>
    <w:rsid w:val="00926A94"/>
    <w:rsid w:val="00926AE8"/>
    <w:rsid w:val="00926BEB"/>
    <w:rsid w:val="00926CBB"/>
    <w:rsid w:val="00926F91"/>
    <w:rsid w:val="00926FFE"/>
    <w:rsid w:val="00927011"/>
    <w:rsid w:val="0092703E"/>
    <w:rsid w:val="0092714B"/>
    <w:rsid w:val="00927274"/>
    <w:rsid w:val="00927417"/>
    <w:rsid w:val="009274EF"/>
    <w:rsid w:val="009275E6"/>
    <w:rsid w:val="00927688"/>
    <w:rsid w:val="009276EA"/>
    <w:rsid w:val="0092776C"/>
    <w:rsid w:val="00927790"/>
    <w:rsid w:val="00927A52"/>
    <w:rsid w:val="00927A90"/>
    <w:rsid w:val="00927CC3"/>
    <w:rsid w:val="00927FBC"/>
    <w:rsid w:val="0093000F"/>
    <w:rsid w:val="0093012D"/>
    <w:rsid w:val="009301CA"/>
    <w:rsid w:val="00930349"/>
    <w:rsid w:val="009303EE"/>
    <w:rsid w:val="00930488"/>
    <w:rsid w:val="00930550"/>
    <w:rsid w:val="009305DC"/>
    <w:rsid w:val="00930642"/>
    <w:rsid w:val="00930665"/>
    <w:rsid w:val="0093070B"/>
    <w:rsid w:val="00930785"/>
    <w:rsid w:val="0093078E"/>
    <w:rsid w:val="0093091F"/>
    <w:rsid w:val="0093097C"/>
    <w:rsid w:val="00930A70"/>
    <w:rsid w:val="00930AA3"/>
    <w:rsid w:val="00930AD1"/>
    <w:rsid w:val="00930AEE"/>
    <w:rsid w:val="00930BED"/>
    <w:rsid w:val="00930F03"/>
    <w:rsid w:val="00930F31"/>
    <w:rsid w:val="00930F44"/>
    <w:rsid w:val="00930F78"/>
    <w:rsid w:val="00930FF1"/>
    <w:rsid w:val="00931094"/>
    <w:rsid w:val="009310EC"/>
    <w:rsid w:val="00931134"/>
    <w:rsid w:val="009311AD"/>
    <w:rsid w:val="0093142F"/>
    <w:rsid w:val="0093145B"/>
    <w:rsid w:val="00931506"/>
    <w:rsid w:val="00931514"/>
    <w:rsid w:val="00931591"/>
    <w:rsid w:val="00931621"/>
    <w:rsid w:val="0093167B"/>
    <w:rsid w:val="0093167F"/>
    <w:rsid w:val="009316E6"/>
    <w:rsid w:val="00931821"/>
    <w:rsid w:val="00931914"/>
    <w:rsid w:val="0093193D"/>
    <w:rsid w:val="00931A5B"/>
    <w:rsid w:val="00931A8F"/>
    <w:rsid w:val="00931B01"/>
    <w:rsid w:val="00931B59"/>
    <w:rsid w:val="00931BCE"/>
    <w:rsid w:val="00931C95"/>
    <w:rsid w:val="00931DB8"/>
    <w:rsid w:val="00931EAA"/>
    <w:rsid w:val="00931F89"/>
    <w:rsid w:val="0093218B"/>
    <w:rsid w:val="00932240"/>
    <w:rsid w:val="0093235B"/>
    <w:rsid w:val="00932439"/>
    <w:rsid w:val="00932455"/>
    <w:rsid w:val="00932473"/>
    <w:rsid w:val="0093278E"/>
    <w:rsid w:val="00932860"/>
    <w:rsid w:val="00932952"/>
    <w:rsid w:val="00932A0E"/>
    <w:rsid w:val="00932A3D"/>
    <w:rsid w:val="00932AD9"/>
    <w:rsid w:val="00932BA3"/>
    <w:rsid w:val="00932BF8"/>
    <w:rsid w:val="00932C96"/>
    <w:rsid w:val="00932CC8"/>
    <w:rsid w:val="00932CD2"/>
    <w:rsid w:val="00932CF0"/>
    <w:rsid w:val="00932CFC"/>
    <w:rsid w:val="00932D42"/>
    <w:rsid w:val="00932D87"/>
    <w:rsid w:val="00932DD3"/>
    <w:rsid w:val="00932E2D"/>
    <w:rsid w:val="00932EF5"/>
    <w:rsid w:val="00932F8B"/>
    <w:rsid w:val="00933084"/>
    <w:rsid w:val="00933085"/>
    <w:rsid w:val="009330F8"/>
    <w:rsid w:val="0093313A"/>
    <w:rsid w:val="009331C4"/>
    <w:rsid w:val="009331E2"/>
    <w:rsid w:val="009331EB"/>
    <w:rsid w:val="00933232"/>
    <w:rsid w:val="009332F2"/>
    <w:rsid w:val="0093330E"/>
    <w:rsid w:val="00933320"/>
    <w:rsid w:val="0093350E"/>
    <w:rsid w:val="0093352F"/>
    <w:rsid w:val="00933596"/>
    <w:rsid w:val="009335A5"/>
    <w:rsid w:val="00933708"/>
    <w:rsid w:val="0093385A"/>
    <w:rsid w:val="00933882"/>
    <w:rsid w:val="00933907"/>
    <w:rsid w:val="00933997"/>
    <w:rsid w:val="009339E7"/>
    <w:rsid w:val="009339F6"/>
    <w:rsid w:val="00933AE4"/>
    <w:rsid w:val="00933B08"/>
    <w:rsid w:val="00933BA8"/>
    <w:rsid w:val="00933DAB"/>
    <w:rsid w:val="00933E19"/>
    <w:rsid w:val="00933E9D"/>
    <w:rsid w:val="00933F10"/>
    <w:rsid w:val="00933FBA"/>
    <w:rsid w:val="009340A4"/>
    <w:rsid w:val="009340C3"/>
    <w:rsid w:val="009341F8"/>
    <w:rsid w:val="0093429E"/>
    <w:rsid w:val="009342C9"/>
    <w:rsid w:val="009342EF"/>
    <w:rsid w:val="009343F1"/>
    <w:rsid w:val="0093442A"/>
    <w:rsid w:val="0093450A"/>
    <w:rsid w:val="00934588"/>
    <w:rsid w:val="009345E4"/>
    <w:rsid w:val="009348B2"/>
    <w:rsid w:val="0093494D"/>
    <w:rsid w:val="00934A33"/>
    <w:rsid w:val="00934B37"/>
    <w:rsid w:val="00934B60"/>
    <w:rsid w:val="00934C86"/>
    <w:rsid w:val="0093509C"/>
    <w:rsid w:val="009351DF"/>
    <w:rsid w:val="009351FA"/>
    <w:rsid w:val="00935212"/>
    <w:rsid w:val="00935224"/>
    <w:rsid w:val="009352CD"/>
    <w:rsid w:val="009352F0"/>
    <w:rsid w:val="009354E5"/>
    <w:rsid w:val="0093577C"/>
    <w:rsid w:val="009357D6"/>
    <w:rsid w:val="00935823"/>
    <w:rsid w:val="009359A8"/>
    <w:rsid w:val="00935A03"/>
    <w:rsid w:val="00935A51"/>
    <w:rsid w:val="00935B3C"/>
    <w:rsid w:val="00935D2D"/>
    <w:rsid w:val="00935D33"/>
    <w:rsid w:val="00935D5C"/>
    <w:rsid w:val="00935DF1"/>
    <w:rsid w:val="00935F70"/>
    <w:rsid w:val="00935F8B"/>
    <w:rsid w:val="00936056"/>
    <w:rsid w:val="00936112"/>
    <w:rsid w:val="00936210"/>
    <w:rsid w:val="0093635E"/>
    <w:rsid w:val="00936569"/>
    <w:rsid w:val="00936612"/>
    <w:rsid w:val="0093671F"/>
    <w:rsid w:val="00936770"/>
    <w:rsid w:val="009367AB"/>
    <w:rsid w:val="009368D1"/>
    <w:rsid w:val="0093690E"/>
    <w:rsid w:val="00936956"/>
    <w:rsid w:val="0093696F"/>
    <w:rsid w:val="00936B36"/>
    <w:rsid w:val="00936C0C"/>
    <w:rsid w:val="00936C87"/>
    <w:rsid w:val="00936F5B"/>
    <w:rsid w:val="00936FB9"/>
    <w:rsid w:val="00936FE5"/>
    <w:rsid w:val="0093711A"/>
    <w:rsid w:val="00937294"/>
    <w:rsid w:val="009372D9"/>
    <w:rsid w:val="00937300"/>
    <w:rsid w:val="00937338"/>
    <w:rsid w:val="009373EE"/>
    <w:rsid w:val="00937569"/>
    <w:rsid w:val="009376CF"/>
    <w:rsid w:val="009376EE"/>
    <w:rsid w:val="0093792A"/>
    <w:rsid w:val="00937942"/>
    <w:rsid w:val="00937B77"/>
    <w:rsid w:val="00937BD5"/>
    <w:rsid w:val="00937EDF"/>
    <w:rsid w:val="00937F8F"/>
    <w:rsid w:val="0094014A"/>
    <w:rsid w:val="00940163"/>
    <w:rsid w:val="00940231"/>
    <w:rsid w:val="009402E3"/>
    <w:rsid w:val="0094045C"/>
    <w:rsid w:val="0094065D"/>
    <w:rsid w:val="009406A0"/>
    <w:rsid w:val="009407F9"/>
    <w:rsid w:val="009407FE"/>
    <w:rsid w:val="009409C4"/>
    <w:rsid w:val="009409F4"/>
    <w:rsid w:val="00940A40"/>
    <w:rsid w:val="00940A72"/>
    <w:rsid w:val="00940ACC"/>
    <w:rsid w:val="00940B42"/>
    <w:rsid w:val="00940B53"/>
    <w:rsid w:val="00940B6F"/>
    <w:rsid w:val="00940DDA"/>
    <w:rsid w:val="00940F7C"/>
    <w:rsid w:val="00940FA2"/>
    <w:rsid w:val="009410F3"/>
    <w:rsid w:val="009411C1"/>
    <w:rsid w:val="00941330"/>
    <w:rsid w:val="0094138D"/>
    <w:rsid w:val="00941488"/>
    <w:rsid w:val="009414BD"/>
    <w:rsid w:val="009415F0"/>
    <w:rsid w:val="0094164F"/>
    <w:rsid w:val="00941682"/>
    <w:rsid w:val="00941745"/>
    <w:rsid w:val="0094192C"/>
    <w:rsid w:val="00941A06"/>
    <w:rsid w:val="00941CDC"/>
    <w:rsid w:val="00941CE0"/>
    <w:rsid w:val="00941F4E"/>
    <w:rsid w:val="0094200B"/>
    <w:rsid w:val="009420E9"/>
    <w:rsid w:val="00942142"/>
    <w:rsid w:val="00942169"/>
    <w:rsid w:val="009421FB"/>
    <w:rsid w:val="0094223C"/>
    <w:rsid w:val="00942333"/>
    <w:rsid w:val="009423C8"/>
    <w:rsid w:val="0094241F"/>
    <w:rsid w:val="009424A9"/>
    <w:rsid w:val="009426D1"/>
    <w:rsid w:val="00942757"/>
    <w:rsid w:val="00942890"/>
    <w:rsid w:val="009428EF"/>
    <w:rsid w:val="009429FC"/>
    <w:rsid w:val="00942B62"/>
    <w:rsid w:val="00942B8E"/>
    <w:rsid w:val="00942BD0"/>
    <w:rsid w:val="00942BD6"/>
    <w:rsid w:val="00942BFF"/>
    <w:rsid w:val="00942CB4"/>
    <w:rsid w:val="00942D03"/>
    <w:rsid w:val="00942DF2"/>
    <w:rsid w:val="00942EE8"/>
    <w:rsid w:val="00942FDF"/>
    <w:rsid w:val="00943162"/>
    <w:rsid w:val="0094323C"/>
    <w:rsid w:val="00943252"/>
    <w:rsid w:val="0094329F"/>
    <w:rsid w:val="009432A7"/>
    <w:rsid w:val="00943348"/>
    <w:rsid w:val="0094337E"/>
    <w:rsid w:val="009434B0"/>
    <w:rsid w:val="00943600"/>
    <w:rsid w:val="009436F9"/>
    <w:rsid w:val="0094375C"/>
    <w:rsid w:val="009437C2"/>
    <w:rsid w:val="0094381D"/>
    <w:rsid w:val="009438F8"/>
    <w:rsid w:val="00943928"/>
    <w:rsid w:val="00943965"/>
    <w:rsid w:val="00943B74"/>
    <w:rsid w:val="00943CC5"/>
    <w:rsid w:val="00943CCE"/>
    <w:rsid w:val="00943D01"/>
    <w:rsid w:val="00943DF6"/>
    <w:rsid w:val="00944056"/>
    <w:rsid w:val="0094412D"/>
    <w:rsid w:val="009441D1"/>
    <w:rsid w:val="009444A2"/>
    <w:rsid w:val="0094450C"/>
    <w:rsid w:val="0094455C"/>
    <w:rsid w:val="009445B1"/>
    <w:rsid w:val="00944621"/>
    <w:rsid w:val="0094468B"/>
    <w:rsid w:val="009446B8"/>
    <w:rsid w:val="0094483F"/>
    <w:rsid w:val="009448F5"/>
    <w:rsid w:val="009449B3"/>
    <w:rsid w:val="009449BB"/>
    <w:rsid w:val="00944A76"/>
    <w:rsid w:val="00944C58"/>
    <w:rsid w:val="00944D1B"/>
    <w:rsid w:val="00944D40"/>
    <w:rsid w:val="00945062"/>
    <w:rsid w:val="00945209"/>
    <w:rsid w:val="00945272"/>
    <w:rsid w:val="009452C6"/>
    <w:rsid w:val="009452D0"/>
    <w:rsid w:val="00945340"/>
    <w:rsid w:val="0094534B"/>
    <w:rsid w:val="009453E0"/>
    <w:rsid w:val="009455DF"/>
    <w:rsid w:val="009455FE"/>
    <w:rsid w:val="0094569F"/>
    <w:rsid w:val="00945736"/>
    <w:rsid w:val="0094578C"/>
    <w:rsid w:val="00945841"/>
    <w:rsid w:val="00945941"/>
    <w:rsid w:val="00945A23"/>
    <w:rsid w:val="00945B80"/>
    <w:rsid w:val="00945BA3"/>
    <w:rsid w:val="00945C79"/>
    <w:rsid w:val="00945CA8"/>
    <w:rsid w:val="00945D98"/>
    <w:rsid w:val="00945DC3"/>
    <w:rsid w:val="00946145"/>
    <w:rsid w:val="00946208"/>
    <w:rsid w:val="00946247"/>
    <w:rsid w:val="00946264"/>
    <w:rsid w:val="00946461"/>
    <w:rsid w:val="00946510"/>
    <w:rsid w:val="00946623"/>
    <w:rsid w:val="00946721"/>
    <w:rsid w:val="009468DC"/>
    <w:rsid w:val="009468E8"/>
    <w:rsid w:val="00946A8A"/>
    <w:rsid w:val="00946A94"/>
    <w:rsid w:val="00946BD0"/>
    <w:rsid w:val="00946C59"/>
    <w:rsid w:val="00946DF8"/>
    <w:rsid w:val="00947014"/>
    <w:rsid w:val="00947046"/>
    <w:rsid w:val="009470CE"/>
    <w:rsid w:val="00947161"/>
    <w:rsid w:val="009471A4"/>
    <w:rsid w:val="0094720D"/>
    <w:rsid w:val="00947277"/>
    <w:rsid w:val="009472E4"/>
    <w:rsid w:val="00947313"/>
    <w:rsid w:val="0094735D"/>
    <w:rsid w:val="009473E5"/>
    <w:rsid w:val="009473E9"/>
    <w:rsid w:val="00947481"/>
    <w:rsid w:val="00947506"/>
    <w:rsid w:val="009475BB"/>
    <w:rsid w:val="009475D3"/>
    <w:rsid w:val="009476DD"/>
    <w:rsid w:val="00947728"/>
    <w:rsid w:val="00947817"/>
    <w:rsid w:val="0094786B"/>
    <w:rsid w:val="009478AC"/>
    <w:rsid w:val="009478C4"/>
    <w:rsid w:val="00947A62"/>
    <w:rsid w:val="00947B26"/>
    <w:rsid w:val="00947BF4"/>
    <w:rsid w:val="00947CEF"/>
    <w:rsid w:val="00947D8D"/>
    <w:rsid w:val="00947DA5"/>
    <w:rsid w:val="00947E90"/>
    <w:rsid w:val="00947FA0"/>
    <w:rsid w:val="00947FCB"/>
    <w:rsid w:val="00950038"/>
    <w:rsid w:val="009501CA"/>
    <w:rsid w:val="00950266"/>
    <w:rsid w:val="00950297"/>
    <w:rsid w:val="00950622"/>
    <w:rsid w:val="00950714"/>
    <w:rsid w:val="00950717"/>
    <w:rsid w:val="00950750"/>
    <w:rsid w:val="009507E9"/>
    <w:rsid w:val="009508ED"/>
    <w:rsid w:val="00950917"/>
    <w:rsid w:val="009509ED"/>
    <w:rsid w:val="00950E13"/>
    <w:rsid w:val="00950E89"/>
    <w:rsid w:val="00950F8A"/>
    <w:rsid w:val="0095110D"/>
    <w:rsid w:val="0095112C"/>
    <w:rsid w:val="009511DA"/>
    <w:rsid w:val="0095120F"/>
    <w:rsid w:val="0095122F"/>
    <w:rsid w:val="0095140D"/>
    <w:rsid w:val="00951470"/>
    <w:rsid w:val="009515AF"/>
    <w:rsid w:val="009516BA"/>
    <w:rsid w:val="0095184A"/>
    <w:rsid w:val="009519AC"/>
    <w:rsid w:val="009519F2"/>
    <w:rsid w:val="00951A5D"/>
    <w:rsid w:val="00951D16"/>
    <w:rsid w:val="00951DC1"/>
    <w:rsid w:val="00951E2A"/>
    <w:rsid w:val="00951E95"/>
    <w:rsid w:val="0095231D"/>
    <w:rsid w:val="00952365"/>
    <w:rsid w:val="009523D4"/>
    <w:rsid w:val="00952483"/>
    <w:rsid w:val="00952530"/>
    <w:rsid w:val="009527A5"/>
    <w:rsid w:val="0095282F"/>
    <w:rsid w:val="0095283C"/>
    <w:rsid w:val="0095287B"/>
    <w:rsid w:val="00952ACE"/>
    <w:rsid w:val="00952AFB"/>
    <w:rsid w:val="00952B83"/>
    <w:rsid w:val="00952BA9"/>
    <w:rsid w:val="00952C76"/>
    <w:rsid w:val="00952D94"/>
    <w:rsid w:val="00952E40"/>
    <w:rsid w:val="00952FCB"/>
    <w:rsid w:val="00952FFB"/>
    <w:rsid w:val="00953188"/>
    <w:rsid w:val="009531A6"/>
    <w:rsid w:val="00953378"/>
    <w:rsid w:val="00953379"/>
    <w:rsid w:val="009534A4"/>
    <w:rsid w:val="009534A9"/>
    <w:rsid w:val="00953576"/>
    <w:rsid w:val="0095357D"/>
    <w:rsid w:val="009535BF"/>
    <w:rsid w:val="0095371F"/>
    <w:rsid w:val="009537B1"/>
    <w:rsid w:val="0095380F"/>
    <w:rsid w:val="009538A0"/>
    <w:rsid w:val="00953982"/>
    <w:rsid w:val="009539C5"/>
    <w:rsid w:val="00953A27"/>
    <w:rsid w:val="00953B95"/>
    <w:rsid w:val="00953C46"/>
    <w:rsid w:val="00953CB1"/>
    <w:rsid w:val="00953CFA"/>
    <w:rsid w:val="00953D6D"/>
    <w:rsid w:val="00953D7F"/>
    <w:rsid w:val="00953E5E"/>
    <w:rsid w:val="00953EBD"/>
    <w:rsid w:val="0095420D"/>
    <w:rsid w:val="0095437F"/>
    <w:rsid w:val="0095457B"/>
    <w:rsid w:val="009546E2"/>
    <w:rsid w:val="0095476B"/>
    <w:rsid w:val="00954931"/>
    <w:rsid w:val="00954B0B"/>
    <w:rsid w:val="00954B6E"/>
    <w:rsid w:val="00954BE5"/>
    <w:rsid w:val="00954E58"/>
    <w:rsid w:val="0095503C"/>
    <w:rsid w:val="00955207"/>
    <w:rsid w:val="009553DE"/>
    <w:rsid w:val="009553F9"/>
    <w:rsid w:val="0095548E"/>
    <w:rsid w:val="009554BF"/>
    <w:rsid w:val="00955928"/>
    <w:rsid w:val="009559A7"/>
    <w:rsid w:val="00955BB6"/>
    <w:rsid w:val="00955BE1"/>
    <w:rsid w:val="00955C01"/>
    <w:rsid w:val="00955CC0"/>
    <w:rsid w:val="00955D0A"/>
    <w:rsid w:val="00955DD1"/>
    <w:rsid w:val="00955EE7"/>
    <w:rsid w:val="00955FAF"/>
    <w:rsid w:val="009560F9"/>
    <w:rsid w:val="009561C7"/>
    <w:rsid w:val="009561DE"/>
    <w:rsid w:val="0095627C"/>
    <w:rsid w:val="009562B7"/>
    <w:rsid w:val="0095634D"/>
    <w:rsid w:val="00956568"/>
    <w:rsid w:val="00956585"/>
    <w:rsid w:val="009567A5"/>
    <w:rsid w:val="009567E2"/>
    <w:rsid w:val="0095690E"/>
    <w:rsid w:val="0095696F"/>
    <w:rsid w:val="00956998"/>
    <w:rsid w:val="00956C84"/>
    <w:rsid w:val="00956D55"/>
    <w:rsid w:val="00956E86"/>
    <w:rsid w:val="00957054"/>
    <w:rsid w:val="00957089"/>
    <w:rsid w:val="0095708F"/>
    <w:rsid w:val="0095723F"/>
    <w:rsid w:val="009572C7"/>
    <w:rsid w:val="0095740D"/>
    <w:rsid w:val="00957491"/>
    <w:rsid w:val="00957676"/>
    <w:rsid w:val="0095770A"/>
    <w:rsid w:val="009577E2"/>
    <w:rsid w:val="009578DA"/>
    <w:rsid w:val="009579F8"/>
    <w:rsid w:val="00957AB6"/>
    <w:rsid w:val="00957B22"/>
    <w:rsid w:val="00957B94"/>
    <w:rsid w:val="00957C90"/>
    <w:rsid w:val="00957D4E"/>
    <w:rsid w:val="009600B5"/>
    <w:rsid w:val="009600D4"/>
    <w:rsid w:val="009601AC"/>
    <w:rsid w:val="00960209"/>
    <w:rsid w:val="00960397"/>
    <w:rsid w:val="009603E3"/>
    <w:rsid w:val="00960650"/>
    <w:rsid w:val="0096079F"/>
    <w:rsid w:val="009608CB"/>
    <w:rsid w:val="0096099A"/>
    <w:rsid w:val="00960A15"/>
    <w:rsid w:val="00960A1E"/>
    <w:rsid w:val="00960A3A"/>
    <w:rsid w:val="00960A73"/>
    <w:rsid w:val="00960B69"/>
    <w:rsid w:val="00960D00"/>
    <w:rsid w:val="00960D12"/>
    <w:rsid w:val="00960D18"/>
    <w:rsid w:val="00960DD1"/>
    <w:rsid w:val="00960DDD"/>
    <w:rsid w:val="00960F67"/>
    <w:rsid w:val="00960F73"/>
    <w:rsid w:val="00960F8C"/>
    <w:rsid w:val="00960FB7"/>
    <w:rsid w:val="00960FBE"/>
    <w:rsid w:val="00961040"/>
    <w:rsid w:val="0096107B"/>
    <w:rsid w:val="009611F5"/>
    <w:rsid w:val="00961267"/>
    <w:rsid w:val="00961290"/>
    <w:rsid w:val="009612BA"/>
    <w:rsid w:val="009613A0"/>
    <w:rsid w:val="009613F0"/>
    <w:rsid w:val="009614B8"/>
    <w:rsid w:val="009614CA"/>
    <w:rsid w:val="0096154D"/>
    <w:rsid w:val="00961739"/>
    <w:rsid w:val="009617BC"/>
    <w:rsid w:val="00961857"/>
    <w:rsid w:val="00961939"/>
    <w:rsid w:val="00961A2D"/>
    <w:rsid w:val="00961A34"/>
    <w:rsid w:val="00961B20"/>
    <w:rsid w:val="00961B38"/>
    <w:rsid w:val="00961C59"/>
    <w:rsid w:val="00961C77"/>
    <w:rsid w:val="00961DE6"/>
    <w:rsid w:val="00961E7A"/>
    <w:rsid w:val="00961E83"/>
    <w:rsid w:val="00961F0A"/>
    <w:rsid w:val="00961F44"/>
    <w:rsid w:val="00962085"/>
    <w:rsid w:val="009620AA"/>
    <w:rsid w:val="00962213"/>
    <w:rsid w:val="00962248"/>
    <w:rsid w:val="0096227F"/>
    <w:rsid w:val="0096239B"/>
    <w:rsid w:val="009623C7"/>
    <w:rsid w:val="009623F7"/>
    <w:rsid w:val="0096240B"/>
    <w:rsid w:val="0096252D"/>
    <w:rsid w:val="009625AB"/>
    <w:rsid w:val="0096260A"/>
    <w:rsid w:val="00962666"/>
    <w:rsid w:val="009626EF"/>
    <w:rsid w:val="00962715"/>
    <w:rsid w:val="0096272D"/>
    <w:rsid w:val="00962737"/>
    <w:rsid w:val="0096280A"/>
    <w:rsid w:val="00962839"/>
    <w:rsid w:val="0096289B"/>
    <w:rsid w:val="009629DB"/>
    <w:rsid w:val="009629ED"/>
    <w:rsid w:val="00962A7D"/>
    <w:rsid w:val="00962B69"/>
    <w:rsid w:val="00962BB9"/>
    <w:rsid w:val="00962C56"/>
    <w:rsid w:val="00962C6D"/>
    <w:rsid w:val="00962CCF"/>
    <w:rsid w:val="00962CE3"/>
    <w:rsid w:val="00962D96"/>
    <w:rsid w:val="00962D98"/>
    <w:rsid w:val="00962E45"/>
    <w:rsid w:val="00962E8B"/>
    <w:rsid w:val="00962ECE"/>
    <w:rsid w:val="00962F0C"/>
    <w:rsid w:val="00963180"/>
    <w:rsid w:val="009632FF"/>
    <w:rsid w:val="00963416"/>
    <w:rsid w:val="009635A0"/>
    <w:rsid w:val="00963675"/>
    <w:rsid w:val="00963697"/>
    <w:rsid w:val="00963770"/>
    <w:rsid w:val="009637B0"/>
    <w:rsid w:val="00963871"/>
    <w:rsid w:val="009639CD"/>
    <w:rsid w:val="009639D3"/>
    <w:rsid w:val="00963A03"/>
    <w:rsid w:val="00963A48"/>
    <w:rsid w:val="00963A6B"/>
    <w:rsid w:val="00963ACD"/>
    <w:rsid w:val="00963B3E"/>
    <w:rsid w:val="00963BAB"/>
    <w:rsid w:val="00963C08"/>
    <w:rsid w:val="00963D4B"/>
    <w:rsid w:val="00963D64"/>
    <w:rsid w:val="00963DF6"/>
    <w:rsid w:val="00963E03"/>
    <w:rsid w:val="00963F37"/>
    <w:rsid w:val="00964028"/>
    <w:rsid w:val="00964111"/>
    <w:rsid w:val="00964180"/>
    <w:rsid w:val="009641BF"/>
    <w:rsid w:val="009641E8"/>
    <w:rsid w:val="00964216"/>
    <w:rsid w:val="00964414"/>
    <w:rsid w:val="00964579"/>
    <w:rsid w:val="00964619"/>
    <w:rsid w:val="009647B3"/>
    <w:rsid w:val="009647EC"/>
    <w:rsid w:val="009647EF"/>
    <w:rsid w:val="0096486E"/>
    <w:rsid w:val="009649B1"/>
    <w:rsid w:val="00964A15"/>
    <w:rsid w:val="00964A22"/>
    <w:rsid w:val="00964B5E"/>
    <w:rsid w:val="00964B7F"/>
    <w:rsid w:val="00964D07"/>
    <w:rsid w:val="00964E31"/>
    <w:rsid w:val="00964E4D"/>
    <w:rsid w:val="00964EFE"/>
    <w:rsid w:val="00964F75"/>
    <w:rsid w:val="00964FE2"/>
    <w:rsid w:val="0096500F"/>
    <w:rsid w:val="00965064"/>
    <w:rsid w:val="009650C5"/>
    <w:rsid w:val="009652A2"/>
    <w:rsid w:val="00965484"/>
    <w:rsid w:val="00965601"/>
    <w:rsid w:val="00965626"/>
    <w:rsid w:val="00965638"/>
    <w:rsid w:val="00965827"/>
    <w:rsid w:val="0096589D"/>
    <w:rsid w:val="00965A57"/>
    <w:rsid w:val="00965AD4"/>
    <w:rsid w:val="00965B6E"/>
    <w:rsid w:val="00965BD6"/>
    <w:rsid w:val="00965CD6"/>
    <w:rsid w:val="00965E67"/>
    <w:rsid w:val="00965E68"/>
    <w:rsid w:val="00965E8A"/>
    <w:rsid w:val="0096604E"/>
    <w:rsid w:val="00966122"/>
    <w:rsid w:val="00966126"/>
    <w:rsid w:val="009662D4"/>
    <w:rsid w:val="009662E2"/>
    <w:rsid w:val="00966342"/>
    <w:rsid w:val="009663A0"/>
    <w:rsid w:val="00966410"/>
    <w:rsid w:val="0096651D"/>
    <w:rsid w:val="0096653F"/>
    <w:rsid w:val="009667D0"/>
    <w:rsid w:val="00966857"/>
    <w:rsid w:val="009668C0"/>
    <w:rsid w:val="009668FB"/>
    <w:rsid w:val="009668FD"/>
    <w:rsid w:val="0096692D"/>
    <w:rsid w:val="00966975"/>
    <w:rsid w:val="009669CB"/>
    <w:rsid w:val="00966BCD"/>
    <w:rsid w:val="00966C64"/>
    <w:rsid w:val="00966CBC"/>
    <w:rsid w:val="00966E06"/>
    <w:rsid w:val="00966EB8"/>
    <w:rsid w:val="00966F1E"/>
    <w:rsid w:val="00966FB1"/>
    <w:rsid w:val="00966FF9"/>
    <w:rsid w:val="009670DC"/>
    <w:rsid w:val="009672AA"/>
    <w:rsid w:val="0096738E"/>
    <w:rsid w:val="00967450"/>
    <w:rsid w:val="00967534"/>
    <w:rsid w:val="00967553"/>
    <w:rsid w:val="00967625"/>
    <w:rsid w:val="009677F7"/>
    <w:rsid w:val="0096780D"/>
    <w:rsid w:val="009678BA"/>
    <w:rsid w:val="009678FE"/>
    <w:rsid w:val="0096795E"/>
    <w:rsid w:val="0096799A"/>
    <w:rsid w:val="00967AF2"/>
    <w:rsid w:val="00967BDF"/>
    <w:rsid w:val="00967C7C"/>
    <w:rsid w:val="00967CE4"/>
    <w:rsid w:val="00967DC8"/>
    <w:rsid w:val="00967E0E"/>
    <w:rsid w:val="00967E52"/>
    <w:rsid w:val="00967EAD"/>
    <w:rsid w:val="00967EB3"/>
    <w:rsid w:val="00967FF0"/>
    <w:rsid w:val="009701F0"/>
    <w:rsid w:val="009703A9"/>
    <w:rsid w:val="009703DF"/>
    <w:rsid w:val="009704A4"/>
    <w:rsid w:val="009705C3"/>
    <w:rsid w:val="00970822"/>
    <w:rsid w:val="00970927"/>
    <w:rsid w:val="0097098B"/>
    <w:rsid w:val="00970A21"/>
    <w:rsid w:val="00970A36"/>
    <w:rsid w:val="00970A5E"/>
    <w:rsid w:val="00970CA3"/>
    <w:rsid w:val="00970E2F"/>
    <w:rsid w:val="00970F3F"/>
    <w:rsid w:val="00970F61"/>
    <w:rsid w:val="0097108B"/>
    <w:rsid w:val="00971174"/>
    <w:rsid w:val="00971228"/>
    <w:rsid w:val="0097136A"/>
    <w:rsid w:val="009713D4"/>
    <w:rsid w:val="009715A9"/>
    <w:rsid w:val="00971632"/>
    <w:rsid w:val="0097163A"/>
    <w:rsid w:val="009716AA"/>
    <w:rsid w:val="0097170E"/>
    <w:rsid w:val="009717E3"/>
    <w:rsid w:val="0097186D"/>
    <w:rsid w:val="009718A0"/>
    <w:rsid w:val="009718B9"/>
    <w:rsid w:val="00971AD0"/>
    <w:rsid w:val="00971AD5"/>
    <w:rsid w:val="00971B0E"/>
    <w:rsid w:val="00971C43"/>
    <w:rsid w:val="00971D28"/>
    <w:rsid w:val="00971DCD"/>
    <w:rsid w:val="00971E7D"/>
    <w:rsid w:val="009720BA"/>
    <w:rsid w:val="009721D4"/>
    <w:rsid w:val="00972255"/>
    <w:rsid w:val="00972282"/>
    <w:rsid w:val="009723A7"/>
    <w:rsid w:val="0097260C"/>
    <w:rsid w:val="00972624"/>
    <w:rsid w:val="00972684"/>
    <w:rsid w:val="009726FC"/>
    <w:rsid w:val="00972881"/>
    <w:rsid w:val="009728CC"/>
    <w:rsid w:val="009729F8"/>
    <w:rsid w:val="00972A4B"/>
    <w:rsid w:val="00972B64"/>
    <w:rsid w:val="00972CC5"/>
    <w:rsid w:val="00972CEE"/>
    <w:rsid w:val="00972DEE"/>
    <w:rsid w:val="00972E12"/>
    <w:rsid w:val="0097302F"/>
    <w:rsid w:val="00973053"/>
    <w:rsid w:val="009730A0"/>
    <w:rsid w:val="00973279"/>
    <w:rsid w:val="00973345"/>
    <w:rsid w:val="00973402"/>
    <w:rsid w:val="00973405"/>
    <w:rsid w:val="00973424"/>
    <w:rsid w:val="00973529"/>
    <w:rsid w:val="0097352A"/>
    <w:rsid w:val="009736F4"/>
    <w:rsid w:val="00973766"/>
    <w:rsid w:val="009737A4"/>
    <w:rsid w:val="009737F1"/>
    <w:rsid w:val="0097385E"/>
    <w:rsid w:val="00973925"/>
    <w:rsid w:val="0097394B"/>
    <w:rsid w:val="009739B6"/>
    <w:rsid w:val="00973B43"/>
    <w:rsid w:val="00973B48"/>
    <w:rsid w:val="00973B8E"/>
    <w:rsid w:val="00973BBD"/>
    <w:rsid w:val="00973BCE"/>
    <w:rsid w:val="00973BD7"/>
    <w:rsid w:val="00973D08"/>
    <w:rsid w:val="00973E33"/>
    <w:rsid w:val="00973EAE"/>
    <w:rsid w:val="00973ED2"/>
    <w:rsid w:val="00973F14"/>
    <w:rsid w:val="00973FA2"/>
    <w:rsid w:val="00973FBB"/>
    <w:rsid w:val="009740B6"/>
    <w:rsid w:val="009740E5"/>
    <w:rsid w:val="009745A8"/>
    <w:rsid w:val="009745CD"/>
    <w:rsid w:val="00974700"/>
    <w:rsid w:val="00974762"/>
    <w:rsid w:val="00974A71"/>
    <w:rsid w:val="00974B47"/>
    <w:rsid w:val="00974C6F"/>
    <w:rsid w:val="00974D71"/>
    <w:rsid w:val="00974F89"/>
    <w:rsid w:val="00975023"/>
    <w:rsid w:val="00975153"/>
    <w:rsid w:val="00975272"/>
    <w:rsid w:val="00975333"/>
    <w:rsid w:val="00975406"/>
    <w:rsid w:val="0097541A"/>
    <w:rsid w:val="00975476"/>
    <w:rsid w:val="00975520"/>
    <w:rsid w:val="00975670"/>
    <w:rsid w:val="009758EF"/>
    <w:rsid w:val="00975AF5"/>
    <w:rsid w:val="00975DC9"/>
    <w:rsid w:val="00975F00"/>
    <w:rsid w:val="0097600E"/>
    <w:rsid w:val="0097608D"/>
    <w:rsid w:val="0097621F"/>
    <w:rsid w:val="0097624C"/>
    <w:rsid w:val="009762AD"/>
    <w:rsid w:val="00976443"/>
    <w:rsid w:val="009764A0"/>
    <w:rsid w:val="009765B8"/>
    <w:rsid w:val="009765F9"/>
    <w:rsid w:val="0097666E"/>
    <w:rsid w:val="0097671A"/>
    <w:rsid w:val="00976733"/>
    <w:rsid w:val="0097675B"/>
    <w:rsid w:val="009767B1"/>
    <w:rsid w:val="00976854"/>
    <w:rsid w:val="0097687C"/>
    <w:rsid w:val="009768B7"/>
    <w:rsid w:val="009768E7"/>
    <w:rsid w:val="009769DC"/>
    <w:rsid w:val="009769E0"/>
    <w:rsid w:val="00976B96"/>
    <w:rsid w:val="00976C07"/>
    <w:rsid w:val="00976C96"/>
    <w:rsid w:val="00976CBB"/>
    <w:rsid w:val="00976CEE"/>
    <w:rsid w:val="00976EFA"/>
    <w:rsid w:val="00976F5C"/>
    <w:rsid w:val="009770A2"/>
    <w:rsid w:val="009770B0"/>
    <w:rsid w:val="009770D4"/>
    <w:rsid w:val="00977194"/>
    <w:rsid w:val="009771D1"/>
    <w:rsid w:val="009772CF"/>
    <w:rsid w:val="009773ED"/>
    <w:rsid w:val="00977418"/>
    <w:rsid w:val="00977560"/>
    <w:rsid w:val="00977625"/>
    <w:rsid w:val="00977737"/>
    <w:rsid w:val="00977803"/>
    <w:rsid w:val="00977813"/>
    <w:rsid w:val="0097781D"/>
    <w:rsid w:val="00977985"/>
    <w:rsid w:val="00977C2B"/>
    <w:rsid w:val="00977C37"/>
    <w:rsid w:val="00977C79"/>
    <w:rsid w:val="00977CEB"/>
    <w:rsid w:val="00977DF6"/>
    <w:rsid w:val="00977F10"/>
    <w:rsid w:val="00977F9C"/>
    <w:rsid w:val="00977FA8"/>
    <w:rsid w:val="00980020"/>
    <w:rsid w:val="00980033"/>
    <w:rsid w:val="009800C6"/>
    <w:rsid w:val="009800F2"/>
    <w:rsid w:val="00980159"/>
    <w:rsid w:val="00980244"/>
    <w:rsid w:val="0098026E"/>
    <w:rsid w:val="009802F9"/>
    <w:rsid w:val="00980373"/>
    <w:rsid w:val="00980484"/>
    <w:rsid w:val="00980491"/>
    <w:rsid w:val="009804E0"/>
    <w:rsid w:val="00980523"/>
    <w:rsid w:val="00980586"/>
    <w:rsid w:val="00980619"/>
    <w:rsid w:val="00980665"/>
    <w:rsid w:val="00980715"/>
    <w:rsid w:val="00980807"/>
    <w:rsid w:val="00980818"/>
    <w:rsid w:val="00980834"/>
    <w:rsid w:val="00980897"/>
    <w:rsid w:val="009808E4"/>
    <w:rsid w:val="00980964"/>
    <w:rsid w:val="00980A1B"/>
    <w:rsid w:val="00980A2A"/>
    <w:rsid w:val="00980B3B"/>
    <w:rsid w:val="00980BAD"/>
    <w:rsid w:val="00980C05"/>
    <w:rsid w:val="00980CDA"/>
    <w:rsid w:val="00980ED1"/>
    <w:rsid w:val="00980F2F"/>
    <w:rsid w:val="00980F3F"/>
    <w:rsid w:val="00980F4F"/>
    <w:rsid w:val="00980F73"/>
    <w:rsid w:val="00980FCA"/>
    <w:rsid w:val="00980FDF"/>
    <w:rsid w:val="00980FE7"/>
    <w:rsid w:val="009810CD"/>
    <w:rsid w:val="00981145"/>
    <w:rsid w:val="00981191"/>
    <w:rsid w:val="00981304"/>
    <w:rsid w:val="0098147A"/>
    <w:rsid w:val="0098163F"/>
    <w:rsid w:val="00981728"/>
    <w:rsid w:val="0098180A"/>
    <w:rsid w:val="009818B1"/>
    <w:rsid w:val="0098190B"/>
    <w:rsid w:val="009819A0"/>
    <w:rsid w:val="00981A80"/>
    <w:rsid w:val="00981AAE"/>
    <w:rsid w:val="00981ACC"/>
    <w:rsid w:val="00981C11"/>
    <w:rsid w:val="00981D7D"/>
    <w:rsid w:val="00981F5D"/>
    <w:rsid w:val="00981FD6"/>
    <w:rsid w:val="009820D0"/>
    <w:rsid w:val="0098213A"/>
    <w:rsid w:val="0098225A"/>
    <w:rsid w:val="0098233B"/>
    <w:rsid w:val="009824B2"/>
    <w:rsid w:val="0098252C"/>
    <w:rsid w:val="009825F4"/>
    <w:rsid w:val="00982626"/>
    <w:rsid w:val="00982646"/>
    <w:rsid w:val="00982665"/>
    <w:rsid w:val="0098280E"/>
    <w:rsid w:val="00982878"/>
    <w:rsid w:val="00982882"/>
    <w:rsid w:val="00982947"/>
    <w:rsid w:val="00982958"/>
    <w:rsid w:val="009829AC"/>
    <w:rsid w:val="00982A05"/>
    <w:rsid w:val="00982A7F"/>
    <w:rsid w:val="00982AF9"/>
    <w:rsid w:val="00982B21"/>
    <w:rsid w:val="00982DEC"/>
    <w:rsid w:val="00982EE9"/>
    <w:rsid w:val="00982FDF"/>
    <w:rsid w:val="009830FC"/>
    <w:rsid w:val="00983164"/>
    <w:rsid w:val="00983174"/>
    <w:rsid w:val="00983181"/>
    <w:rsid w:val="009831C8"/>
    <w:rsid w:val="009831DD"/>
    <w:rsid w:val="009831EF"/>
    <w:rsid w:val="0098326C"/>
    <w:rsid w:val="009832C6"/>
    <w:rsid w:val="0098338F"/>
    <w:rsid w:val="009833DC"/>
    <w:rsid w:val="0098343B"/>
    <w:rsid w:val="00983448"/>
    <w:rsid w:val="00983471"/>
    <w:rsid w:val="0098363F"/>
    <w:rsid w:val="00983666"/>
    <w:rsid w:val="009836FA"/>
    <w:rsid w:val="00983845"/>
    <w:rsid w:val="0098385F"/>
    <w:rsid w:val="0098389E"/>
    <w:rsid w:val="0098392C"/>
    <w:rsid w:val="00983961"/>
    <w:rsid w:val="00983A55"/>
    <w:rsid w:val="00983B8F"/>
    <w:rsid w:val="00983C35"/>
    <w:rsid w:val="00983DDF"/>
    <w:rsid w:val="00983DFC"/>
    <w:rsid w:val="009840A6"/>
    <w:rsid w:val="00984176"/>
    <w:rsid w:val="00984203"/>
    <w:rsid w:val="00984239"/>
    <w:rsid w:val="009842AA"/>
    <w:rsid w:val="009843AB"/>
    <w:rsid w:val="009844EA"/>
    <w:rsid w:val="0098451A"/>
    <w:rsid w:val="00984563"/>
    <w:rsid w:val="0098462E"/>
    <w:rsid w:val="009846E4"/>
    <w:rsid w:val="009847D2"/>
    <w:rsid w:val="0098498F"/>
    <w:rsid w:val="00984BC9"/>
    <w:rsid w:val="00984CA1"/>
    <w:rsid w:val="00984D30"/>
    <w:rsid w:val="00984D93"/>
    <w:rsid w:val="00984DC2"/>
    <w:rsid w:val="00984DD4"/>
    <w:rsid w:val="00984DE2"/>
    <w:rsid w:val="00984E03"/>
    <w:rsid w:val="00984E06"/>
    <w:rsid w:val="00984E7C"/>
    <w:rsid w:val="00984EA9"/>
    <w:rsid w:val="00984EFB"/>
    <w:rsid w:val="00984FCB"/>
    <w:rsid w:val="0098501D"/>
    <w:rsid w:val="0098503F"/>
    <w:rsid w:val="0098504C"/>
    <w:rsid w:val="009850CE"/>
    <w:rsid w:val="009851D6"/>
    <w:rsid w:val="00985357"/>
    <w:rsid w:val="0098540A"/>
    <w:rsid w:val="00985500"/>
    <w:rsid w:val="00985549"/>
    <w:rsid w:val="0098559C"/>
    <w:rsid w:val="00985665"/>
    <w:rsid w:val="00985739"/>
    <w:rsid w:val="0098584C"/>
    <w:rsid w:val="009858CC"/>
    <w:rsid w:val="0098592E"/>
    <w:rsid w:val="00985A1C"/>
    <w:rsid w:val="00985A9A"/>
    <w:rsid w:val="00985AD5"/>
    <w:rsid w:val="00985AE7"/>
    <w:rsid w:val="00985B40"/>
    <w:rsid w:val="00985C12"/>
    <w:rsid w:val="00985C42"/>
    <w:rsid w:val="00985CBD"/>
    <w:rsid w:val="00985CE2"/>
    <w:rsid w:val="00985D08"/>
    <w:rsid w:val="00985D20"/>
    <w:rsid w:val="00985D5E"/>
    <w:rsid w:val="00985D6F"/>
    <w:rsid w:val="00985E0C"/>
    <w:rsid w:val="00985F5A"/>
    <w:rsid w:val="00986012"/>
    <w:rsid w:val="009860D0"/>
    <w:rsid w:val="00986132"/>
    <w:rsid w:val="009861C0"/>
    <w:rsid w:val="00986201"/>
    <w:rsid w:val="00986275"/>
    <w:rsid w:val="009862AC"/>
    <w:rsid w:val="009862BA"/>
    <w:rsid w:val="009862DC"/>
    <w:rsid w:val="0098638D"/>
    <w:rsid w:val="00986417"/>
    <w:rsid w:val="0098643E"/>
    <w:rsid w:val="00986489"/>
    <w:rsid w:val="009864D1"/>
    <w:rsid w:val="00986503"/>
    <w:rsid w:val="00986521"/>
    <w:rsid w:val="0098657B"/>
    <w:rsid w:val="009865B4"/>
    <w:rsid w:val="009867EE"/>
    <w:rsid w:val="00986854"/>
    <w:rsid w:val="0098695D"/>
    <w:rsid w:val="0098699B"/>
    <w:rsid w:val="00986B83"/>
    <w:rsid w:val="00986BD1"/>
    <w:rsid w:val="00986C27"/>
    <w:rsid w:val="00986DD9"/>
    <w:rsid w:val="00986EC9"/>
    <w:rsid w:val="00986EF0"/>
    <w:rsid w:val="0098700C"/>
    <w:rsid w:val="00987035"/>
    <w:rsid w:val="00987043"/>
    <w:rsid w:val="0098717B"/>
    <w:rsid w:val="009871E0"/>
    <w:rsid w:val="0098722B"/>
    <w:rsid w:val="00987270"/>
    <w:rsid w:val="0098744F"/>
    <w:rsid w:val="009875EF"/>
    <w:rsid w:val="009876AA"/>
    <w:rsid w:val="009876B0"/>
    <w:rsid w:val="00987753"/>
    <w:rsid w:val="00987992"/>
    <w:rsid w:val="00987A4A"/>
    <w:rsid w:val="00987AF8"/>
    <w:rsid w:val="00987B5F"/>
    <w:rsid w:val="00987B9A"/>
    <w:rsid w:val="00987BD4"/>
    <w:rsid w:val="00987E05"/>
    <w:rsid w:val="00987EF2"/>
    <w:rsid w:val="00987FBF"/>
    <w:rsid w:val="0099010D"/>
    <w:rsid w:val="0099019E"/>
    <w:rsid w:val="009901C7"/>
    <w:rsid w:val="009902E2"/>
    <w:rsid w:val="00990441"/>
    <w:rsid w:val="00990488"/>
    <w:rsid w:val="009904C5"/>
    <w:rsid w:val="00990535"/>
    <w:rsid w:val="00990569"/>
    <w:rsid w:val="009905EA"/>
    <w:rsid w:val="00990607"/>
    <w:rsid w:val="0099067C"/>
    <w:rsid w:val="00990734"/>
    <w:rsid w:val="00990754"/>
    <w:rsid w:val="00990929"/>
    <w:rsid w:val="0099095E"/>
    <w:rsid w:val="00990B68"/>
    <w:rsid w:val="00990BEC"/>
    <w:rsid w:val="00990C1F"/>
    <w:rsid w:val="00990E1A"/>
    <w:rsid w:val="00990E4F"/>
    <w:rsid w:val="00991045"/>
    <w:rsid w:val="0099104D"/>
    <w:rsid w:val="009912D2"/>
    <w:rsid w:val="00991324"/>
    <w:rsid w:val="0099132B"/>
    <w:rsid w:val="00991421"/>
    <w:rsid w:val="0099150D"/>
    <w:rsid w:val="0099157D"/>
    <w:rsid w:val="00991580"/>
    <w:rsid w:val="00991642"/>
    <w:rsid w:val="009916D0"/>
    <w:rsid w:val="009916F4"/>
    <w:rsid w:val="00991B35"/>
    <w:rsid w:val="00991DC5"/>
    <w:rsid w:val="00991FD0"/>
    <w:rsid w:val="00992194"/>
    <w:rsid w:val="00992195"/>
    <w:rsid w:val="009921E5"/>
    <w:rsid w:val="0099224A"/>
    <w:rsid w:val="009922F4"/>
    <w:rsid w:val="00992490"/>
    <w:rsid w:val="009924D2"/>
    <w:rsid w:val="00992551"/>
    <w:rsid w:val="00992554"/>
    <w:rsid w:val="0099276E"/>
    <w:rsid w:val="00992858"/>
    <w:rsid w:val="0099285A"/>
    <w:rsid w:val="0099296A"/>
    <w:rsid w:val="0099297F"/>
    <w:rsid w:val="009929F8"/>
    <w:rsid w:val="00992A20"/>
    <w:rsid w:val="00992A45"/>
    <w:rsid w:val="00992A67"/>
    <w:rsid w:val="00992E02"/>
    <w:rsid w:val="00992E09"/>
    <w:rsid w:val="00992E22"/>
    <w:rsid w:val="00992EA1"/>
    <w:rsid w:val="00992FC0"/>
    <w:rsid w:val="00992FEA"/>
    <w:rsid w:val="00993342"/>
    <w:rsid w:val="00993420"/>
    <w:rsid w:val="00993457"/>
    <w:rsid w:val="009935D0"/>
    <w:rsid w:val="009935EF"/>
    <w:rsid w:val="0099371A"/>
    <w:rsid w:val="00993770"/>
    <w:rsid w:val="009937E4"/>
    <w:rsid w:val="00993877"/>
    <w:rsid w:val="00993937"/>
    <w:rsid w:val="00993B48"/>
    <w:rsid w:val="00993C30"/>
    <w:rsid w:val="00993C42"/>
    <w:rsid w:val="00993D55"/>
    <w:rsid w:val="00993D7F"/>
    <w:rsid w:val="00993F03"/>
    <w:rsid w:val="0099400E"/>
    <w:rsid w:val="00994092"/>
    <w:rsid w:val="00994146"/>
    <w:rsid w:val="009941FF"/>
    <w:rsid w:val="0099426A"/>
    <w:rsid w:val="009942FC"/>
    <w:rsid w:val="00994317"/>
    <w:rsid w:val="0099445F"/>
    <w:rsid w:val="009944D7"/>
    <w:rsid w:val="009945D3"/>
    <w:rsid w:val="0099466A"/>
    <w:rsid w:val="00994757"/>
    <w:rsid w:val="0099479B"/>
    <w:rsid w:val="009947E1"/>
    <w:rsid w:val="009947FC"/>
    <w:rsid w:val="00994B6A"/>
    <w:rsid w:val="00994CAA"/>
    <w:rsid w:val="00994D34"/>
    <w:rsid w:val="00995013"/>
    <w:rsid w:val="009950A9"/>
    <w:rsid w:val="009950DB"/>
    <w:rsid w:val="009951FF"/>
    <w:rsid w:val="00995261"/>
    <w:rsid w:val="00995295"/>
    <w:rsid w:val="0099532D"/>
    <w:rsid w:val="0099532E"/>
    <w:rsid w:val="009953BA"/>
    <w:rsid w:val="009953FE"/>
    <w:rsid w:val="0099544E"/>
    <w:rsid w:val="0099550D"/>
    <w:rsid w:val="009956AE"/>
    <w:rsid w:val="0099577B"/>
    <w:rsid w:val="009958AA"/>
    <w:rsid w:val="009959A3"/>
    <w:rsid w:val="009959DD"/>
    <w:rsid w:val="00995BF5"/>
    <w:rsid w:val="00995C67"/>
    <w:rsid w:val="00995D27"/>
    <w:rsid w:val="00995E0E"/>
    <w:rsid w:val="00995E3E"/>
    <w:rsid w:val="00995E65"/>
    <w:rsid w:val="00995EBA"/>
    <w:rsid w:val="0099606F"/>
    <w:rsid w:val="0099613B"/>
    <w:rsid w:val="0099626A"/>
    <w:rsid w:val="009962F2"/>
    <w:rsid w:val="009962FE"/>
    <w:rsid w:val="00996449"/>
    <w:rsid w:val="009964B2"/>
    <w:rsid w:val="009966DD"/>
    <w:rsid w:val="00996822"/>
    <w:rsid w:val="009968AF"/>
    <w:rsid w:val="00996942"/>
    <w:rsid w:val="009969AB"/>
    <w:rsid w:val="00996A7D"/>
    <w:rsid w:val="00996AC9"/>
    <w:rsid w:val="00996B12"/>
    <w:rsid w:val="00996BB4"/>
    <w:rsid w:val="00996BE1"/>
    <w:rsid w:val="00996DC5"/>
    <w:rsid w:val="00996EDE"/>
    <w:rsid w:val="00996F8E"/>
    <w:rsid w:val="00997027"/>
    <w:rsid w:val="009970CD"/>
    <w:rsid w:val="0099715A"/>
    <w:rsid w:val="009971D0"/>
    <w:rsid w:val="00997294"/>
    <w:rsid w:val="009972A3"/>
    <w:rsid w:val="00997377"/>
    <w:rsid w:val="0099741B"/>
    <w:rsid w:val="0099749B"/>
    <w:rsid w:val="0099755E"/>
    <w:rsid w:val="0099756E"/>
    <w:rsid w:val="009975B7"/>
    <w:rsid w:val="0099770D"/>
    <w:rsid w:val="00997730"/>
    <w:rsid w:val="00997887"/>
    <w:rsid w:val="009979FB"/>
    <w:rsid w:val="00997A09"/>
    <w:rsid w:val="00997B05"/>
    <w:rsid w:val="00997B27"/>
    <w:rsid w:val="00997BB3"/>
    <w:rsid w:val="00997C86"/>
    <w:rsid w:val="00997D3E"/>
    <w:rsid w:val="00997DBA"/>
    <w:rsid w:val="00997E44"/>
    <w:rsid w:val="00997EDC"/>
    <w:rsid w:val="00997F27"/>
    <w:rsid w:val="009A0036"/>
    <w:rsid w:val="009A004D"/>
    <w:rsid w:val="009A0176"/>
    <w:rsid w:val="009A0329"/>
    <w:rsid w:val="009A03A0"/>
    <w:rsid w:val="009A03A8"/>
    <w:rsid w:val="009A0473"/>
    <w:rsid w:val="009A04B9"/>
    <w:rsid w:val="009A057D"/>
    <w:rsid w:val="009A05C5"/>
    <w:rsid w:val="009A072B"/>
    <w:rsid w:val="009A097C"/>
    <w:rsid w:val="009A09A0"/>
    <w:rsid w:val="009A0A00"/>
    <w:rsid w:val="009A0A24"/>
    <w:rsid w:val="009A0A58"/>
    <w:rsid w:val="009A0A7A"/>
    <w:rsid w:val="009A0AC8"/>
    <w:rsid w:val="009A0BB4"/>
    <w:rsid w:val="009A0DEB"/>
    <w:rsid w:val="009A0E0E"/>
    <w:rsid w:val="009A0FA6"/>
    <w:rsid w:val="009A1308"/>
    <w:rsid w:val="009A1353"/>
    <w:rsid w:val="009A13C3"/>
    <w:rsid w:val="009A14F5"/>
    <w:rsid w:val="009A173E"/>
    <w:rsid w:val="009A18C5"/>
    <w:rsid w:val="009A190F"/>
    <w:rsid w:val="009A1938"/>
    <w:rsid w:val="009A19E3"/>
    <w:rsid w:val="009A1AA4"/>
    <w:rsid w:val="009A1BCE"/>
    <w:rsid w:val="009A1BCF"/>
    <w:rsid w:val="009A1E31"/>
    <w:rsid w:val="009A1E44"/>
    <w:rsid w:val="009A1FBA"/>
    <w:rsid w:val="009A201B"/>
    <w:rsid w:val="009A2067"/>
    <w:rsid w:val="009A20AA"/>
    <w:rsid w:val="009A21AB"/>
    <w:rsid w:val="009A22E3"/>
    <w:rsid w:val="009A2455"/>
    <w:rsid w:val="009A2602"/>
    <w:rsid w:val="009A260B"/>
    <w:rsid w:val="009A2767"/>
    <w:rsid w:val="009A27BF"/>
    <w:rsid w:val="009A281C"/>
    <w:rsid w:val="009A28A9"/>
    <w:rsid w:val="009A2A64"/>
    <w:rsid w:val="009A2A65"/>
    <w:rsid w:val="009A2A82"/>
    <w:rsid w:val="009A2AAD"/>
    <w:rsid w:val="009A2C65"/>
    <w:rsid w:val="009A2CCC"/>
    <w:rsid w:val="009A2D6E"/>
    <w:rsid w:val="009A2F4F"/>
    <w:rsid w:val="009A3040"/>
    <w:rsid w:val="009A3139"/>
    <w:rsid w:val="009A314F"/>
    <w:rsid w:val="009A31F1"/>
    <w:rsid w:val="009A31FB"/>
    <w:rsid w:val="009A3243"/>
    <w:rsid w:val="009A331D"/>
    <w:rsid w:val="009A3372"/>
    <w:rsid w:val="009A33C4"/>
    <w:rsid w:val="009A3501"/>
    <w:rsid w:val="009A3580"/>
    <w:rsid w:val="009A3709"/>
    <w:rsid w:val="009A37B2"/>
    <w:rsid w:val="009A3819"/>
    <w:rsid w:val="009A3826"/>
    <w:rsid w:val="009A387D"/>
    <w:rsid w:val="009A3909"/>
    <w:rsid w:val="009A39C2"/>
    <w:rsid w:val="009A3A15"/>
    <w:rsid w:val="009A3AA9"/>
    <w:rsid w:val="009A3AF0"/>
    <w:rsid w:val="009A3C09"/>
    <w:rsid w:val="009A3C42"/>
    <w:rsid w:val="009A3D89"/>
    <w:rsid w:val="009A3DB2"/>
    <w:rsid w:val="009A3E50"/>
    <w:rsid w:val="009A3E75"/>
    <w:rsid w:val="009A3F2A"/>
    <w:rsid w:val="009A402E"/>
    <w:rsid w:val="009A41D0"/>
    <w:rsid w:val="009A421E"/>
    <w:rsid w:val="009A4439"/>
    <w:rsid w:val="009A44B2"/>
    <w:rsid w:val="009A44D3"/>
    <w:rsid w:val="009A4532"/>
    <w:rsid w:val="009A4701"/>
    <w:rsid w:val="009A4816"/>
    <w:rsid w:val="009A4A3F"/>
    <w:rsid w:val="009A4A61"/>
    <w:rsid w:val="009A4B1B"/>
    <w:rsid w:val="009A4B3C"/>
    <w:rsid w:val="009A4C16"/>
    <w:rsid w:val="009A4C75"/>
    <w:rsid w:val="009A4DAC"/>
    <w:rsid w:val="009A4E29"/>
    <w:rsid w:val="009A4EB4"/>
    <w:rsid w:val="009A4FB3"/>
    <w:rsid w:val="009A50DB"/>
    <w:rsid w:val="009A520C"/>
    <w:rsid w:val="009A5477"/>
    <w:rsid w:val="009A549E"/>
    <w:rsid w:val="009A5514"/>
    <w:rsid w:val="009A55E4"/>
    <w:rsid w:val="009A5618"/>
    <w:rsid w:val="009A5659"/>
    <w:rsid w:val="009A5685"/>
    <w:rsid w:val="009A58F5"/>
    <w:rsid w:val="009A5A62"/>
    <w:rsid w:val="009A5A76"/>
    <w:rsid w:val="009A5AD3"/>
    <w:rsid w:val="009A5AFE"/>
    <w:rsid w:val="009A5B06"/>
    <w:rsid w:val="009A5B72"/>
    <w:rsid w:val="009A5CD6"/>
    <w:rsid w:val="009A5CE6"/>
    <w:rsid w:val="009A5D17"/>
    <w:rsid w:val="009A5DA1"/>
    <w:rsid w:val="009A5F46"/>
    <w:rsid w:val="009A5F9C"/>
    <w:rsid w:val="009A60E7"/>
    <w:rsid w:val="009A6153"/>
    <w:rsid w:val="009A61D4"/>
    <w:rsid w:val="009A62CA"/>
    <w:rsid w:val="009A6363"/>
    <w:rsid w:val="009A639A"/>
    <w:rsid w:val="009A6543"/>
    <w:rsid w:val="009A657A"/>
    <w:rsid w:val="009A6910"/>
    <w:rsid w:val="009A6BE6"/>
    <w:rsid w:val="009A6C26"/>
    <w:rsid w:val="009A6CF3"/>
    <w:rsid w:val="009A6D1A"/>
    <w:rsid w:val="009A6D3C"/>
    <w:rsid w:val="009A6E5A"/>
    <w:rsid w:val="009A6F18"/>
    <w:rsid w:val="009A700F"/>
    <w:rsid w:val="009A704A"/>
    <w:rsid w:val="009A71B1"/>
    <w:rsid w:val="009A7330"/>
    <w:rsid w:val="009A7344"/>
    <w:rsid w:val="009A73D9"/>
    <w:rsid w:val="009A76A5"/>
    <w:rsid w:val="009A76B3"/>
    <w:rsid w:val="009A79DF"/>
    <w:rsid w:val="009A79F3"/>
    <w:rsid w:val="009A7AB0"/>
    <w:rsid w:val="009A7ACE"/>
    <w:rsid w:val="009A7BCA"/>
    <w:rsid w:val="009A7D66"/>
    <w:rsid w:val="009A7DA0"/>
    <w:rsid w:val="009A7DBC"/>
    <w:rsid w:val="009A7E21"/>
    <w:rsid w:val="009B0088"/>
    <w:rsid w:val="009B00B9"/>
    <w:rsid w:val="009B0129"/>
    <w:rsid w:val="009B0297"/>
    <w:rsid w:val="009B03AA"/>
    <w:rsid w:val="009B05D6"/>
    <w:rsid w:val="009B0672"/>
    <w:rsid w:val="009B0725"/>
    <w:rsid w:val="009B0881"/>
    <w:rsid w:val="009B09A5"/>
    <w:rsid w:val="009B0BE0"/>
    <w:rsid w:val="009B0BF0"/>
    <w:rsid w:val="009B0C61"/>
    <w:rsid w:val="009B0DA7"/>
    <w:rsid w:val="009B0DB5"/>
    <w:rsid w:val="009B0F3B"/>
    <w:rsid w:val="009B115A"/>
    <w:rsid w:val="009B11F8"/>
    <w:rsid w:val="009B123D"/>
    <w:rsid w:val="009B1292"/>
    <w:rsid w:val="009B12F3"/>
    <w:rsid w:val="009B12FB"/>
    <w:rsid w:val="009B13FE"/>
    <w:rsid w:val="009B1581"/>
    <w:rsid w:val="009B15B9"/>
    <w:rsid w:val="009B15BA"/>
    <w:rsid w:val="009B15D3"/>
    <w:rsid w:val="009B17A4"/>
    <w:rsid w:val="009B1A83"/>
    <w:rsid w:val="009B1C21"/>
    <w:rsid w:val="009B1CF5"/>
    <w:rsid w:val="009B1DC0"/>
    <w:rsid w:val="009B1E37"/>
    <w:rsid w:val="009B1F76"/>
    <w:rsid w:val="009B1FCE"/>
    <w:rsid w:val="009B2054"/>
    <w:rsid w:val="009B20FA"/>
    <w:rsid w:val="009B213A"/>
    <w:rsid w:val="009B22A9"/>
    <w:rsid w:val="009B2315"/>
    <w:rsid w:val="009B2487"/>
    <w:rsid w:val="009B2649"/>
    <w:rsid w:val="009B26F9"/>
    <w:rsid w:val="009B2879"/>
    <w:rsid w:val="009B29EB"/>
    <w:rsid w:val="009B29F9"/>
    <w:rsid w:val="009B2AE3"/>
    <w:rsid w:val="009B2DA4"/>
    <w:rsid w:val="009B2FE1"/>
    <w:rsid w:val="009B3074"/>
    <w:rsid w:val="009B30CB"/>
    <w:rsid w:val="009B30E7"/>
    <w:rsid w:val="009B3100"/>
    <w:rsid w:val="009B3101"/>
    <w:rsid w:val="009B3128"/>
    <w:rsid w:val="009B3177"/>
    <w:rsid w:val="009B31C2"/>
    <w:rsid w:val="009B3258"/>
    <w:rsid w:val="009B32A5"/>
    <w:rsid w:val="009B3342"/>
    <w:rsid w:val="009B338B"/>
    <w:rsid w:val="009B34C2"/>
    <w:rsid w:val="009B34FA"/>
    <w:rsid w:val="009B35F2"/>
    <w:rsid w:val="009B364D"/>
    <w:rsid w:val="009B374F"/>
    <w:rsid w:val="009B3781"/>
    <w:rsid w:val="009B3860"/>
    <w:rsid w:val="009B38AA"/>
    <w:rsid w:val="009B392E"/>
    <w:rsid w:val="009B3A4B"/>
    <w:rsid w:val="009B3B7E"/>
    <w:rsid w:val="009B3C35"/>
    <w:rsid w:val="009B3CB5"/>
    <w:rsid w:val="009B3CE0"/>
    <w:rsid w:val="009B3D35"/>
    <w:rsid w:val="009B3E7B"/>
    <w:rsid w:val="009B4168"/>
    <w:rsid w:val="009B44B7"/>
    <w:rsid w:val="009B4596"/>
    <w:rsid w:val="009B4661"/>
    <w:rsid w:val="009B468F"/>
    <w:rsid w:val="009B46EC"/>
    <w:rsid w:val="009B4703"/>
    <w:rsid w:val="009B4780"/>
    <w:rsid w:val="009B4AEF"/>
    <w:rsid w:val="009B4B0E"/>
    <w:rsid w:val="009B4B67"/>
    <w:rsid w:val="009B4C91"/>
    <w:rsid w:val="009B4D05"/>
    <w:rsid w:val="009B4E2E"/>
    <w:rsid w:val="009B4FCB"/>
    <w:rsid w:val="009B5135"/>
    <w:rsid w:val="009B51A0"/>
    <w:rsid w:val="009B52DF"/>
    <w:rsid w:val="009B5383"/>
    <w:rsid w:val="009B5434"/>
    <w:rsid w:val="009B55BA"/>
    <w:rsid w:val="009B55D1"/>
    <w:rsid w:val="009B5643"/>
    <w:rsid w:val="009B5644"/>
    <w:rsid w:val="009B570D"/>
    <w:rsid w:val="009B574A"/>
    <w:rsid w:val="009B5792"/>
    <w:rsid w:val="009B59D2"/>
    <w:rsid w:val="009B5B3D"/>
    <w:rsid w:val="009B5E5C"/>
    <w:rsid w:val="009B5E74"/>
    <w:rsid w:val="009B5EB3"/>
    <w:rsid w:val="009B60DD"/>
    <w:rsid w:val="009B6267"/>
    <w:rsid w:val="009B640A"/>
    <w:rsid w:val="009B6442"/>
    <w:rsid w:val="009B648A"/>
    <w:rsid w:val="009B64C6"/>
    <w:rsid w:val="009B658B"/>
    <w:rsid w:val="009B65CE"/>
    <w:rsid w:val="009B65EA"/>
    <w:rsid w:val="009B65F6"/>
    <w:rsid w:val="009B66B6"/>
    <w:rsid w:val="009B6729"/>
    <w:rsid w:val="009B6960"/>
    <w:rsid w:val="009B6B06"/>
    <w:rsid w:val="009B6B14"/>
    <w:rsid w:val="009B6BE2"/>
    <w:rsid w:val="009B6BEA"/>
    <w:rsid w:val="009B6BFE"/>
    <w:rsid w:val="009B6C00"/>
    <w:rsid w:val="009B6C1B"/>
    <w:rsid w:val="009B6C49"/>
    <w:rsid w:val="009B6C4A"/>
    <w:rsid w:val="009B6D7D"/>
    <w:rsid w:val="009B6D8B"/>
    <w:rsid w:val="009B6F42"/>
    <w:rsid w:val="009B71E7"/>
    <w:rsid w:val="009B725B"/>
    <w:rsid w:val="009B72B8"/>
    <w:rsid w:val="009B73AA"/>
    <w:rsid w:val="009B7484"/>
    <w:rsid w:val="009B7497"/>
    <w:rsid w:val="009B752D"/>
    <w:rsid w:val="009B7541"/>
    <w:rsid w:val="009B774A"/>
    <w:rsid w:val="009B78CC"/>
    <w:rsid w:val="009B78F1"/>
    <w:rsid w:val="009B793C"/>
    <w:rsid w:val="009B7A42"/>
    <w:rsid w:val="009B7A74"/>
    <w:rsid w:val="009B7AF6"/>
    <w:rsid w:val="009B7BC5"/>
    <w:rsid w:val="009B7CD2"/>
    <w:rsid w:val="009B7D23"/>
    <w:rsid w:val="009B7D32"/>
    <w:rsid w:val="009B7D8F"/>
    <w:rsid w:val="009B7DAF"/>
    <w:rsid w:val="009B7EC8"/>
    <w:rsid w:val="009C00E4"/>
    <w:rsid w:val="009C00F3"/>
    <w:rsid w:val="009C01A6"/>
    <w:rsid w:val="009C01F7"/>
    <w:rsid w:val="009C0202"/>
    <w:rsid w:val="009C037F"/>
    <w:rsid w:val="009C0405"/>
    <w:rsid w:val="009C07E3"/>
    <w:rsid w:val="009C0842"/>
    <w:rsid w:val="009C0873"/>
    <w:rsid w:val="009C08A0"/>
    <w:rsid w:val="009C09D8"/>
    <w:rsid w:val="009C09F8"/>
    <w:rsid w:val="009C0AA4"/>
    <w:rsid w:val="009C0ACD"/>
    <w:rsid w:val="009C0CA1"/>
    <w:rsid w:val="009C0D85"/>
    <w:rsid w:val="009C0DF2"/>
    <w:rsid w:val="009C0E0B"/>
    <w:rsid w:val="009C0E97"/>
    <w:rsid w:val="009C106E"/>
    <w:rsid w:val="009C11E6"/>
    <w:rsid w:val="009C12C6"/>
    <w:rsid w:val="009C1300"/>
    <w:rsid w:val="009C138C"/>
    <w:rsid w:val="009C13F0"/>
    <w:rsid w:val="009C13FF"/>
    <w:rsid w:val="009C157C"/>
    <w:rsid w:val="009C158E"/>
    <w:rsid w:val="009C1750"/>
    <w:rsid w:val="009C17FC"/>
    <w:rsid w:val="009C17FE"/>
    <w:rsid w:val="009C18A1"/>
    <w:rsid w:val="009C19C9"/>
    <w:rsid w:val="009C1A6D"/>
    <w:rsid w:val="009C1ACD"/>
    <w:rsid w:val="009C1BBD"/>
    <w:rsid w:val="009C1BE1"/>
    <w:rsid w:val="009C1C06"/>
    <w:rsid w:val="009C1CF8"/>
    <w:rsid w:val="009C1FFD"/>
    <w:rsid w:val="009C217E"/>
    <w:rsid w:val="009C22B7"/>
    <w:rsid w:val="009C235E"/>
    <w:rsid w:val="009C23B7"/>
    <w:rsid w:val="009C2548"/>
    <w:rsid w:val="009C256C"/>
    <w:rsid w:val="009C25D3"/>
    <w:rsid w:val="009C25E4"/>
    <w:rsid w:val="009C2607"/>
    <w:rsid w:val="009C2628"/>
    <w:rsid w:val="009C288A"/>
    <w:rsid w:val="009C28CB"/>
    <w:rsid w:val="009C292F"/>
    <w:rsid w:val="009C29DD"/>
    <w:rsid w:val="009C2A75"/>
    <w:rsid w:val="009C2BA9"/>
    <w:rsid w:val="009C2C6F"/>
    <w:rsid w:val="009C2D7A"/>
    <w:rsid w:val="009C2DCE"/>
    <w:rsid w:val="009C2EF2"/>
    <w:rsid w:val="009C2F97"/>
    <w:rsid w:val="009C303A"/>
    <w:rsid w:val="009C30F6"/>
    <w:rsid w:val="009C3203"/>
    <w:rsid w:val="009C326D"/>
    <w:rsid w:val="009C3363"/>
    <w:rsid w:val="009C33D9"/>
    <w:rsid w:val="009C34D6"/>
    <w:rsid w:val="009C3656"/>
    <w:rsid w:val="009C37B6"/>
    <w:rsid w:val="009C3832"/>
    <w:rsid w:val="009C3B41"/>
    <w:rsid w:val="009C3BE1"/>
    <w:rsid w:val="009C3CBD"/>
    <w:rsid w:val="009C3D19"/>
    <w:rsid w:val="009C3D51"/>
    <w:rsid w:val="009C3F15"/>
    <w:rsid w:val="009C3F50"/>
    <w:rsid w:val="009C3FA5"/>
    <w:rsid w:val="009C3FB0"/>
    <w:rsid w:val="009C3FD0"/>
    <w:rsid w:val="009C412F"/>
    <w:rsid w:val="009C41C4"/>
    <w:rsid w:val="009C4392"/>
    <w:rsid w:val="009C44E6"/>
    <w:rsid w:val="009C44EE"/>
    <w:rsid w:val="009C45DC"/>
    <w:rsid w:val="009C45DF"/>
    <w:rsid w:val="009C47EA"/>
    <w:rsid w:val="009C48BB"/>
    <w:rsid w:val="009C4915"/>
    <w:rsid w:val="009C4BC9"/>
    <w:rsid w:val="009C4CF9"/>
    <w:rsid w:val="009C4D98"/>
    <w:rsid w:val="009C4E3A"/>
    <w:rsid w:val="009C4EFB"/>
    <w:rsid w:val="009C4FB2"/>
    <w:rsid w:val="009C50E0"/>
    <w:rsid w:val="009C5157"/>
    <w:rsid w:val="009C524A"/>
    <w:rsid w:val="009C525B"/>
    <w:rsid w:val="009C52EB"/>
    <w:rsid w:val="009C52EC"/>
    <w:rsid w:val="009C5378"/>
    <w:rsid w:val="009C5452"/>
    <w:rsid w:val="009C546C"/>
    <w:rsid w:val="009C5954"/>
    <w:rsid w:val="009C5A95"/>
    <w:rsid w:val="009C5ACC"/>
    <w:rsid w:val="009C5B7D"/>
    <w:rsid w:val="009C5E57"/>
    <w:rsid w:val="009C5F86"/>
    <w:rsid w:val="009C6029"/>
    <w:rsid w:val="009C6054"/>
    <w:rsid w:val="009C63C7"/>
    <w:rsid w:val="009C6474"/>
    <w:rsid w:val="009C64CD"/>
    <w:rsid w:val="009C6533"/>
    <w:rsid w:val="009C670C"/>
    <w:rsid w:val="009C6842"/>
    <w:rsid w:val="009C6916"/>
    <w:rsid w:val="009C6998"/>
    <w:rsid w:val="009C6A4B"/>
    <w:rsid w:val="009C6CB2"/>
    <w:rsid w:val="009C6D24"/>
    <w:rsid w:val="009C6D2B"/>
    <w:rsid w:val="009C6DCD"/>
    <w:rsid w:val="009C6E3C"/>
    <w:rsid w:val="009C6EEB"/>
    <w:rsid w:val="009C708B"/>
    <w:rsid w:val="009C7183"/>
    <w:rsid w:val="009C732D"/>
    <w:rsid w:val="009C75CA"/>
    <w:rsid w:val="009C768E"/>
    <w:rsid w:val="009C7690"/>
    <w:rsid w:val="009C77EA"/>
    <w:rsid w:val="009C78B5"/>
    <w:rsid w:val="009C791B"/>
    <w:rsid w:val="009C79CC"/>
    <w:rsid w:val="009C7AF8"/>
    <w:rsid w:val="009C7BEE"/>
    <w:rsid w:val="009C7CF1"/>
    <w:rsid w:val="009C7D4E"/>
    <w:rsid w:val="009C7E86"/>
    <w:rsid w:val="009C7EB3"/>
    <w:rsid w:val="009C7EC0"/>
    <w:rsid w:val="009C7ECB"/>
    <w:rsid w:val="009C7F21"/>
    <w:rsid w:val="009C7F3C"/>
    <w:rsid w:val="009C7F67"/>
    <w:rsid w:val="009C7FEF"/>
    <w:rsid w:val="009D00F8"/>
    <w:rsid w:val="009D036D"/>
    <w:rsid w:val="009D047B"/>
    <w:rsid w:val="009D05F5"/>
    <w:rsid w:val="009D06D4"/>
    <w:rsid w:val="009D06DF"/>
    <w:rsid w:val="009D0857"/>
    <w:rsid w:val="009D0868"/>
    <w:rsid w:val="009D089D"/>
    <w:rsid w:val="009D08EB"/>
    <w:rsid w:val="009D08F2"/>
    <w:rsid w:val="009D09ED"/>
    <w:rsid w:val="009D0A4D"/>
    <w:rsid w:val="009D0B2B"/>
    <w:rsid w:val="009D0CB8"/>
    <w:rsid w:val="009D0CE3"/>
    <w:rsid w:val="009D0D15"/>
    <w:rsid w:val="009D0D54"/>
    <w:rsid w:val="009D0D5B"/>
    <w:rsid w:val="009D0D65"/>
    <w:rsid w:val="009D0E1B"/>
    <w:rsid w:val="009D0E2C"/>
    <w:rsid w:val="009D0E34"/>
    <w:rsid w:val="009D0F1A"/>
    <w:rsid w:val="009D10B5"/>
    <w:rsid w:val="009D10C6"/>
    <w:rsid w:val="009D12C0"/>
    <w:rsid w:val="009D132E"/>
    <w:rsid w:val="009D139E"/>
    <w:rsid w:val="009D1460"/>
    <w:rsid w:val="009D1756"/>
    <w:rsid w:val="009D176D"/>
    <w:rsid w:val="009D17A3"/>
    <w:rsid w:val="009D180D"/>
    <w:rsid w:val="009D18EC"/>
    <w:rsid w:val="009D1994"/>
    <w:rsid w:val="009D1A15"/>
    <w:rsid w:val="009D1AE3"/>
    <w:rsid w:val="009D1B13"/>
    <w:rsid w:val="009D1D00"/>
    <w:rsid w:val="009D1DDC"/>
    <w:rsid w:val="009D1E45"/>
    <w:rsid w:val="009D1F05"/>
    <w:rsid w:val="009D1F6C"/>
    <w:rsid w:val="009D1F9B"/>
    <w:rsid w:val="009D2063"/>
    <w:rsid w:val="009D2239"/>
    <w:rsid w:val="009D2268"/>
    <w:rsid w:val="009D22D1"/>
    <w:rsid w:val="009D237C"/>
    <w:rsid w:val="009D240A"/>
    <w:rsid w:val="009D24AB"/>
    <w:rsid w:val="009D24C8"/>
    <w:rsid w:val="009D25EE"/>
    <w:rsid w:val="009D2626"/>
    <w:rsid w:val="009D26D2"/>
    <w:rsid w:val="009D26F1"/>
    <w:rsid w:val="009D2739"/>
    <w:rsid w:val="009D27B0"/>
    <w:rsid w:val="009D281F"/>
    <w:rsid w:val="009D2900"/>
    <w:rsid w:val="009D29AD"/>
    <w:rsid w:val="009D2C2D"/>
    <w:rsid w:val="009D2C9C"/>
    <w:rsid w:val="009D2D5B"/>
    <w:rsid w:val="009D2E33"/>
    <w:rsid w:val="009D2EAB"/>
    <w:rsid w:val="009D2ECA"/>
    <w:rsid w:val="009D2FE5"/>
    <w:rsid w:val="009D306B"/>
    <w:rsid w:val="009D30E2"/>
    <w:rsid w:val="009D310B"/>
    <w:rsid w:val="009D3143"/>
    <w:rsid w:val="009D3165"/>
    <w:rsid w:val="009D32A4"/>
    <w:rsid w:val="009D3345"/>
    <w:rsid w:val="009D3359"/>
    <w:rsid w:val="009D34A0"/>
    <w:rsid w:val="009D359A"/>
    <w:rsid w:val="009D35CA"/>
    <w:rsid w:val="009D35E2"/>
    <w:rsid w:val="009D36B0"/>
    <w:rsid w:val="009D3737"/>
    <w:rsid w:val="009D3922"/>
    <w:rsid w:val="009D3A16"/>
    <w:rsid w:val="009D3A3C"/>
    <w:rsid w:val="009D3B01"/>
    <w:rsid w:val="009D3B5C"/>
    <w:rsid w:val="009D3C6E"/>
    <w:rsid w:val="009D3D6E"/>
    <w:rsid w:val="009D3DB2"/>
    <w:rsid w:val="009D3E15"/>
    <w:rsid w:val="009D3E66"/>
    <w:rsid w:val="009D3E6F"/>
    <w:rsid w:val="009D4010"/>
    <w:rsid w:val="009D4111"/>
    <w:rsid w:val="009D4175"/>
    <w:rsid w:val="009D4185"/>
    <w:rsid w:val="009D4297"/>
    <w:rsid w:val="009D43C8"/>
    <w:rsid w:val="009D4407"/>
    <w:rsid w:val="009D451C"/>
    <w:rsid w:val="009D4695"/>
    <w:rsid w:val="009D46EE"/>
    <w:rsid w:val="009D4711"/>
    <w:rsid w:val="009D47E5"/>
    <w:rsid w:val="009D4842"/>
    <w:rsid w:val="009D4873"/>
    <w:rsid w:val="009D4941"/>
    <w:rsid w:val="009D4A42"/>
    <w:rsid w:val="009D4D62"/>
    <w:rsid w:val="009D4DE9"/>
    <w:rsid w:val="009D4DFB"/>
    <w:rsid w:val="009D4F48"/>
    <w:rsid w:val="009D5282"/>
    <w:rsid w:val="009D52BF"/>
    <w:rsid w:val="009D5303"/>
    <w:rsid w:val="009D5538"/>
    <w:rsid w:val="009D5585"/>
    <w:rsid w:val="009D5715"/>
    <w:rsid w:val="009D57B4"/>
    <w:rsid w:val="009D5833"/>
    <w:rsid w:val="009D5971"/>
    <w:rsid w:val="009D5A85"/>
    <w:rsid w:val="009D5B40"/>
    <w:rsid w:val="009D5BFE"/>
    <w:rsid w:val="009D5C6F"/>
    <w:rsid w:val="009D5E03"/>
    <w:rsid w:val="009D5E53"/>
    <w:rsid w:val="009D5FC8"/>
    <w:rsid w:val="009D605B"/>
    <w:rsid w:val="009D615D"/>
    <w:rsid w:val="009D6232"/>
    <w:rsid w:val="009D62E1"/>
    <w:rsid w:val="009D6326"/>
    <w:rsid w:val="009D634C"/>
    <w:rsid w:val="009D64BC"/>
    <w:rsid w:val="009D6515"/>
    <w:rsid w:val="009D653B"/>
    <w:rsid w:val="009D65E3"/>
    <w:rsid w:val="009D674A"/>
    <w:rsid w:val="009D67D0"/>
    <w:rsid w:val="009D690C"/>
    <w:rsid w:val="009D6A38"/>
    <w:rsid w:val="009D6AEB"/>
    <w:rsid w:val="009D6B2E"/>
    <w:rsid w:val="009D6BE8"/>
    <w:rsid w:val="009D6CCB"/>
    <w:rsid w:val="009D6D65"/>
    <w:rsid w:val="009D6E1A"/>
    <w:rsid w:val="009D6E92"/>
    <w:rsid w:val="009D7009"/>
    <w:rsid w:val="009D70A1"/>
    <w:rsid w:val="009D7165"/>
    <w:rsid w:val="009D7197"/>
    <w:rsid w:val="009D73AC"/>
    <w:rsid w:val="009D73E7"/>
    <w:rsid w:val="009D7550"/>
    <w:rsid w:val="009D7575"/>
    <w:rsid w:val="009D76D8"/>
    <w:rsid w:val="009D776D"/>
    <w:rsid w:val="009D77C5"/>
    <w:rsid w:val="009D781F"/>
    <w:rsid w:val="009D7AA9"/>
    <w:rsid w:val="009D7D84"/>
    <w:rsid w:val="009D7EF6"/>
    <w:rsid w:val="009D7F22"/>
    <w:rsid w:val="009D7F25"/>
    <w:rsid w:val="009D7F71"/>
    <w:rsid w:val="009E004A"/>
    <w:rsid w:val="009E0237"/>
    <w:rsid w:val="009E02AB"/>
    <w:rsid w:val="009E02CE"/>
    <w:rsid w:val="009E03A6"/>
    <w:rsid w:val="009E048F"/>
    <w:rsid w:val="009E050B"/>
    <w:rsid w:val="009E0515"/>
    <w:rsid w:val="009E0552"/>
    <w:rsid w:val="009E0772"/>
    <w:rsid w:val="009E08A8"/>
    <w:rsid w:val="009E0A0F"/>
    <w:rsid w:val="009E0A2E"/>
    <w:rsid w:val="009E0B65"/>
    <w:rsid w:val="009E0BA2"/>
    <w:rsid w:val="009E0BEE"/>
    <w:rsid w:val="009E0CC2"/>
    <w:rsid w:val="009E0CCE"/>
    <w:rsid w:val="009E0D0F"/>
    <w:rsid w:val="009E0E30"/>
    <w:rsid w:val="009E0E83"/>
    <w:rsid w:val="009E0ED6"/>
    <w:rsid w:val="009E0FC1"/>
    <w:rsid w:val="009E101E"/>
    <w:rsid w:val="009E11E2"/>
    <w:rsid w:val="009E12B7"/>
    <w:rsid w:val="009E12F0"/>
    <w:rsid w:val="009E138A"/>
    <w:rsid w:val="009E13F9"/>
    <w:rsid w:val="009E1496"/>
    <w:rsid w:val="009E174A"/>
    <w:rsid w:val="009E17A9"/>
    <w:rsid w:val="009E1887"/>
    <w:rsid w:val="009E1921"/>
    <w:rsid w:val="009E19FD"/>
    <w:rsid w:val="009E1A80"/>
    <w:rsid w:val="009E1C76"/>
    <w:rsid w:val="009E1CB0"/>
    <w:rsid w:val="009E1CC9"/>
    <w:rsid w:val="009E1DE7"/>
    <w:rsid w:val="009E1E05"/>
    <w:rsid w:val="009E1E51"/>
    <w:rsid w:val="009E1F6E"/>
    <w:rsid w:val="009E20C1"/>
    <w:rsid w:val="009E20DE"/>
    <w:rsid w:val="009E22A4"/>
    <w:rsid w:val="009E2444"/>
    <w:rsid w:val="009E2464"/>
    <w:rsid w:val="009E2489"/>
    <w:rsid w:val="009E24CF"/>
    <w:rsid w:val="009E2504"/>
    <w:rsid w:val="009E27C3"/>
    <w:rsid w:val="009E2A04"/>
    <w:rsid w:val="009E2AD5"/>
    <w:rsid w:val="009E2BB3"/>
    <w:rsid w:val="009E2BEE"/>
    <w:rsid w:val="009E2E00"/>
    <w:rsid w:val="009E2F41"/>
    <w:rsid w:val="009E2F75"/>
    <w:rsid w:val="009E30F9"/>
    <w:rsid w:val="009E31E8"/>
    <w:rsid w:val="009E3213"/>
    <w:rsid w:val="009E3255"/>
    <w:rsid w:val="009E328C"/>
    <w:rsid w:val="009E33F1"/>
    <w:rsid w:val="009E3411"/>
    <w:rsid w:val="009E3565"/>
    <w:rsid w:val="009E3566"/>
    <w:rsid w:val="009E371B"/>
    <w:rsid w:val="009E3923"/>
    <w:rsid w:val="009E3A10"/>
    <w:rsid w:val="009E3A5B"/>
    <w:rsid w:val="009E3A64"/>
    <w:rsid w:val="009E3B07"/>
    <w:rsid w:val="009E3B43"/>
    <w:rsid w:val="009E3B8E"/>
    <w:rsid w:val="009E3B94"/>
    <w:rsid w:val="009E3BAD"/>
    <w:rsid w:val="009E3C86"/>
    <w:rsid w:val="009E3CDE"/>
    <w:rsid w:val="009E3D17"/>
    <w:rsid w:val="009E3D90"/>
    <w:rsid w:val="009E3DA8"/>
    <w:rsid w:val="009E3EDC"/>
    <w:rsid w:val="009E3FC1"/>
    <w:rsid w:val="009E4120"/>
    <w:rsid w:val="009E41C9"/>
    <w:rsid w:val="009E4260"/>
    <w:rsid w:val="009E42F4"/>
    <w:rsid w:val="009E438D"/>
    <w:rsid w:val="009E4487"/>
    <w:rsid w:val="009E44F0"/>
    <w:rsid w:val="009E45D8"/>
    <w:rsid w:val="009E4698"/>
    <w:rsid w:val="009E47AC"/>
    <w:rsid w:val="009E47D6"/>
    <w:rsid w:val="009E482E"/>
    <w:rsid w:val="009E48B7"/>
    <w:rsid w:val="009E4932"/>
    <w:rsid w:val="009E4A5C"/>
    <w:rsid w:val="009E4AA2"/>
    <w:rsid w:val="009E4B5B"/>
    <w:rsid w:val="009E4BCC"/>
    <w:rsid w:val="009E4D38"/>
    <w:rsid w:val="009E506D"/>
    <w:rsid w:val="009E5141"/>
    <w:rsid w:val="009E516A"/>
    <w:rsid w:val="009E5187"/>
    <w:rsid w:val="009E518F"/>
    <w:rsid w:val="009E5305"/>
    <w:rsid w:val="009E536D"/>
    <w:rsid w:val="009E54B7"/>
    <w:rsid w:val="009E5514"/>
    <w:rsid w:val="009E5576"/>
    <w:rsid w:val="009E55C4"/>
    <w:rsid w:val="009E55D4"/>
    <w:rsid w:val="009E55ED"/>
    <w:rsid w:val="009E570F"/>
    <w:rsid w:val="009E5770"/>
    <w:rsid w:val="009E587C"/>
    <w:rsid w:val="009E5CAE"/>
    <w:rsid w:val="009E5CB8"/>
    <w:rsid w:val="009E5D6B"/>
    <w:rsid w:val="009E5EE9"/>
    <w:rsid w:val="009E5F05"/>
    <w:rsid w:val="009E5F8B"/>
    <w:rsid w:val="009E5FFB"/>
    <w:rsid w:val="009E6006"/>
    <w:rsid w:val="009E601F"/>
    <w:rsid w:val="009E61B2"/>
    <w:rsid w:val="009E61BB"/>
    <w:rsid w:val="009E6288"/>
    <w:rsid w:val="009E639E"/>
    <w:rsid w:val="009E6620"/>
    <w:rsid w:val="009E68E9"/>
    <w:rsid w:val="009E6908"/>
    <w:rsid w:val="009E69DC"/>
    <w:rsid w:val="009E6A53"/>
    <w:rsid w:val="009E6A5A"/>
    <w:rsid w:val="009E6BC8"/>
    <w:rsid w:val="009E6C1B"/>
    <w:rsid w:val="009E6C37"/>
    <w:rsid w:val="009E6CA5"/>
    <w:rsid w:val="009E6D7D"/>
    <w:rsid w:val="009E6E38"/>
    <w:rsid w:val="009E6E76"/>
    <w:rsid w:val="009E6F07"/>
    <w:rsid w:val="009E6FA1"/>
    <w:rsid w:val="009E7094"/>
    <w:rsid w:val="009E70D7"/>
    <w:rsid w:val="009E70E8"/>
    <w:rsid w:val="009E7161"/>
    <w:rsid w:val="009E71DC"/>
    <w:rsid w:val="009E7289"/>
    <w:rsid w:val="009E7294"/>
    <w:rsid w:val="009E7475"/>
    <w:rsid w:val="009E75D7"/>
    <w:rsid w:val="009E75FE"/>
    <w:rsid w:val="009E781D"/>
    <w:rsid w:val="009E78AE"/>
    <w:rsid w:val="009E798D"/>
    <w:rsid w:val="009E79B2"/>
    <w:rsid w:val="009E7A39"/>
    <w:rsid w:val="009E7A3A"/>
    <w:rsid w:val="009E7A7C"/>
    <w:rsid w:val="009E7B02"/>
    <w:rsid w:val="009E7C22"/>
    <w:rsid w:val="009E7CFF"/>
    <w:rsid w:val="009E7D64"/>
    <w:rsid w:val="009E7DDA"/>
    <w:rsid w:val="009E7E3D"/>
    <w:rsid w:val="009E7EF8"/>
    <w:rsid w:val="009E7F3C"/>
    <w:rsid w:val="009F0042"/>
    <w:rsid w:val="009F0067"/>
    <w:rsid w:val="009F00A1"/>
    <w:rsid w:val="009F01BB"/>
    <w:rsid w:val="009F035B"/>
    <w:rsid w:val="009F03B2"/>
    <w:rsid w:val="009F0435"/>
    <w:rsid w:val="009F04FA"/>
    <w:rsid w:val="009F057D"/>
    <w:rsid w:val="009F061F"/>
    <w:rsid w:val="009F0626"/>
    <w:rsid w:val="009F06DC"/>
    <w:rsid w:val="009F072E"/>
    <w:rsid w:val="009F077E"/>
    <w:rsid w:val="009F0838"/>
    <w:rsid w:val="009F09FA"/>
    <w:rsid w:val="009F0AAB"/>
    <w:rsid w:val="009F0ACD"/>
    <w:rsid w:val="009F0BAD"/>
    <w:rsid w:val="009F0CA7"/>
    <w:rsid w:val="009F0CE0"/>
    <w:rsid w:val="009F0D64"/>
    <w:rsid w:val="009F0E33"/>
    <w:rsid w:val="009F0E5B"/>
    <w:rsid w:val="009F126E"/>
    <w:rsid w:val="009F1285"/>
    <w:rsid w:val="009F130C"/>
    <w:rsid w:val="009F130D"/>
    <w:rsid w:val="009F1327"/>
    <w:rsid w:val="009F1452"/>
    <w:rsid w:val="009F1549"/>
    <w:rsid w:val="009F15C0"/>
    <w:rsid w:val="009F16E0"/>
    <w:rsid w:val="009F177C"/>
    <w:rsid w:val="009F179A"/>
    <w:rsid w:val="009F179C"/>
    <w:rsid w:val="009F1880"/>
    <w:rsid w:val="009F189C"/>
    <w:rsid w:val="009F191E"/>
    <w:rsid w:val="009F196B"/>
    <w:rsid w:val="009F19B2"/>
    <w:rsid w:val="009F1AEA"/>
    <w:rsid w:val="009F1AED"/>
    <w:rsid w:val="009F1BBF"/>
    <w:rsid w:val="009F1D49"/>
    <w:rsid w:val="009F1DF8"/>
    <w:rsid w:val="009F1E13"/>
    <w:rsid w:val="009F1E33"/>
    <w:rsid w:val="009F1EAC"/>
    <w:rsid w:val="009F1EE0"/>
    <w:rsid w:val="009F1FA7"/>
    <w:rsid w:val="009F21D4"/>
    <w:rsid w:val="009F23E5"/>
    <w:rsid w:val="009F248D"/>
    <w:rsid w:val="009F26EC"/>
    <w:rsid w:val="009F2707"/>
    <w:rsid w:val="009F272E"/>
    <w:rsid w:val="009F2983"/>
    <w:rsid w:val="009F299B"/>
    <w:rsid w:val="009F2B00"/>
    <w:rsid w:val="009F2B6E"/>
    <w:rsid w:val="009F2BFF"/>
    <w:rsid w:val="009F2DE0"/>
    <w:rsid w:val="009F2DF5"/>
    <w:rsid w:val="009F2E01"/>
    <w:rsid w:val="009F2E9D"/>
    <w:rsid w:val="009F300F"/>
    <w:rsid w:val="009F3075"/>
    <w:rsid w:val="009F30CB"/>
    <w:rsid w:val="009F3334"/>
    <w:rsid w:val="009F35AA"/>
    <w:rsid w:val="009F36B3"/>
    <w:rsid w:val="009F3728"/>
    <w:rsid w:val="009F3840"/>
    <w:rsid w:val="009F3851"/>
    <w:rsid w:val="009F3954"/>
    <w:rsid w:val="009F39A1"/>
    <w:rsid w:val="009F39ED"/>
    <w:rsid w:val="009F3A1C"/>
    <w:rsid w:val="009F3AB1"/>
    <w:rsid w:val="009F3AE8"/>
    <w:rsid w:val="009F3B2B"/>
    <w:rsid w:val="009F3C0C"/>
    <w:rsid w:val="009F3CF6"/>
    <w:rsid w:val="009F3E4E"/>
    <w:rsid w:val="009F3E67"/>
    <w:rsid w:val="009F3F38"/>
    <w:rsid w:val="009F40CA"/>
    <w:rsid w:val="009F4275"/>
    <w:rsid w:val="009F42D6"/>
    <w:rsid w:val="009F454B"/>
    <w:rsid w:val="009F45BB"/>
    <w:rsid w:val="009F469D"/>
    <w:rsid w:val="009F4751"/>
    <w:rsid w:val="009F4832"/>
    <w:rsid w:val="009F485E"/>
    <w:rsid w:val="009F48DD"/>
    <w:rsid w:val="009F4A2E"/>
    <w:rsid w:val="009F4B40"/>
    <w:rsid w:val="009F4BA6"/>
    <w:rsid w:val="009F4D7C"/>
    <w:rsid w:val="009F4E6F"/>
    <w:rsid w:val="009F5364"/>
    <w:rsid w:val="009F53C7"/>
    <w:rsid w:val="009F54F0"/>
    <w:rsid w:val="009F557E"/>
    <w:rsid w:val="009F56A3"/>
    <w:rsid w:val="009F57E2"/>
    <w:rsid w:val="009F5813"/>
    <w:rsid w:val="009F5AF2"/>
    <w:rsid w:val="009F5CB7"/>
    <w:rsid w:val="009F5CF4"/>
    <w:rsid w:val="009F5D9D"/>
    <w:rsid w:val="009F5DAB"/>
    <w:rsid w:val="009F5E10"/>
    <w:rsid w:val="009F5E38"/>
    <w:rsid w:val="009F5EEF"/>
    <w:rsid w:val="009F5F3A"/>
    <w:rsid w:val="009F5F5C"/>
    <w:rsid w:val="009F6176"/>
    <w:rsid w:val="009F651A"/>
    <w:rsid w:val="009F6701"/>
    <w:rsid w:val="009F672A"/>
    <w:rsid w:val="009F6764"/>
    <w:rsid w:val="009F6934"/>
    <w:rsid w:val="009F69D8"/>
    <w:rsid w:val="009F6A0E"/>
    <w:rsid w:val="009F6A7E"/>
    <w:rsid w:val="009F6AA0"/>
    <w:rsid w:val="009F6AA4"/>
    <w:rsid w:val="009F6C3E"/>
    <w:rsid w:val="009F6D8D"/>
    <w:rsid w:val="009F6E23"/>
    <w:rsid w:val="009F6F92"/>
    <w:rsid w:val="009F6F95"/>
    <w:rsid w:val="009F6FC0"/>
    <w:rsid w:val="009F714D"/>
    <w:rsid w:val="009F71FB"/>
    <w:rsid w:val="009F723C"/>
    <w:rsid w:val="009F7242"/>
    <w:rsid w:val="009F728D"/>
    <w:rsid w:val="009F72CA"/>
    <w:rsid w:val="009F7365"/>
    <w:rsid w:val="009F73AE"/>
    <w:rsid w:val="009F73CD"/>
    <w:rsid w:val="009F73E1"/>
    <w:rsid w:val="009F7490"/>
    <w:rsid w:val="009F74B6"/>
    <w:rsid w:val="009F7580"/>
    <w:rsid w:val="009F75AF"/>
    <w:rsid w:val="009F766F"/>
    <w:rsid w:val="009F76B1"/>
    <w:rsid w:val="009F78A7"/>
    <w:rsid w:val="009F7954"/>
    <w:rsid w:val="009F7974"/>
    <w:rsid w:val="009F7ADD"/>
    <w:rsid w:val="009F7B1F"/>
    <w:rsid w:val="009F7CE6"/>
    <w:rsid w:val="009F7CEC"/>
    <w:rsid w:val="009F7D23"/>
    <w:rsid w:val="009F7D32"/>
    <w:rsid w:val="009F7E14"/>
    <w:rsid w:val="00A0004A"/>
    <w:rsid w:val="00A00093"/>
    <w:rsid w:val="00A000B5"/>
    <w:rsid w:val="00A000F5"/>
    <w:rsid w:val="00A0012A"/>
    <w:rsid w:val="00A002EB"/>
    <w:rsid w:val="00A00370"/>
    <w:rsid w:val="00A00396"/>
    <w:rsid w:val="00A0045B"/>
    <w:rsid w:val="00A00464"/>
    <w:rsid w:val="00A00536"/>
    <w:rsid w:val="00A0056E"/>
    <w:rsid w:val="00A005A2"/>
    <w:rsid w:val="00A005E8"/>
    <w:rsid w:val="00A0064A"/>
    <w:rsid w:val="00A00712"/>
    <w:rsid w:val="00A00732"/>
    <w:rsid w:val="00A0074B"/>
    <w:rsid w:val="00A00793"/>
    <w:rsid w:val="00A008EC"/>
    <w:rsid w:val="00A009D5"/>
    <w:rsid w:val="00A00AE4"/>
    <w:rsid w:val="00A00AFC"/>
    <w:rsid w:val="00A00B15"/>
    <w:rsid w:val="00A00C44"/>
    <w:rsid w:val="00A00CAA"/>
    <w:rsid w:val="00A00E39"/>
    <w:rsid w:val="00A00ECF"/>
    <w:rsid w:val="00A00F3F"/>
    <w:rsid w:val="00A00F50"/>
    <w:rsid w:val="00A00F58"/>
    <w:rsid w:val="00A00F9E"/>
    <w:rsid w:val="00A010CC"/>
    <w:rsid w:val="00A01178"/>
    <w:rsid w:val="00A012AC"/>
    <w:rsid w:val="00A012EF"/>
    <w:rsid w:val="00A0139C"/>
    <w:rsid w:val="00A013BC"/>
    <w:rsid w:val="00A0143F"/>
    <w:rsid w:val="00A0146A"/>
    <w:rsid w:val="00A0149A"/>
    <w:rsid w:val="00A01504"/>
    <w:rsid w:val="00A016E0"/>
    <w:rsid w:val="00A0185E"/>
    <w:rsid w:val="00A01935"/>
    <w:rsid w:val="00A01938"/>
    <w:rsid w:val="00A01B1C"/>
    <w:rsid w:val="00A01B3F"/>
    <w:rsid w:val="00A01BCB"/>
    <w:rsid w:val="00A01C58"/>
    <w:rsid w:val="00A01CB2"/>
    <w:rsid w:val="00A01DED"/>
    <w:rsid w:val="00A01E17"/>
    <w:rsid w:val="00A01F53"/>
    <w:rsid w:val="00A01FE8"/>
    <w:rsid w:val="00A0215D"/>
    <w:rsid w:val="00A0224C"/>
    <w:rsid w:val="00A02291"/>
    <w:rsid w:val="00A02313"/>
    <w:rsid w:val="00A0231A"/>
    <w:rsid w:val="00A0244D"/>
    <w:rsid w:val="00A02487"/>
    <w:rsid w:val="00A024FE"/>
    <w:rsid w:val="00A02560"/>
    <w:rsid w:val="00A02604"/>
    <w:rsid w:val="00A02795"/>
    <w:rsid w:val="00A028AC"/>
    <w:rsid w:val="00A0290E"/>
    <w:rsid w:val="00A029A8"/>
    <w:rsid w:val="00A02AD5"/>
    <w:rsid w:val="00A02BBE"/>
    <w:rsid w:val="00A02D35"/>
    <w:rsid w:val="00A02EDA"/>
    <w:rsid w:val="00A02F18"/>
    <w:rsid w:val="00A02F29"/>
    <w:rsid w:val="00A0305A"/>
    <w:rsid w:val="00A030ED"/>
    <w:rsid w:val="00A03230"/>
    <w:rsid w:val="00A032BD"/>
    <w:rsid w:val="00A032DD"/>
    <w:rsid w:val="00A0344E"/>
    <w:rsid w:val="00A034CD"/>
    <w:rsid w:val="00A036DA"/>
    <w:rsid w:val="00A036FE"/>
    <w:rsid w:val="00A03994"/>
    <w:rsid w:val="00A039BD"/>
    <w:rsid w:val="00A039ED"/>
    <w:rsid w:val="00A03A01"/>
    <w:rsid w:val="00A03C11"/>
    <w:rsid w:val="00A03C66"/>
    <w:rsid w:val="00A03CC5"/>
    <w:rsid w:val="00A03DF3"/>
    <w:rsid w:val="00A03F8B"/>
    <w:rsid w:val="00A03F9A"/>
    <w:rsid w:val="00A040EB"/>
    <w:rsid w:val="00A04119"/>
    <w:rsid w:val="00A041AF"/>
    <w:rsid w:val="00A041E1"/>
    <w:rsid w:val="00A04495"/>
    <w:rsid w:val="00A0450B"/>
    <w:rsid w:val="00A048BD"/>
    <w:rsid w:val="00A048BF"/>
    <w:rsid w:val="00A049E6"/>
    <w:rsid w:val="00A049F9"/>
    <w:rsid w:val="00A04A82"/>
    <w:rsid w:val="00A04B4C"/>
    <w:rsid w:val="00A04C12"/>
    <w:rsid w:val="00A04D72"/>
    <w:rsid w:val="00A04FDB"/>
    <w:rsid w:val="00A04FFD"/>
    <w:rsid w:val="00A04FFF"/>
    <w:rsid w:val="00A05152"/>
    <w:rsid w:val="00A051A1"/>
    <w:rsid w:val="00A05219"/>
    <w:rsid w:val="00A05287"/>
    <w:rsid w:val="00A053A2"/>
    <w:rsid w:val="00A053A6"/>
    <w:rsid w:val="00A0541D"/>
    <w:rsid w:val="00A05460"/>
    <w:rsid w:val="00A054ED"/>
    <w:rsid w:val="00A057A6"/>
    <w:rsid w:val="00A057D5"/>
    <w:rsid w:val="00A058B4"/>
    <w:rsid w:val="00A058EF"/>
    <w:rsid w:val="00A05920"/>
    <w:rsid w:val="00A05A02"/>
    <w:rsid w:val="00A05A36"/>
    <w:rsid w:val="00A05A49"/>
    <w:rsid w:val="00A05A81"/>
    <w:rsid w:val="00A05A91"/>
    <w:rsid w:val="00A05B6C"/>
    <w:rsid w:val="00A05BB2"/>
    <w:rsid w:val="00A05C1B"/>
    <w:rsid w:val="00A05C77"/>
    <w:rsid w:val="00A06015"/>
    <w:rsid w:val="00A06021"/>
    <w:rsid w:val="00A060AE"/>
    <w:rsid w:val="00A0611D"/>
    <w:rsid w:val="00A0613D"/>
    <w:rsid w:val="00A06193"/>
    <w:rsid w:val="00A061B9"/>
    <w:rsid w:val="00A06254"/>
    <w:rsid w:val="00A0626D"/>
    <w:rsid w:val="00A06346"/>
    <w:rsid w:val="00A064DA"/>
    <w:rsid w:val="00A0650C"/>
    <w:rsid w:val="00A065F7"/>
    <w:rsid w:val="00A067E1"/>
    <w:rsid w:val="00A068E4"/>
    <w:rsid w:val="00A0694A"/>
    <w:rsid w:val="00A06959"/>
    <w:rsid w:val="00A069CE"/>
    <w:rsid w:val="00A06C10"/>
    <w:rsid w:val="00A06C1B"/>
    <w:rsid w:val="00A06D74"/>
    <w:rsid w:val="00A06E77"/>
    <w:rsid w:val="00A06EF6"/>
    <w:rsid w:val="00A07185"/>
    <w:rsid w:val="00A07236"/>
    <w:rsid w:val="00A073C3"/>
    <w:rsid w:val="00A073FF"/>
    <w:rsid w:val="00A0746E"/>
    <w:rsid w:val="00A074F9"/>
    <w:rsid w:val="00A07562"/>
    <w:rsid w:val="00A075A8"/>
    <w:rsid w:val="00A075DC"/>
    <w:rsid w:val="00A075EA"/>
    <w:rsid w:val="00A07800"/>
    <w:rsid w:val="00A07858"/>
    <w:rsid w:val="00A07A32"/>
    <w:rsid w:val="00A07BA1"/>
    <w:rsid w:val="00A07BB5"/>
    <w:rsid w:val="00A07BF1"/>
    <w:rsid w:val="00A07C56"/>
    <w:rsid w:val="00A07DC1"/>
    <w:rsid w:val="00A07E51"/>
    <w:rsid w:val="00A07EA3"/>
    <w:rsid w:val="00A07F64"/>
    <w:rsid w:val="00A101E6"/>
    <w:rsid w:val="00A102C3"/>
    <w:rsid w:val="00A10436"/>
    <w:rsid w:val="00A10564"/>
    <w:rsid w:val="00A10584"/>
    <w:rsid w:val="00A105D0"/>
    <w:rsid w:val="00A1064F"/>
    <w:rsid w:val="00A10663"/>
    <w:rsid w:val="00A10786"/>
    <w:rsid w:val="00A1082C"/>
    <w:rsid w:val="00A1086A"/>
    <w:rsid w:val="00A1096A"/>
    <w:rsid w:val="00A109E6"/>
    <w:rsid w:val="00A10A59"/>
    <w:rsid w:val="00A10BA4"/>
    <w:rsid w:val="00A10C69"/>
    <w:rsid w:val="00A10CE0"/>
    <w:rsid w:val="00A11005"/>
    <w:rsid w:val="00A1138D"/>
    <w:rsid w:val="00A1138F"/>
    <w:rsid w:val="00A11649"/>
    <w:rsid w:val="00A11680"/>
    <w:rsid w:val="00A11683"/>
    <w:rsid w:val="00A11728"/>
    <w:rsid w:val="00A11733"/>
    <w:rsid w:val="00A117C8"/>
    <w:rsid w:val="00A117FB"/>
    <w:rsid w:val="00A11878"/>
    <w:rsid w:val="00A118BE"/>
    <w:rsid w:val="00A118DE"/>
    <w:rsid w:val="00A11913"/>
    <w:rsid w:val="00A11979"/>
    <w:rsid w:val="00A119CD"/>
    <w:rsid w:val="00A11A00"/>
    <w:rsid w:val="00A11A90"/>
    <w:rsid w:val="00A11AA5"/>
    <w:rsid w:val="00A11B39"/>
    <w:rsid w:val="00A11C75"/>
    <w:rsid w:val="00A11D31"/>
    <w:rsid w:val="00A11DAC"/>
    <w:rsid w:val="00A11DFC"/>
    <w:rsid w:val="00A11E59"/>
    <w:rsid w:val="00A11EC5"/>
    <w:rsid w:val="00A11F8B"/>
    <w:rsid w:val="00A1208C"/>
    <w:rsid w:val="00A12120"/>
    <w:rsid w:val="00A1255D"/>
    <w:rsid w:val="00A1263E"/>
    <w:rsid w:val="00A12859"/>
    <w:rsid w:val="00A129E3"/>
    <w:rsid w:val="00A12AEE"/>
    <w:rsid w:val="00A12B28"/>
    <w:rsid w:val="00A12B3B"/>
    <w:rsid w:val="00A12B9B"/>
    <w:rsid w:val="00A12BCE"/>
    <w:rsid w:val="00A12BED"/>
    <w:rsid w:val="00A12BFA"/>
    <w:rsid w:val="00A12C5C"/>
    <w:rsid w:val="00A12C83"/>
    <w:rsid w:val="00A12D91"/>
    <w:rsid w:val="00A12F21"/>
    <w:rsid w:val="00A12F51"/>
    <w:rsid w:val="00A1310E"/>
    <w:rsid w:val="00A1312E"/>
    <w:rsid w:val="00A13211"/>
    <w:rsid w:val="00A13235"/>
    <w:rsid w:val="00A1329B"/>
    <w:rsid w:val="00A1332F"/>
    <w:rsid w:val="00A1334A"/>
    <w:rsid w:val="00A13431"/>
    <w:rsid w:val="00A1349B"/>
    <w:rsid w:val="00A13527"/>
    <w:rsid w:val="00A13561"/>
    <w:rsid w:val="00A13570"/>
    <w:rsid w:val="00A135C7"/>
    <w:rsid w:val="00A1379A"/>
    <w:rsid w:val="00A137AD"/>
    <w:rsid w:val="00A1381F"/>
    <w:rsid w:val="00A138F7"/>
    <w:rsid w:val="00A13A92"/>
    <w:rsid w:val="00A13BCB"/>
    <w:rsid w:val="00A13BF5"/>
    <w:rsid w:val="00A13C95"/>
    <w:rsid w:val="00A13CA0"/>
    <w:rsid w:val="00A13CAA"/>
    <w:rsid w:val="00A13D05"/>
    <w:rsid w:val="00A13E0D"/>
    <w:rsid w:val="00A13EED"/>
    <w:rsid w:val="00A13EF5"/>
    <w:rsid w:val="00A14038"/>
    <w:rsid w:val="00A14575"/>
    <w:rsid w:val="00A145EE"/>
    <w:rsid w:val="00A14609"/>
    <w:rsid w:val="00A14622"/>
    <w:rsid w:val="00A147EC"/>
    <w:rsid w:val="00A14877"/>
    <w:rsid w:val="00A14888"/>
    <w:rsid w:val="00A148A5"/>
    <w:rsid w:val="00A1497B"/>
    <w:rsid w:val="00A14A9F"/>
    <w:rsid w:val="00A14BBC"/>
    <w:rsid w:val="00A14BCF"/>
    <w:rsid w:val="00A14C7C"/>
    <w:rsid w:val="00A14CB5"/>
    <w:rsid w:val="00A14CE3"/>
    <w:rsid w:val="00A14D48"/>
    <w:rsid w:val="00A14DA4"/>
    <w:rsid w:val="00A14E31"/>
    <w:rsid w:val="00A14FFB"/>
    <w:rsid w:val="00A1504C"/>
    <w:rsid w:val="00A150EC"/>
    <w:rsid w:val="00A1515F"/>
    <w:rsid w:val="00A151EC"/>
    <w:rsid w:val="00A154CB"/>
    <w:rsid w:val="00A154D2"/>
    <w:rsid w:val="00A15753"/>
    <w:rsid w:val="00A15772"/>
    <w:rsid w:val="00A157B6"/>
    <w:rsid w:val="00A157BB"/>
    <w:rsid w:val="00A1588A"/>
    <w:rsid w:val="00A15905"/>
    <w:rsid w:val="00A1591F"/>
    <w:rsid w:val="00A1593D"/>
    <w:rsid w:val="00A159EE"/>
    <w:rsid w:val="00A15BD0"/>
    <w:rsid w:val="00A15C71"/>
    <w:rsid w:val="00A15D34"/>
    <w:rsid w:val="00A15D50"/>
    <w:rsid w:val="00A15D98"/>
    <w:rsid w:val="00A15E35"/>
    <w:rsid w:val="00A15E78"/>
    <w:rsid w:val="00A15F12"/>
    <w:rsid w:val="00A15F3E"/>
    <w:rsid w:val="00A15F66"/>
    <w:rsid w:val="00A15F9D"/>
    <w:rsid w:val="00A15FF2"/>
    <w:rsid w:val="00A16044"/>
    <w:rsid w:val="00A16194"/>
    <w:rsid w:val="00A161EA"/>
    <w:rsid w:val="00A1624B"/>
    <w:rsid w:val="00A1636D"/>
    <w:rsid w:val="00A16385"/>
    <w:rsid w:val="00A16457"/>
    <w:rsid w:val="00A164CE"/>
    <w:rsid w:val="00A164DE"/>
    <w:rsid w:val="00A16593"/>
    <w:rsid w:val="00A16629"/>
    <w:rsid w:val="00A16642"/>
    <w:rsid w:val="00A1676C"/>
    <w:rsid w:val="00A168A2"/>
    <w:rsid w:val="00A1692A"/>
    <w:rsid w:val="00A16983"/>
    <w:rsid w:val="00A16B52"/>
    <w:rsid w:val="00A16DC1"/>
    <w:rsid w:val="00A16DED"/>
    <w:rsid w:val="00A16ECB"/>
    <w:rsid w:val="00A16FFE"/>
    <w:rsid w:val="00A170D3"/>
    <w:rsid w:val="00A171BD"/>
    <w:rsid w:val="00A1729F"/>
    <w:rsid w:val="00A17375"/>
    <w:rsid w:val="00A17427"/>
    <w:rsid w:val="00A17429"/>
    <w:rsid w:val="00A177CA"/>
    <w:rsid w:val="00A177EC"/>
    <w:rsid w:val="00A177F4"/>
    <w:rsid w:val="00A178F8"/>
    <w:rsid w:val="00A179BA"/>
    <w:rsid w:val="00A17A8E"/>
    <w:rsid w:val="00A17ACA"/>
    <w:rsid w:val="00A17B83"/>
    <w:rsid w:val="00A17B8C"/>
    <w:rsid w:val="00A17B9C"/>
    <w:rsid w:val="00A17C11"/>
    <w:rsid w:val="00A17E3B"/>
    <w:rsid w:val="00A17F0C"/>
    <w:rsid w:val="00A17F84"/>
    <w:rsid w:val="00A17F95"/>
    <w:rsid w:val="00A20033"/>
    <w:rsid w:val="00A2010C"/>
    <w:rsid w:val="00A2019C"/>
    <w:rsid w:val="00A20297"/>
    <w:rsid w:val="00A202FF"/>
    <w:rsid w:val="00A20358"/>
    <w:rsid w:val="00A204D1"/>
    <w:rsid w:val="00A204D8"/>
    <w:rsid w:val="00A20555"/>
    <w:rsid w:val="00A205A1"/>
    <w:rsid w:val="00A20656"/>
    <w:rsid w:val="00A20662"/>
    <w:rsid w:val="00A206CA"/>
    <w:rsid w:val="00A206E5"/>
    <w:rsid w:val="00A20705"/>
    <w:rsid w:val="00A20959"/>
    <w:rsid w:val="00A2097D"/>
    <w:rsid w:val="00A20B45"/>
    <w:rsid w:val="00A20BCA"/>
    <w:rsid w:val="00A20C50"/>
    <w:rsid w:val="00A20C72"/>
    <w:rsid w:val="00A20D6F"/>
    <w:rsid w:val="00A20DDE"/>
    <w:rsid w:val="00A20E81"/>
    <w:rsid w:val="00A20EBA"/>
    <w:rsid w:val="00A20F59"/>
    <w:rsid w:val="00A20F7F"/>
    <w:rsid w:val="00A20FC6"/>
    <w:rsid w:val="00A210C2"/>
    <w:rsid w:val="00A21101"/>
    <w:rsid w:val="00A21234"/>
    <w:rsid w:val="00A21248"/>
    <w:rsid w:val="00A212B6"/>
    <w:rsid w:val="00A2139F"/>
    <w:rsid w:val="00A21586"/>
    <w:rsid w:val="00A216AC"/>
    <w:rsid w:val="00A2180C"/>
    <w:rsid w:val="00A21854"/>
    <w:rsid w:val="00A218B8"/>
    <w:rsid w:val="00A21947"/>
    <w:rsid w:val="00A21953"/>
    <w:rsid w:val="00A21977"/>
    <w:rsid w:val="00A2197C"/>
    <w:rsid w:val="00A21B68"/>
    <w:rsid w:val="00A21B6C"/>
    <w:rsid w:val="00A21BC5"/>
    <w:rsid w:val="00A21C8D"/>
    <w:rsid w:val="00A21CC4"/>
    <w:rsid w:val="00A21D0D"/>
    <w:rsid w:val="00A21D12"/>
    <w:rsid w:val="00A21DFB"/>
    <w:rsid w:val="00A21F15"/>
    <w:rsid w:val="00A21FF2"/>
    <w:rsid w:val="00A22072"/>
    <w:rsid w:val="00A220EC"/>
    <w:rsid w:val="00A22260"/>
    <w:rsid w:val="00A222B9"/>
    <w:rsid w:val="00A2238D"/>
    <w:rsid w:val="00A223F4"/>
    <w:rsid w:val="00A2242C"/>
    <w:rsid w:val="00A22441"/>
    <w:rsid w:val="00A224E1"/>
    <w:rsid w:val="00A2255D"/>
    <w:rsid w:val="00A226EB"/>
    <w:rsid w:val="00A2275F"/>
    <w:rsid w:val="00A22773"/>
    <w:rsid w:val="00A227A4"/>
    <w:rsid w:val="00A2299C"/>
    <w:rsid w:val="00A229A4"/>
    <w:rsid w:val="00A22AD8"/>
    <w:rsid w:val="00A22B2D"/>
    <w:rsid w:val="00A22B38"/>
    <w:rsid w:val="00A22B7D"/>
    <w:rsid w:val="00A22BC8"/>
    <w:rsid w:val="00A22BD1"/>
    <w:rsid w:val="00A22C2C"/>
    <w:rsid w:val="00A22C96"/>
    <w:rsid w:val="00A22D27"/>
    <w:rsid w:val="00A22D7B"/>
    <w:rsid w:val="00A22DBC"/>
    <w:rsid w:val="00A22E1C"/>
    <w:rsid w:val="00A22E68"/>
    <w:rsid w:val="00A22F13"/>
    <w:rsid w:val="00A23132"/>
    <w:rsid w:val="00A23237"/>
    <w:rsid w:val="00A2335D"/>
    <w:rsid w:val="00A23424"/>
    <w:rsid w:val="00A23427"/>
    <w:rsid w:val="00A23453"/>
    <w:rsid w:val="00A23569"/>
    <w:rsid w:val="00A235E0"/>
    <w:rsid w:val="00A23611"/>
    <w:rsid w:val="00A23656"/>
    <w:rsid w:val="00A2371E"/>
    <w:rsid w:val="00A238EE"/>
    <w:rsid w:val="00A23931"/>
    <w:rsid w:val="00A23E7B"/>
    <w:rsid w:val="00A23F51"/>
    <w:rsid w:val="00A23F8A"/>
    <w:rsid w:val="00A24099"/>
    <w:rsid w:val="00A24107"/>
    <w:rsid w:val="00A24127"/>
    <w:rsid w:val="00A24128"/>
    <w:rsid w:val="00A2440B"/>
    <w:rsid w:val="00A2449A"/>
    <w:rsid w:val="00A244DF"/>
    <w:rsid w:val="00A24545"/>
    <w:rsid w:val="00A2456C"/>
    <w:rsid w:val="00A245DF"/>
    <w:rsid w:val="00A24655"/>
    <w:rsid w:val="00A2467C"/>
    <w:rsid w:val="00A24843"/>
    <w:rsid w:val="00A2486E"/>
    <w:rsid w:val="00A24881"/>
    <w:rsid w:val="00A24A2A"/>
    <w:rsid w:val="00A24A57"/>
    <w:rsid w:val="00A24BA5"/>
    <w:rsid w:val="00A24BB8"/>
    <w:rsid w:val="00A24C23"/>
    <w:rsid w:val="00A24CC8"/>
    <w:rsid w:val="00A24D63"/>
    <w:rsid w:val="00A24DF8"/>
    <w:rsid w:val="00A24ED6"/>
    <w:rsid w:val="00A25005"/>
    <w:rsid w:val="00A25029"/>
    <w:rsid w:val="00A25110"/>
    <w:rsid w:val="00A2527B"/>
    <w:rsid w:val="00A2534C"/>
    <w:rsid w:val="00A25420"/>
    <w:rsid w:val="00A2551D"/>
    <w:rsid w:val="00A255A8"/>
    <w:rsid w:val="00A256F2"/>
    <w:rsid w:val="00A257F9"/>
    <w:rsid w:val="00A2583F"/>
    <w:rsid w:val="00A2587F"/>
    <w:rsid w:val="00A2596B"/>
    <w:rsid w:val="00A259FE"/>
    <w:rsid w:val="00A25C60"/>
    <w:rsid w:val="00A25EAF"/>
    <w:rsid w:val="00A25FC5"/>
    <w:rsid w:val="00A2621E"/>
    <w:rsid w:val="00A26285"/>
    <w:rsid w:val="00A2628B"/>
    <w:rsid w:val="00A26332"/>
    <w:rsid w:val="00A2639B"/>
    <w:rsid w:val="00A264ED"/>
    <w:rsid w:val="00A264F4"/>
    <w:rsid w:val="00A2667A"/>
    <w:rsid w:val="00A266AA"/>
    <w:rsid w:val="00A266C3"/>
    <w:rsid w:val="00A266C5"/>
    <w:rsid w:val="00A26717"/>
    <w:rsid w:val="00A26767"/>
    <w:rsid w:val="00A2690D"/>
    <w:rsid w:val="00A26910"/>
    <w:rsid w:val="00A26979"/>
    <w:rsid w:val="00A269D6"/>
    <w:rsid w:val="00A26BDC"/>
    <w:rsid w:val="00A26C68"/>
    <w:rsid w:val="00A26E23"/>
    <w:rsid w:val="00A26E6C"/>
    <w:rsid w:val="00A26E80"/>
    <w:rsid w:val="00A26ECE"/>
    <w:rsid w:val="00A26FA2"/>
    <w:rsid w:val="00A26FBA"/>
    <w:rsid w:val="00A27011"/>
    <w:rsid w:val="00A27047"/>
    <w:rsid w:val="00A27080"/>
    <w:rsid w:val="00A270A9"/>
    <w:rsid w:val="00A27178"/>
    <w:rsid w:val="00A271AD"/>
    <w:rsid w:val="00A271E9"/>
    <w:rsid w:val="00A27430"/>
    <w:rsid w:val="00A27477"/>
    <w:rsid w:val="00A27563"/>
    <w:rsid w:val="00A275D7"/>
    <w:rsid w:val="00A2766D"/>
    <w:rsid w:val="00A2768E"/>
    <w:rsid w:val="00A276DD"/>
    <w:rsid w:val="00A27965"/>
    <w:rsid w:val="00A27A3F"/>
    <w:rsid w:val="00A27A8A"/>
    <w:rsid w:val="00A27B1C"/>
    <w:rsid w:val="00A27BBD"/>
    <w:rsid w:val="00A27C70"/>
    <w:rsid w:val="00A27D93"/>
    <w:rsid w:val="00A3008D"/>
    <w:rsid w:val="00A3009E"/>
    <w:rsid w:val="00A30141"/>
    <w:rsid w:val="00A3019C"/>
    <w:rsid w:val="00A3020D"/>
    <w:rsid w:val="00A30213"/>
    <w:rsid w:val="00A3024F"/>
    <w:rsid w:val="00A30259"/>
    <w:rsid w:val="00A30281"/>
    <w:rsid w:val="00A3039A"/>
    <w:rsid w:val="00A303D8"/>
    <w:rsid w:val="00A303F6"/>
    <w:rsid w:val="00A3054B"/>
    <w:rsid w:val="00A30597"/>
    <w:rsid w:val="00A30622"/>
    <w:rsid w:val="00A30655"/>
    <w:rsid w:val="00A3066C"/>
    <w:rsid w:val="00A30693"/>
    <w:rsid w:val="00A30710"/>
    <w:rsid w:val="00A30722"/>
    <w:rsid w:val="00A307A6"/>
    <w:rsid w:val="00A3087E"/>
    <w:rsid w:val="00A30937"/>
    <w:rsid w:val="00A3096E"/>
    <w:rsid w:val="00A309C9"/>
    <w:rsid w:val="00A30A44"/>
    <w:rsid w:val="00A30B1F"/>
    <w:rsid w:val="00A30B25"/>
    <w:rsid w:val="00A30D44"/>
    <w:rsid w:val="00A30E6E"/>
    <w:rsid w:val="00A30E7A"/>
    <w:rsid w:val="00A30F13"/>
    <w:rsid w:val="00A30FC3"/>
    <w:rsid w:val="00A310C2"/>
    <w:rsid w:val="00A31581"/>
    <w:rsid w:val="00A317D8"/>
    <w:rsid w:val="00A31832"/>
    <w:rsid w:val="00A31847"/>
    <w:rsid w:val="00A318A8"/>
    <w:rsid w:val="00A31A20"/>
    <w:rsid w:val="00A31A49"/>
    <w:rsid w:val="00A31B2D"/>
    <w:rsid w:val="00A31B95"/>
    <w:rsid w:val="00A31BB0"/>
    <w:rsid w:val="00A31EA6"/>
    <w:rsid w:val="00A31F3B"/>
    <w:rsid w:val="00A3215E"/>
    <w:rsid w:val="00A32163"/>
    <w:rsid w:val="00A3237F"/>
    <w:rsid w:val="00A3258A"/>
    <w:rsid w:val="00A32619"/>
    <w:rsid w:val="00A32788"/>
    <w:rsid w:val="00A327D4"/>
    <w:rsid w:val="00A32855"/>
    <w:rsid w:val="00A32880"/>
    <w:rsid w:val="00A328F6"/>
    <w:rsid w:val="00A32900"/>
    <w:rsid w:val="00A32B60"/>
    <w:rsid w:val="00A32C30"/>
    <w:rsid w:val="00A32C51"/>
    <w:rsid w:val="00A32D29"/>
    <w:rsid w:val="00A32EDA"/>
    <w:rsid w:val="00A3309B"/>
    <w:rsid w:val="00A3309F"/>
    <w:rsid w:val="00A33166"/>
    <w:rsid w:val="00A331C9"/>
    <w:rsid w:val="00A3326D"/>
    <w:rsid w:val="00A334E4"/>
    <w:rsid w:val="00A33533"/>
    <w:rsid w:val="00A336EA"/>
    <w:rsid w:val="00A337DA"/>
    <w:rsid w:val="00A338C1"/>
    <w:rsid w:val="00A33939"/>
    <w:rsid w:val="00A33995"/>
    <w:rsid w:val="00A339D4"/>
    <w:rsid w:val="00A33A14"/>
    <w:rsid w:val="00A33A87"/>
    <w:rsid w:val="00A33BA4"/>
    <w:rsid w:val="00A33BD3"/>
    <w:rsid w:val="00A33C9E"/>
    <w:rsid w:val="00A33D72"/>
    <w:rsid w:val="00A33E40"/>
    <w:rsid w:val="00A33E45"/>
    <w:rsid w:val="00A33F9E"/>
    <w:rsid w:val="00A34032"/>
    <w:rsid w:val="00A34057"/>
    <w:rsid w:val="00A34153"/>
    <w:rsid w:val="00A341AF"/>
    <w:rsid w:val="00A341C4"/>
    <w:rsid w:val="00A34207"/>
    <w:rsid w:val="00A34240"/>
    <w:rsid w:val="00A3427C"/>
    <w:rsid w:val="00A342DA"/>
    <w:rsid w:val="00A3433A"/>
    <w:rsid w:val="00A3436B"/>
    <w:rsid w:val="00A3448A"/>
    <w:rsid w:val="00A34570"/>
    <w:rsid w:val="00A3459C"/>
    <w:rsid w:val="00A348CB"/>
    <w:rsid w:val="00A34925"/>
    <w:rsid w:val="00A3496E"/>
    <w:rsid w:val="00A34AA9"/>
    <w:rsid w:val="00A34BDA"/>
    <w:rsid w:val="00A34C8B"/>
    <w:rsid w:val="00A34D2B"/>
    <w:rsid w:val="00A34D57"/>
    <w:rsid w:val="00A34E07"/>
    <w:rsid w:val="00A34E89"/>
    <w:rsid w:val="00A34F0A"/>
    <w:rsid w:val="00A34F5F"/>
    <w:rsid w:val="00A34FAC"/>
    <w:rsid w:val="00A350AE"/>
    <w:rsid w:val="00A351DF"/>
    <w:rsid w:val="00A3525A"/>
    <w:rsid w:val="00A352AD"/>
    <w:rsid w:val="00A353A2"/>
    <w:rsid w:val="00A35452"/>
    <w:rsid w:val="00A3552A"/>
    <w:rsid w:val="00A3552B"/>
    <w:rsid w:val="00A3558F"/>
    <w:rsid w:val="00A35658"/>
    <w:rsid w:val="00A356C9"/>
    <w:rsid w:val="00A3571C"/>
    <w:rsid w:val="00A357C8"/>
    <w:rsid w:val="00A35867"/>
    <w:rsid w:val="00A35922"/>
    <w:rsid w:val="00A359EE"/>
    <w:rsid w:val="00A359FB"/>
    <w:rsid w:val="00A35AD5"/>
    <w:rsid w:val="00A35AFC"/>
    <w:rsid w:val="00A35C05"/>
    <w:rsid w:val="00A35D69"/>
    <w:rsid w:val="00A35E8D"/>
    <w:rsid w:val="00A35EE0"/>
    <w:rsid w:val="00A3607F"/>
    <w:rsid w:val="00A360A0"/>
    <w:rsid w:val="00A360C2"/>
    <w:rsid w:val="00A36112"/>
    <w:rsid w:val="00A3614F"/>
    <w:rsid w:val="00A363A5"/>
    <w:rsid w:val="00A36490"/>
    <w:rsid w:val="00A36557"/>
    <w:rsid w:val="00A36623"/>
    <w:rsid w:val="00A366A5"/>
    <w:rsid w:val="00A366A8"/>
    <w:rsid w:val="00A368CC"/>
    <w:rsid w:val="00A369EB"/>
    <w:rsid w:val="00A36A3C"/>
    <w:rsid w:val="00A36B31"/>
    <w:rsid w:val="00A36C7B"/>
    <w:rsid w:val="00A36CE1"/>
    <w:rsid w:val="00A36D57"/>
    <w:rsid w:val="00A36D92"/>
    <w:rsid w:val="00A36E32"/>
    <w:rsid w:val="00A36F19"/>
    <w:rsid w:val="00A36F8B"/>
    <w:rsid w:val="00A37022"/>
    <w:rsid w:val="00A37097"/>
    <w:rsid w:val="00A37116"/>
    <w:rsid w:val="00A37257"/>
    <w:rsid w:val="00A3729C"/>
    <w:rsid w:val="00A372D2"/>
    <w:rsid w:val="00A372F9"/>
    <w:rsid w:val="00A373C6"/>
    <w:rsid w:val="00A3740E"/>
    <w:rsid w:val="00A374B7"/>
    <w:rsid w:val="00A374D1"/>
    <w:rsid w:val="00A3752C"/>
    <w:rsid w:val="00A37672"/>
    <w:rsid w:val="00A37683"/>
    <w:rsid w:val="00A376A2"/>
    <w:rsid w:val="00A37954"/>
    <w:rsid w:val="00A37A5E"/>
    <w:rsid w:val="00A37B1A"/>
    <w:rsid w:val="00A37B55"/>
    <w:rsid w:val="00A37B6B"/>
    <w:rsid w:val="00A37B9C"/>
    <w:rsid w:val="00A37C46"/>
    <w:rsid w:val="00A37CFF"/>
    <w:rsid w:val="00A37DD0"/>
    <w:rsid w:val="00A37E71"/>
    <w:rsid w:val="00A37ECA"/>
    <w:rsid w:val="00A37ECB"/>
    <w:rsid w:val="00A37EE0"/>
    <w:rsid w:val="00A400CE"/>
    <w:rsid w:val="00A40325"/>
    <w:rsid w:val="00A403A0"/>
    <w:rsid w:val="00A403CD"/>
    <w:rsid w:val="00A4051B"/>
    <w:rsid w:val="00A40544"/>
    <w:rsid w:val="00A405ED"/>
    <w:rsid w:val="00A4066C"/>
    <w:rsid w:val="00A40674"/>
    <w:rsid w:val="00A40756"/>
    <w:rsid w:val="00A40820"/>
    <w:rsid w:val="00A40907"/>
    <w:rsid w:val="00A40946"/>
    <w:rsid w:val="00A40C34"/>
    <w:rsid w:val="00A40C37"/>
    <w:rsid w:val="00A40C96"/>
    <w:rsid w:val="00A40D99"/>
    <w:rsid w:val="00A40DC0"/>
    <w:rsid w:val="00A40ECA"/>
    <w:rsid w:val="00A40EE7"/>
    <w:rsid w:val="00A40F47"/>
    <w:rsid w:val="00A40F96"/>
    <w:rsid w:val="00A40FAC"/>
    <w:rsid w:val="00A40FBF"/>
    <w:rsid w:val="00A41034"/>
    <w:rsid w:val="00A41270"/>
    <w:rsid w:val="00A41401"/>
    <w:rsid w:val="00A414AF"/>
    <w:rsid w:val="00A416EC"/>
    <w:rsid w:val="00A4175C"/>
    <w:rsid w:val="00A41A27"/>
    <w:rsid w:val="00A41AC5"/>
    <w:rsid w:val="00A41B68"/>
    <w:rsid w:val="00A41D09"/>
    <w:rsid w:val="00A41D94"/>
    <w:rsid w:val="00A41DC3"/>
    <w:rsid w:val="00A41DD9"/>
    <w:rsid w:val="00A41E04"/>
    <w:rsid w:val="00A41FA0"/>
    <w:rsid w:val="00A41FF1"/>
    <w:rsid w:val="00A42199"/>
    <w:rsid w:val="00A4219D"/>
    <w:rsid w:val="00A421C1"/>
    <w:rsid w:val="00A421FB"/>
    <w:rsid w:val="00A42292"/>
    <w:rsid w:val="00A4232A"/>
    <w:rsid w:val="00A423BB"/>
    <w:rsid w:val="00A4264D"/>
    <w:rsid w:val="00A4266F"/>
    <w:rsid w:val="00A426C0"/>
    <w:rsid w:val="00A4271D"/>
    <w:rsid w:val="00A4274D"/>
    <w:rsid w:val="00A427C7"/>
    <w:rsid w:val="00A42963"/>
    <w:rsid w:val="00A429DE"/>
    <w:rsid w:val="00A42BF7"/>
    <w:rsid w:val="00A42C5B"/>
    <w:rsid w:val="00A42CA8"/>
    <w:rsid w:val="00A42D69"/>
    <w:rsid w:val="00A42E4C"/>
    <w:rsid w:val="00A42E92"/>
    <w:rsid w:val="00A42EF7"/>
    <w:rsid w:val="00A42F17"/>
    <w:rsid w:val="00A42F94"/>
    <w:rsid w:val="00A43103"/>
    <w:rsid w:val="00A4310D"/>
    <w:rsid w:val="00A43170"/>
    <w:rsid w:val="00A43285"/>
    <w:rsid w:val="00A43300"/>
    <w:rsid w:val="00A43578"/>
    <w:rsid w:val="00A43642"/>
    <w:rsid w:val="00A43681"/>
    <w:rsid w:val="00A4370D"/>
    <w:rsid w:val="00A43898"/>
    <w:rsid w:val="00A438C2"/>
    <w:rsid w:val="00A438F2"/>
    <w:rsid w:val="00A43931"/>
    <w:rsid w:val="00A4394C"/>
    <w:rsid w:val="00A43A45"/>
    <w:rsid w:val="00A43A85"/>
    <w:rsid w:val="00A43B09"/>
    <w:rsid w:val="00A43B40"/>
    <w:rsid w:val="00A43B82"/>
    <w:rsid w:val="00A43B8F"/>
    <w:rsid w:val="00A43C5F"/>
    <w:rsid w:val="00A43DB9"/>
    <w:rsid w:val="00A43FA8"/>
    <w:rsid w:val="00A43FC5"/>
    <w:rsid w:val="00A44260"/>
    <w:rsid w:val="00A44478"/>
    <w:rsid w:val="00A444EB"/>
    <w:rsid w:val="00A447E7"/>
    <w:rsid w:val="00A448B0"/>
    <w:rsid w:val="00A44915"/>
    <w:rsid w:val="00A44A4F"/>
    <w:rsid w:val="00A44A99"/>
    <w:rsid w:val="00A44B88"/>
    <w:rsid w:val="00A44C43"/>
    <w:rsid w:val="00A44C74"/>
    <w:rsid w:val="00A44CCD"/>
    <w:rsid w:val="00A44DEF"/>
    <w:rsid w:val="00A44E35"/>
    <w:rsid w:val="00A44E42"/>
    <w:rsid w:val="00A44EE2"/>
    <w:rsid w:val="00A44EEB"/>
    <w:rsid w:val="00A44F30"/>
    <w:rsid w:val="00A44F3C"/>
    <w:rsid w:val="00A44FB7"/>
    <w:rsid w:val="00A44FC3"/>
    <w:rsid w:val="00A4505F"/>
    <w:rsid w:val="00A450C7"/>
    <w:rsid w:val="00A450EF"/>
    <w:rsid w:val="00A45219"/>
    <w:rsid w:val="00A4522E"/>
    <w:rsid w:val="00A4526A"/>
    <w:rsid w:val="00A452F9"/>
    <w:rsid w:val="00A454EA"/>
    <w:rsid w:val="00A4553C"/>
    <w:rsid w:val="00A455A1"/>
    <w:rsid w:val="00A455B8"/>
    <w:rsid w:val="00A45625"/>
    <w:rsid w:val="00A4575D"/>
    <w:rsid w:val="00A457EC"/>
    <w:rsid w:val="00A459A6"/>
    <w:rsid w:val="00A45A58"/>
    <w:rsid w:val="00A45C82"/>
    <w:rsid w:val="00A45CA9"/>
    <w:rsid w:val="00A45CAC"/>
    <w:rsid w:val="00A45EA1"/>
    <w:rsid w:val="00A4600D"/>
    <w:rsid w:val="00A46041"/>
    <w:rsid w:val="00A4609A"/>
    <w:rsid w:val="00A46145"/>
    <w:rsid w:val="00A46153"/>
    <w:rsid w:val="00A461BC"/>
    <w:rsid w:val="00A4627B"/>
    <w:rsid w:val="00A463AD"/>
    <w:rsid w:val="00A4641E"/>
    <w:rsid w:val="00A4654A"/>
    <w:rsid w:val="00A46606"/>
    <w:rsid w:val="00A4675C"/>
    <w:rsid w:val="00A467EA"/>
    <w:rsid w:val="00A46811"/>
    <w:rsid w:val="00A46860"/>
    <w:rsid w:val="00A46864"/>
    <w:rsid w:val="00A468B5"/>
    <w:rsid w:val="00A4695F"/>
    <w:rsid w:val="00A46975"/>
    <w:rsid w:val="00A46A4B"/>
    <w:rsid w:val="00A46B3C"/>
    <w:rsid w:val="00A46BA3"/>
    <w:rsid w:val="00A46CA6"/>
    <w:rsid w:val="00A46D9C"/>
    <w:rsid w:val="00A46E92"/>
    <w:rsid w:val="00A4704B"/>
    <w:rsid w:val="00A471F5"/>
    <w:rsid w:val="00A473E5"/>
    <w:rsid w:val="00A474D3"/>
    <w:rsid w:val="00A475BB"/>
    <w:rsid w:val="00A476A0"/>
    <w:rsid w:val="00A476CE"/>
    <w:rsid w:val="00A476FE"/>
    <w:rsid w:val="00A4782D"/>
    <w:rsid w:val="00A4787B"/>
    <w:rsid w:val="00A478DD"/>
    <w:rsid w:val="00A4792F"/>
    <w:rsid w:val="00A47A42"/>
    <w:rsid w:val="00A47B6A"/>
    <w:rsid w:val="00A47BB9"/>
    <w:rsid w:val="00A47BE5"/>
    <w:rsid w:val="00A47D33"/>
    <w:rsid w:val="00A47D67"/>
    <w:rsid w:val="00A47E17"/>
    <w:rsid w:val="00A47EE1"/>
    <w:rsid w:val="00A47FDA"/>
    <w:rsid w:val="00A500C7"/>
    <w:rsid w:val="00A500D9"/>
    <w:rsid w:val="00A50178"/>
    <w:rsid w:val="00A501EE"/>
    <w:rsid w:val="00A50205"/>
    <w:rsid w:val="00A50244"/>
    <w:rsid w:val="00A50266"/>
    <w:rsid w:val="00A5029A"/>
    <w:rsid w:val="00A503D3"/>
    <w:rsid w:val="00A504A3"/>
    <w:rsid w:val="00A504D7"/>
    <w:rsid w:val="00A50642"/>
    <w:rsid w:val="00A507E6"/>
    <w:rsid w:val="00A5089D"/>
    <w:rsid w:val="00A508D4"/>
    <w:rsid w:val="00A50AC1"/>
    <w:rsid w:val="00A50AF4"/>
    <w:rsid w:val="00A50B44"/>
    <w:rsid w:val="00A50D60"/>
    <w:rsid w:val="00A50DE6"/>
    <w:rsid w:val="00A50E4A"/>
    <w:rsid w:val="00A50E87"/>
    <w:rsid w:val="00A50FC7"/>
    <w:rsid w:val="00A51054"/>
    <w:rsid w:val="00A51163"/>
    <w:rsid w:val="00A51164"/>
    <w:rsid w:val="00A511A0"/>
    <w:rsid w:val="00A51211"/>
    <w:rsid w:val="00A51292"/>
    <w:rsid w:val="00A513F2"/>
    <w:rsid w:val="00A51464"/>
    <w:rsid w:val="00A515E8"/>
    <w:rsid w:val="00A517BC"/>
    <w:rsid w:val="00A518AA"/>
    <w:rsid w:val="00A51B9D"/>
    <w:rsid w:val="00A51C4B"/>
    <w:rsid w:val="00A51CC8"/>
    <w:rsid w:val="00A51E36"/>
    <w:rsid w:val="00A51E69"/>
    <w:rsid w:val="00A51EE3"/>
    <w:rsid w:val="00A51FDD"/>
    <w:rsid w:val="00A51FF8"/>
    <w:rsid w:val="00A52028"/>
    <w:rsid w:val="00A520DF"/>
    <w:rsid w:val="00A5210B"/>
    <w:rsid w:val="00A5218C"/>
    <w:rsid w:val="00A52241"/>
    <w:rsid w:val="00A52472"/>
    <w:rsid w:val="00A524CB"/>
    <w:rsid w:val="00A52579"/>
    <w:rsid w:val="00A525A3"/>
    <w:rsid w:val="00A52612"/>
    <w:rsid w:val="00A5263F"/>
    <w:rsid w:val="00A52848"/>
    <w:rsid w:val="00A52999"/>
    <w:rsid w:val="00A52ABF"/>
    <w:rsid w:val="00A52C11"/>
    <w:rsid w:val="00A52C26"/>
    <w:rsid w:val="00A52C66"/>
    <w:rsid w:val="00A52D25"/>
    <w:rsid w:val="00A52D59"/>
    <w:rsid w:val="00A52D73"/>
    <w:rsid w:val="00A52D9B"/>
    <w:rsid w:val="00A52DDD"/>
    <w:rsid w:val="00A52E06"/>
    <w:rsid w:val="00A52FB3"/>
    <w:rsid w:val="00A5305C"/>
    <w:rsid w:val="00A530C5"/>
    <w:rsid w:val="00A5349E"/>
    <w:rsid w:val="00A534D4"/>
    <w:rsid w:val="00A534ED"/>
    <w:rsid w:val="00A5351F"/>
    <w:rsid w:val="00A5355D"/>
    <w:rsid w:val="00A53571"/>
    <w:rsid w:val="00A535A5"/>
    <w:rsid w:val="00A535B5"/>
    <w:rsid w:val="00A5365C"/>
    <w:rsid w:val="00A536DD"/>
    <w:rsid w:val="00A53769"/>
    <w:rsid w:val="00A5389B"/>
    <w:rsid w:val="00A5395A"/>
    <w:rsid w:val="00A539EE"/>
    <w:rsid w:val="00A53A8F"/>
    <w:rsid w:val="00A53ACF"/>
    <w:rsid w:val="00A53C10"/>
    <w:rsid w:val="00A53C6F"/>
    <w:rsid w:val="00A53C9B"/>
    <w:rsid w:val="00A53F28"/>
    <w:rsid w:val="00A53F60"/>
    <w:rsid w:val="00A5405C"/>
    <w:rsid w:val="00A54099"/>
    <w:rsid w:val="00A5419D"/>
    <w:rsid w:val="00A54376"/>
    <w:rsid w:val="00A54425"/>
    <w:rsid w:val="00A544C2"/>
    <w:rsid w:val="00A5462D"/>
    <w:rsid w:val="00A546CD"/>
    <w:rsid w:val="00A54839"/>
    <w:rsid w:val="00A54A2F"/>
    <w:rsid w:val="00A54A58"/>
    <w:rsid w:val="00A54A74"/>
    <w:rsid w:val="00A54B26"/>
    <w:rsid w:val="00A54BCB"/>
    <w:rsid w:val="00A54CF1"/>
    <w:rsid w:val="00A54D9F"/>
    <w:rsid w:val="00A54DCC"/>
    <w:rsid w:val="00A54DFB"/>
    <w:rsid w:val="00A55062"/>
    <w:rsid w:val="00A55197"/>
    <w:rsid w:val="00A551DA"/>
    <w:rsid w:val="00A552AB"/>
    <w:rsid w:val="00A5532B"/>
    <w:rsid w:val="00A55331"/>
    <w:rsid w:val="00A55356"/>
    <w:rsid w:val="00A55379"/>
    <w:rsid w:val="00A55681"/>
    <w:rsid w:val="00A556CD"/>
    <w:rsid w:val="00A5573C"/>
    <w:rsid w:val="00A55746"/>
    <w:rsid w:val="00A55779"/>
    <w:rsid w:val="00A557C8"/>
    <w:rsid w:val="00A558C7"/>
    <w:rsid w:val="00A55A5B"/>
    <w:rsid w:val="00A55B53"/>
    <w:rsid w:val="00A55C50"/>
    <w:rsid w:val="00A55D80"/>
    <w:rsid w:val="00A55DD9"/>
    <w:rsid w:val="00A55DE4"/>
    <w:rsid w:val="00A55E1E"/>
    <w:rsid w:val="00A55E23"/>
    <w:rsid w:val="00A56068"/>
    <w:rsid w:val="00A56113"/>
    <w:rsid w:val="00A56203"/>
    <w:rsid w:val="00A562F9"/>
    <w:rsid w:val="00A563A9"/>
    <w:rsid w:val="00A5649E"/>
    <w:rsid w:val="00A5656F"/>
    <w:rsid w:val="00A56697"/>
    <w:rsid w:val="00A566CC"/>
    <w:rsid w:val="00A566E5"/>
    <w:rsid w:val="00A567E9"/>
    <w:rsid w:val="00A56995"/>
    <w:rsid w:val="00A56A46"/>
    <w:rsid w:val="00A56D74"/>
    <w:rsid w:val="00A56DEA"/>
    <w:rsid w:val="00A56E10"/>
    <w:rsid w:val="00A56ED8"/>
    <w:rsid w:val="00A56F1A"/>
    <w:rsid w:val="00A56F20"/>
    <w:rsid w:val="00A570BA"/>
    <w:rsid w:val="00A570F7"/>
    <w:rsid w:val="00A57117"/>
    <w:rsid w:val="00A57238"/>
    <w:rsid w:val="00A5727C"/>
    <w:rsid w:val="00A57335"/>
    <w:rsid w:val="00A57449"/>
    <w:rsid w:val="00A574C1"/>
    <w:rsid w:val="00A576C3"/>
    <w:rsid w:val="00A5770B"/>
    <w:rsid w:val="00A57834"/>
    <w:rsid w:val="00A578A1"/>
    <w:rsid w:val="00A57970"/>
    <w:rsid w:val="00A57976"/>
    <w:rsid w:val="00A57A4E"/>
    <w:rsid w:val="00A57A59"/>
    <w:rsid w:val="00A57B04"/>
    <w:rsid w:val="00A57BB2"/>
    <w:rsid w:val="00A57C58"/>
    <w:rsid w:val="00A57C91"/>
    <w:rsid w:val="00A57DDF"/>
    <w:rsid w:val="00A60058"/>
    <w:rsid w:val="00A600C7"/>
    <w:rsid w:val="00A600FD"/>
    <w:rsid w:val="00A601BA"/>
    <w:rsid w:val="00A60242"/>
    <w:rsid w:val="00A6042E"/>
    <w:rsid w:val="00A604DA"/>
    <w:rsid w:val="00A60753"/>
    <w:rsid w:val="00A607A5"/>
    <w:rsid w:val="00A607DA"/>
    <w:rsid w:val="00A608E2"/>
    <w:rsid w:val="00A6094B"/>
    <w:rsid w:val="00A60A58"/>
    <w:rsid w:val="00A60B29"/>
    <w:rsid w:val="00A60C3E"/>
    <w:rsid w:val="00A60F11"/>
    <w:rsid w:val="00A60FA0"/>
    <w:rsid w:val="00A6107D"/>
    <w:rsid w:val="00A61207"/>
    <w:rsid w:val="00A6133A"/>
    <w:rsid w:val="00A61347"/>
    <w:rsid w:val="00A61361"/>
    <w:rsid w:val="00A613E0"/>
    <w:rsid w:val="00A613E6"/>
    <w:rsid w:val="00A6179B"/>
    <w:rsid w:val="00A61802"/>
    <w:rsid w:val="00A61982"/>
    <w:rsid w:val="00A61A79"/>
    <w:rsid w:val="00A61AEA"/>
    <w:rsid w:val="00A61B2B"/>
    <w:rsid w:val="00A61B62"/>
    <w:rsid w:val="00A61BB6"/>
    <w:rsid w:val="00A61DBC"/>
    <w:rsid w:val="00A61DF9"/>
    <w:rsid w:val="00A61E34"/>
    <w:rsid w:val="00A61E57"/>
    <w:rsid w:val="00A61E69"/>
    <w:rsid w:val="00A61EBB"/>
    <w:rsid w:val="00A61F23"/>
    <w:rsid w:val="00A62030"/>
    <w:rsid w:val="00A620F0"/>
    <w:rsid w:val="00A621A8"/>
    <w:rsid w:val="00A62495"/>
    <w:rsid w:val="00A624B0"/>
    <w:rsid w:val="00A624DF"/>
    <w:rsid w:val="00A62570"/>
    <w:rsid w:val="00A625FF"/>
    <w:rsid w:val="00A626C1"/>
    <w:rsid w:val="00A626E5"/>
    <w:rsid w:val="00A626F5"/>
    <w:rsid w:val="00A62720"/>
    <w:rsid w:val="00A62731"/>
    <w:rsid w:val="00A6277D"/>
    <w:rsid w:val="00A628BD"/>
    <w:rsid w:val="00A62900"/>
    <w:rsid w:val="00A629AE"/>
    <w:rsid w:val="00A62A65"/>
    <w:rsid w:val="00A62A96"/>
    <w:rsid w:val="00A62BC5"/>
    <w:rsid w:val="00A62C08"/>
    <w:rsid w:val="00A62CC0"/>
    <w:rsid w:val="00A62E42"/>
    <w:rsid w:val="00A62F4E"/>
    <w:rsid w:val="00A63074"/>
    <w:rsid w:val="00A63124"/>
    <w:rsid w:val="00A6313F"/>
    <w:rsid w:val="00A63151"/>
    <w:rsid w:val="00A632B0"/>
    <w:rsid w:val="00A63362"/>
    <w:rsid w:val="00A63498"/>
    <w:rsid w:val="00A6349D"/>
    <w:rsid w:val="00A63504"/>
    <w:rsid w:val="00A635B2"/>
    <w:rsid w:val="00A63608"/>
    <w:rsid w:val="00A63673"/>
    <w:rsid w:val="00A63A0E"/>
    <w:rsid w:val="00A63D22"/>
    <w:rsid w:val="00A63DE7"/>
    <w:rsid w:val="00A63DF4"/>
    <w:rsid w:val="00A63E4F"/>
    <w:rsid w:val="00A63E73"/>
    <w:rsid w:val="00A63F43"/>
    <w:rsid w:val="00A6406A"/>
    <w:rsid w:val="00A640EA"/>
    <w:rsid w:val="00A64218"/>
    <w:rsid w:val="00A64315"/>
    <w:rsid w:val="00A64720"/>
    <w:rsid w:val="00A6485E"/>
    <w:rsid w:val="00A64971"/>
    <w:rsid w:val="00A64BFF"/>
    <w:rsid w:val="00A64C32"/>
    <w:rsid w:val="00A64CC8"/>
    <w:rsid w:val="00A64D1E"/>
    <w:rsid w:val="00A64D54"/>
    <w:rsid w:val="00A64DED"/>
    <w:rsid w:val="00A64FA1"/>
    <w:rsid w:val="00A64FE8"/>
    <w:rsid w:val="00A64FF0"/>
    <w:rsid w:val="00A65062"/>
    <w:rsid w:val="00A652A0"/>
    <w:rsid w:val="00A652CA"/>
    <w:rsid w:val="00A65304"/>
    <w:rsid w:val="00A65357"/>
    <w:rsid w:val="00A654CC"/>
    <w:rsid w:val="00A654E2"/>
    <w:rsid w:val="00A65588"/>
    <w:rsid w:val="00A655AD"/>
    <w:rsid w:val="00A655D8"/>
    <w:rsid w:val="00A657CC"/>
    <w:rsid w:val="00A657D0"/>
    <w:rsid w:val="00A657F3"/>
    <w:rsid w:val="00A6589D"/>
    <w:rsid w:val="00A658B1"/>
    <w:rsid w:val="00A658CD"/>
    <w:rsid w:val="00A65A2F"/>
    <w:rsid w:val="00A65BAC"/>
    <w:rsid w:val="00A65CA6"/>
    <w:rsid w:val="00A65CCE"/>
    <w:rsid w:val="00A65E8C"/>
    <w:rsid w:val="00A65F2A"/>
    <w:rsid w:val="00A65F49"/>
    <w:rsid w:val="00A65FAC"/>
    <w:rsid w:val="00A65FC5"/>
    <w:rsid w:val="00A661A7"/>
    <w:rsid w:val="00A663B0"/>
    <w:rsid w:val="00A66488"/>
    <w:rsid w:val="00A66610"/>
    <w:rsid w:val="00A6665C"/>
    <w:rsid w:val="00A6665D"/>
    <w:rsid w:val="00A6673D"/>
    <w:rsid w:val="00A66896"/>
    <w:rsid w:val="00A668A2"/>
    <w:rsid w:val="00A66A66"/>
    <w:rsid w:val="00A66A9C"/>
    <w:rsid w:val="00A66B76"/>
    <w:rsid w:val="00A66D53"/>
    <w:rsid w:val="00A66D5B"/>
    <w:rsid w:val="00A66EBD"/>
    <w:rsid w:val="00A67112"/>
    <w:rsid w:val="00A671DD"/>
    <w:rsid w:val="00A671E1"/>
    <w:rsid w:val="00A67206"/>
    <w:rsid w:val="00A67251"/>
    <w:rsid w:val="00A6731D"/>
    <w:rsid w:val="00A6734B"/>
    <w:rsid w:val="00A6735D"/>
    <w:rsid w:val="00A674E2"/>
    <w:rsid w:val="00A675D4"/>
    <w:rsid w:val="00A67644"/>
    <w:rsid w:val="00A67681"/>
    <w:rsid w:val="00A676D8"/>
    <w:rsid w:val="00A67754"/>
    <w:rsid w:val="00A677A9"/>
    <w:rsid w:val="00A677D3"/>
    <w:rsid w:val="00A677DE"/>
    <w:rsid w:val="00A67813"/>
    <w:rsid w:val="00A678C0"/>
    <w:rsid w:val="00A678FC"/>
    <w:rsid w:val="00A67904"/>
    <w:rsid w:val="00A6794E"/>
    <w:rsid w:val="00A67952"/>
    <w:rsid w:val="00A679D1"/>
    <w:rsid w:val="00A67AE8"/>
    <w:rsid w:val="00A67CBD"/>
    <w:rsid w:val="00A67CFF"/>
    <w:rsid w:val="00A67D04"/>
    <w:rsid w:val="00A67E01"/>
    <w:rsid w:val="00A67EC8"/>
    <w:rsid w:val="00A700F0"/>
    <w:rsid w:val="00A701ED"/>
    <w:rsid w:val="00A70449"/>
    <w:rsid w:val="00A704CF"/>
    <w:rsid w:val="00A70521"/>
    <w:rsid w:val="00A7064E"/>
    <w:rsid w:val="00A70712"/>
    <w:rsid w:val="00A7072C"/>
    <w:rsid w:val="00A70834"/>
    <w:rsid w:val="00A70891"/>
    <w:rsid w:val="00A708D3"/>
    <w:rsid w:val="00A709B6"/>
    <w:rsid w:val="00A709D0"/>
    <w:rsid w:val="00A70BBF"/>
    <w:rsid w:val="00A70D0F"/>
    <w:rsid w:val="00A70D17"/>
    <w:rsid w:val="00A70DBC"/>
    <w:rsid w:val="00A70DC7"/>
    <w:rsid w:val="00A71000"/>
    <w:rsid w:val="00A7103B"/>
    <w:rsid w:val="00A710E6"/>
    <w:rsid w:val="00A71139"/>
    <w:rsid w:val="00A7114B"/>
    <w:rsid w:val="00A711F4"/>
    <w:rsid w:val="00A71205"/>
    <w:rsid w:val="00A71212"/>
    <w:rsid w:val="00A7121A"/>
    <w:rsid w:val="00A71236"/>
    <w:rsid w:val="00A7129B"/>
    <w:rsid w:val="00A71303"/>
    <w:rsid w:val="00A7138D"/>
    <w:rsid w:val="00A714C0"/>
    <w:rsid w:val="00A714FF"/>
    <w:rsid w:val="00A716D4"/>
    <w:rsid w:val="00A716D6"/>
    <w:rsid w:val="00A71783"/>
    <w:rsid w:val="00A71811"/>
    <w:rsid w:val="00A71875"/>
    <w:rsid w:val="00A71930"/>
    <w:rsid w:val="00A71939"/>
    <w:rsid w:val="00A71A44"/>
    <w:rsid w:val="00A71ABB"/>
    <w:rsid w:val="00A71B2E"/>
    <w:rsid w:val="00A71BCF"/>
    <w:rsid w:val="00A71BF1"/>
    <w:rsid w:val="00A71CDD"/>
    <w:rsid w:val="00A71DB3"/>
    <w:rsid w:val="00A71DE1"/>
    <w:rsid w:val="00A720CF"/>
    <w:rsid w:val="00A721C0"/>
    <w:rsid w:val="00A72281"/>
    <w:rsid w:val="00A722CB"/>
    <w:rsid w:val="00A7234C"/>
    <w:rsid w:val="00A72356"/>
    <w:rsid w:val="00A72366"/>
    <w:rsid w:val="00A72371"/>
    <w:rsid w:val="00A7257E"/>
    <w:rsid w:val="00A72647"/>
    <w:rsid w:val="00A72680"/>
    <w:rsid w:val="00A7272F"/>
    <w:rsid w:val="00A72775"/>
    <w:rsid w:val="00A727EA"/>
    <w:rsid w:val="00A72810"/>
    <w:rsid w:val="00A728D7"/>
    <w:rsid w:val="00A729B7"/>
    <w:rsid w:val="00A72A7F"/>
    <w:rsid w:val="00A72AF6"/>
    <w:rsid w:val="00A72CDF"/>
    <w:rsid w:val="00A72F20"/>
    <w:rsid w:val="00A73176"/>
    <w:rsid w:val="00A73191"/>
    <w:rsid w:val="00A731D8"/>
    <w:rsid w:val="00A731E7"/>
    <w:rsid w:val="00A73209"/>
    <w:rsid w:val="00A7321D"/>
    <w:rsid w:val="00A7354F"/>
    <w:rsid w:val="00A7359E"/>
    <w:rsid w:val="00A73601"/>
    <w:rsid w:val="00A737CB"/>
    <w:rsid w:val="00A738CD"/>
    <w:rsid w:val="00A73952"/>
    <w:rsid w:val="00A73965"/>
    <w:rsid w:val="00A739B7"/>
    <w:rsid w:val="00A739C2"/>
    <w:rsid w:val="00A739D5"/>
    <w:rsid w:val="00A739D7"/>
    <w:rsid w:val="00A73B76"/>
    <w:rsid w:val="00A73BCB"/>
    <w:rsid w:val="00A73BF7"/>
    <w:rsid w:val="00A73C11"/>
    <w:rsid w:val="00A73C30"/>
    <w:rsid w:val="00A73D64"/>
    <w:rsid w:val="00A73EF3"/>
    <w:rsid w:val="00A73F6E"/>
    <w:rsid w:val="00A73FD8"/>
    <w:rsid w:val="00A74032"/>
    <w:rsid w:val="00A740E1"/>
    <w:rsid w:val="00A74273"/>
    <w:rsid w:val="00A74350"/>
    <w:rsid w:val="00A7445D"/>
    <w:rsid w:val="00A745AB"/>
    <w:rsid w:val="00A745C0"/>
    <w:rsid w:val="00A746CF"/>
    <w:rsid w:val="00A74817"/>
    <w:rsid w:val="00A749B2"/>
    <w:rsid w:val="00A74A75"/>
    <w:rsid w:val="00A74BB7"/>
    <w:rsid w:val="00A74BC3"/>
    <w:rsid w:val="00A74D90"/>
    <w:rsid w:val="00A74F12"/>
    <w:rsid w:val="00A74F29"/>
    <w:rsid w:val="00A75058"/>
    <w:rsid w:val="00A75064"/>
    <w:rsid w:val="00A75156"/>
    <w:rsid w:val="00A75183"/>
    <w:rsid w:val="00A75197"/>
    <w:rsid w:val="00A75216"/>
    <w:rsid w:val="00A752FF"/>
    <w:rsid w:val="00A753A0"/>
    <w:rsid w:val="00A75529"/>
    <w:rsid w:val="00A75695"/>
    <w:rsid w:val="00A756B1"/>
    <w:rsid w:val="00A756DC"/>
    <w:rsid w:val="00A758E3"/>
    <w:rsid w:val="00A758EE"/>
    <w:rsid w:val="00A759A2"/>
    <w:rsid w:val="00A75A32"/>
    <w:rsid w:val="00A75A43"/>
    <w:rsid w:val="00A75A82"/>
    <w:rsid w:val="00A75AB0"/>
    <w:rsid w:val="00A75AD6"/>
    <w:rsid w:val="00A75B02"/>
    <w:rsid w:val="00A75BF2"/>
    <w:rsid w:val="00A75C66"/>
    <w:rsid w:val="00A75D04"/>
    <w:rsid w:val="00A75D1B"/>
    <w:rsid w:val="00A75E76"/>
    <w:rsid w:val="00A75E87"/>
    <w:rsid w:val="00A75ED3"/>
    <w:rsid w:val="00A75F14"/>
    <w:rsid w:val="00A75F4A"/>
    <w:rsid w:val="00A75F6C"/>
    <w:rsid w:val="00A76010"/>
    <w:rsid w:val="00A76081"/>
    <w:rsid w:val="00A7613D"/>
    <w:rsid w:val="00A76145"/>
    <w:rsid w:val="00A76152"/>
    <w:rsid w:val="00A76159"/>
    <w:rsid w:val="00A762BC"/>
    <w:rsid w:val="00A7640C"/>
    <w:rsid w:val="00A7645A"/>
    <w:rsid w:val="00A764B8"/>
    <w:rsid w:val="00A764CF"/>
    <w:rsid w:val="00A7654F"/>
    <w:rsid w:val="00A76576"/>
    <w:rsid w:val="00A76662"/>
    <w:rsid w:val="00A7676A"/>
    <w:rsid w:val="00A76778"/>
    <w:rsid w:val="00A76779"/>
    <w:rsid w:val="00A767BB"/>
    <w:rsid w:val="00A76814"/>
    <w:rsid w:val="00A768E5"/>
    <w:rsid w:val="00A7690F"/>
    <w:rsid w:val="00A76976"/>
    <w:rsid w:val="00A769E4"/>
    <w:rsid w:val="00A76A00"/>
    <w:rsid w:val="00A76A20"/>
    <w:rsid w:val="00A76A7E"/>
    <w:rsid w:val="00A76AF1"/>
    <w:rsid w:val="00A76C34"/>
    <w:rsid w:val="00A76CFF"/>
    <w:rsid w:val="00A76D37"/>
    <w:rsid w:val="00A7717C"/>
    <w:rsid w:val="00A771EA"/>
    <w:rsid w:val="00A7722F"/>
    <w:rsid w:val="00A77274"/>
    <w:rsid w:val="00A77317"/>
    <w:rsid w:val="00A773E2"/>
    <w:rsid w:val="00A774E0"/>
    <w:rsid w:val="00A774EA"/>
    <w:rsid w:val="00A775C5"/>
    <w:rsid w:val="00A7768B"/>
    <w:rsid w:val="00A77695"/>
    <w:rsid w:val="00A776EA"/>
    <w:rsid w:val="00A77785"/>
    <w:rsid w:val="00A7789D"/>
    <w:rsid w:val="00A778FD"/>
    <w:rsid w:val="00A77917"/>
    <w:rsid w:val="00A77940"/>
    <w:rsid w:val="00A77A5A"/>
    <w:rsid w:val="00A77B02"/>
    <w:rsid w:val="00A77B7A"/>
    <w:rsid w:val="00A77C16"/>
    <w:rsid w:val="00A77D5E"/>
    <w:rsid w:val="00A77DE0"/>
    <w:rsid w:val="00A77E20"/>
    <w:rsid w:val="00A77F6B"/>
    <w:rsid w:val="00A77FE6"/>
    <w:rsid w:val="00A77FF8"/>
    <w:rsid w:val="00A80106"/>
    <w:rsid w:val="00A8012A"/>
    <w:rsid w:val="00A80141"/>
    <w:rsid w:val="00A8015A"/>
    <w:rsid w:val="00A8017B"/>
    <w:rsid w:val="00A80250"/>
    <w:rsid w:val="00A8032E"/>
    <w:rsid w:val="00A803D0"/>
    <w:rsid w:val="00A804BC"/>
    <w:rsid w:val="00A804E0"/>
    <w:rsid w:val="00A80523"/>
    <w:rsid w:val="00A805B8"/>
    <w:rsid w:val="00A805CA"/>
    <w:rsid w:val="00A805D7"/>
    <w:rsid w:val="00A806F2"/>
    <w:rsid w:val="00A807D0"/>
    <w:rsid w:val="00A80810"/>
    <w:rsid w:val="00A8081D"/>
    <w:rsid w:val="00A808EB"/>
    <w:rsid w:val="00A80917"/>
    <w:rsid w:val="00A80964"/>
    <w:rsid w:val="00A80A18"/>
    <w:rsid w:val="00A80B5D"/>
    <w:rsid w:val="00A80C4B"/>
    <w:rsid w:val="00A8106A"/>
    <w:rsid w:val="00A810B4"/>
    <w:rsid w:val="00A810BF"/>
    <w:rsid w:val="00A81162"/>
    <w:rsid w:val="00A811DE"/>
    <w:rsid w:val="00A81236"/>
    <w:rsid w:val="00A81292"/>
    <w:rsid w:val="00A812DC"/>
    <w:rsid w:val="00A812E9"/>
    <w:rsid w:val="00A8145D"/>
    <w:rsid w:val="00A81627"/>
    <w:rsid w:val="00A817CD"/>
    <w:rsid w:val="00A817DA"/>
    <w:rsid w:val="00A8187C"/>
    <w:rsid w:val="00A818FE"/>
    <w:rsid w:val="00A819E7"/>
    <w:rsid w:val="00A819FF"/>
    <w:rsid w:val="00A81A5B"/>
    <w:rsid w:val="00A81A6C"/>
    <w:rsid w:val="00A81B3C"/>
    <w:rsid w:val="00A81BF4"/>
    <w:rsid w:val="00A81DEB"/>
    <w:rsid w:val="00A81E2A"/>
    <w:rsid w:val="00A81E8D"/>
    <w:rsid w:val="00A81ED5"/>
    <w:rsid w:val="00A81F25"/>
    <w:rsid w:val="00A81F7E"/>
    <w:rsid w:val="00A82018"/>
    <w:rsid w:val="00A8207F"/>
    <w:rsid w:val="00A820B7"/>
    <w:rsid w:val="00A8212C"/>
    <w:rsid w:val="00A82176"/>
    <w:rsid w:val="00A821BD"/>
    <w:rsid w:val="00A8225C"/>
    <w:rsid w:val="00A8229B"/>
    <w:rsid w:val="00A8233F"/>
    <w:rsid w:val="00A82351"/>
    <w:rsid w:val="00A82433"/>
    <w:rsid w:val="00A824E3"/>
    <w:rsid w:val="00A82504"/>
    <w:rsid w:val="00A82522"/>
    <w:rsid w:val="00A8253A"/>
    <w:rsid w:val="00A8262E"/>
    <w:rsid w:val="00A82636"/>
    <w:rsid w:val="00A82653"/>
    <w:rsid w:val="00A8266A"/>
    <w:rsid w:val="00A82697"/>
    <w:rsid w:val="00A82732"/>
    <w:rsid w:val="00A82746"/>
    <w:rsid w:val="00A82776"/>
    <w:rsid w:val="00A828A6"/>
    <w:rsid w:val="00A828CE"/>
    <w:rsid w:val="00A82902"/>
    <w:rsid w:val="00A82A5A"/>
    <w:rsid w:val="00A82B0B"/>
    <w:rsid w:val="00A82B11"/>
    <w:rsid w:val="00A82BDF"/>
    <w:rsid w:val="00A82C65"/>
    <w:rsid w:val="00A82C81"/>
    <w:rsid w:val="00A82E3A"/>
    <w:rsid w:val="00A82E9A"/>
    <w:rsid w:val="00A82F1A"/>
    <w:rsid w:val="00A82FF6"/>
    <w:rsid w:val="00A82FFF"/>
    <w:rsid w:val="00A8303E"/>
    <w:rsid w:val="00A8310A"/>
    <w:rsid w:val="00A83173"/>
    <w:rsid w:val="00A833DC"/>
    <w:rsid w:val="00A83490"/>
    <w:rsid w:val="00A83585"/>
    <w:rsid w:val="00A83662"/>
    <w:rsid w:val="00A83665"/>
    <w:rsid w:val="00A8367D"/>
    <w:rsid w:val="00A83901"/>
    <w:rsid w:val="00A83B88"/>
    <w:rsid w:val="00A83BAC"/>
    <w:rsid w:val="00A83C19"/>
    <w:rsid w:val="00A83C32"/>
    <w:rsid w:val="00A83CC2"/>
    <w:rsid w:val="00A83CCD"/>
    <w:rsid w:val="00A83D31"/>
    <w:rsid w:val="00A83E25"/>
    <w:rsid w:val="00A83F60"/>
    <w:rsid w:val="00A83FBA"/>
    <w:rsid w:val="00A84018"/>
    <w:rsid w:val="00A84032"/>
    <w:rsid w:val="00A8418A"/>
    <w:rsid w:val="00A8437E"/>
    <w:rsid w:val="00A843A9"/>
    <w:rsid w:val="00A84452"/>
    <w:rsid w:val="00A8445E"/>
    <w:rsid w:val="00A84476"/>
    <w:rsid w:val="00A844D2"/>
    <w:rsid w:val="00A844F5"/>
    <w:rsid w:val="00A84550"/>
    <w:rsid w:val="00A8467F"/>
    <w:rsid w:val="00A84825"/>
    <w:rsid w:val="00A84937"/>
    <w:rsid w:val="00A8494F"/>
    <w:rsid w:val="00A84ABD"/>
    <w:rsid w:val="00A84AC9"/>
    <w:rsid w:val="00A84B10"/>
    <w:rsid w:val="00A84BDE"/>
    <w:rsid w:val="00A84C35"/>
    <w:rsid w:val="00A84D0C"/>
    <w:rsid w:val="00A84DA2"/>
    <w:rsid w:val="00A84E0A"/>
    <w:rsid w:val="00A84E13"/>
    <w:rsid w:val="00A84ECD"/>
    <w:rsid w:val="00A84ED2"/>
    <w:rsid w:val="00A84FE1"/>
    <w:rsid w:val="00A850A2"/>
    <w:rsid w:val="00A85162"/>
    <w:rsid w:val="00A85399"/>
    <w:rsid w:val="00A853F9"/>
    <w:rsid w:val="00A85404"/>
    <w:rsid w:val="00A85544"/>
    <w:rsid w:val="00A8559E"/>
    <w:rsid w:val="00A85767"/>
    <w:rsid w:val="00A85775"/>
    <w:rsid w:val="00A857DD"/>
    <w:rsid w:val="00A85851"/>
    <w:rsid w:val="00A858C1"/>
    <w:rsid w:val="00A859B4"/>
    <w:rsid w:val="00A85A56"/>
    <w:rsid w:val="00A85B72"/>
    <w:rsid w:val="00A85BCE"/>
    <w:rsid w:val="00A85CA3"/>
    <w:rsid w:val="00A85CDC"/>
    <w:rsid w:val="00A85D71"/>
    <w:rsid w:val="00A85F8F"/>
    <w:rsid w:val="00A860B5"/>
    <w:rsid w:val="00A86193"/>
    <w:rsid w:val="00A861FB"/>
    <w:rsid w:val="00A86249"/>
    <w:rsid w:val="00A862BB"/>
    <w:rsid w:val="00A8636B"/>
    <w:rsid w:val="00A8637F"/>
    <w:rsid w:val="00A864C4"/>
    <w:rsid w:val="00A864DC"/>
    <w:rsid w:val="00A8663B"/>
    <w:rsid w:val="00A866CE"/>
    <w:rsid w:val="00A8676E"/>
    <w:rsid w:val="00A867AD"/>
    <w:rsid w:val="00A86866"/>
    <w:rsid w:val="00A868A6"/>
    <w:rsid w:val="00A868AA"/>
    <w:rsid w:val="00A868B2"/>
    <w:rsid w:val="00A869BD"/>
    <w:rsid w:val="00A86A20"/>
    <w:rsid w:val="00A86AA9"/>
    <w:rsid w:val="00A86B54"/>
    <w:rsid w:val="00A86C89"/>
    <w:rsid w:val="00A86E76"/>
    <w:rsid w:val="00A86E81"/>
    <w:rsid w:val="00A86F3B"/>
    <w:rsid w:val="00A86F55"/>
    <w:rsid w:val="00A87124"/>
    <w:rsid w:val="00A87133"/>
    <w:rsid w:val="00A871C3"/>
    <w:rsid w:val="00A87212"/>
    <w:rsid w:val="00A87276"/>
    <w:rsid w:val="00A87463"/>
    <w:rsid w:val="00A87479"/>
    <w:rsid w:val="00A87485"/>
    <w:rsid w:val="00A87496"/>
    <w:rsid w:val="00A874E5"/>
    <w:rsid w:val="00A87537"/>
    <w:rsid w:val="00A875B7"/>
    <w:rsid w:val="00A875BE"/>
    <w:rsid w:val="00A876E1"/>
    <w:rsid w:val="00A8772B"/>
    <w:rsid w:val="00A877D8"/>
    <w:rsid w:val="00A87842"/>
    <w:rsid w:val="00A879BE"/>
    <w:rsid w:val="00A87A37"/>
    <w:rsid w:val="00A87AB3"/>
    <w:rsid w:val="00A87B36"/>
    <w:rsid w:val="00A87BE6"/>
    <w:rsid w:val="00A87C60"/>
    <w:rsid w:val="00A87CB0"/>
    <w:rsid w:val="00A87CDC"/>
    <w:rsid w:val="00A87EB3"/>
    <w:rsid w:val="00A87FB4"/>
    <w:rsid w:val="00A900FB"/>
    <w:rsid w:val="00A90137"/>
    <w:rsid w:val="00A90325"/>
    <w:rsid w:val="00A903FE"/>
    <w:rsid w:val="00A9056A"/>
    <w:rsid w:val="00A906A0"/>
    <w:rsid w:val="00A90817"/>
    <w:rsid w:val="00A90878"/>
    <w:rsid w:val="00A908CF"/>
    <w:rsid w:val="00A90929"/>
    <w:rsid w:val="00A90955"/>
    <w:rsid w:val="00A90994"/>
    <w:rsid w:val="00A90A24"/>
    <w:rsid w:val="00A90AD0"/>
    <w:rsid w:val="00A90B67"/>
    <w:rsid w:val="00A90C71"/>
    <w:rsid w:val="00A90CDA"/>
    <w:rsid w:val="00A90E6C"/>
    <w:rsid w:val="00A90E9F"/>
    <w:rsid w:val="00A910D0"/>
    <w:rsid w:val="00A910E9"/>
    <w:rsid w:val="00A912C3"/>
    <w:rsid w:val="00A91314"/>
    <w:rsid w:val="00A91495"/>
    <w:rsid w:val="00A914C6"/>
    <w:rsid w:val="00A9151B"/>
    <w:rsid w:val="00A915F6"/>
    <w:rsid w:val="00A91615"/>
    <w:rsid w:val="00A916A8"/>
    <w:rsid w:val="00A91853"/>
    <w:rsid w:val="00A9198E"/>
    <w:rsid w:val="00A91BB6"/>
    <w:rsid w:val="00A91C8A"/>
    <w:rsid w:val="00A91CB7"/>
    <w:rsid w:val="00A91E63"/>
    <w:rsid w:val="00A91F76"/>
    <w:rsid w:val="00A9202E"/>
    <w:rsid w:val="00A92035"/>
    <w:rsid w:val="00A92046"/>
    <w:rsid w:val="00A92056"/>
    <w:rsid w:val="00A92110"/>
    <w:rsid w:val="00A92185"/>
    <w:rsid w:val="00A9221D"/>
    <w:rsid w:val="00A92311"/>
    <w:rsid w:val="00A9235C"/>
    <w:rsid w:val="00A9248D"/>
    <w:rsid w:val="00A9251A"/>
    <w:rsid w:val="00A92601"/>
    <w:rsid w:val="00A929BB"/>
    <w:rsid w:val="00A92AB4"/>
    <w:rsid w:val="00A92B7B"/>
    <w:rsid w:val="00A92B80"/>
    <w:rsid w:val="00A92CFB"/>
    <w:rsid w:val="00A92E1B"/>
    <w:rsid w:val="00A92FD6"/>
    <w:rsid w:val="00A93074"/>
    <w:rsid w:val="00A93152"/>
    <w:rsid w:val="00A934C9"/>
    <w:rsid w:val="00A9363C"/>
    <w:rsid w:val="00A9372C"/>
    <w:rsid w:val="00A93784"/>
    <w:rsid w:val="00A9378A"/>
    <w:rsid w:val="00A937C4"/>
    <w:rsid w:val="00A93822"/>
    <w:rsid w:val="00A93978"/>
    <w:rsid w:val="00A939A8"/>
    <w:rsid w:val="00A93B6F"/>
    <w:rsid w:val="00A93C5C"/>
    <w:rsid w:val="00A93DAE"/>
    <w:rsid w:val="00A93E4D"/>
    <w:rsid w:val="00A93E72"/>
    <w:rsid w:val="00A93EC4"/>
    <w:rsid w:val="00A93EF4"/>
    <w:rsid w:val="00A941D9"/>
    <w:rsid w:val="00A944D0"/>
    <w:rsid w:val="00A9451E"/>
    <w:rsid w:val="00A94548"/>
    <w:rsid w:val="00A945D8"/>
    <w:rsid w:val="00A946D6"/>
    <w:rsid w:val="00A94707"/>
    <w:rsid w:val="00A9477B"/>
    <w:rsid w:val="00A947A2"/>
    <w:rsid w:val="00A94836"/>
    <w:rsid w:val="00A94876"/>
    <w:rsid w:val="00A9491C"/>
    <w:rsid w:val="00A94957"/>
    <w:rsid w:val="00A94990"/>
    <w:rsid w:val="00A949D8"/>
    <w:rsid w:val="00A94B4A"/>
    <w:rsid w:val="00A94B91"/>
    <w:rsid w:val="00A94BFE"/>
    <w:rsid w:val="00A94C61"/>
    <w:rsid w:val="00A94ECC"/>
    <w:rsid w:val="00A950F6"/>
    <w:rsid w:val="00A95197"/>
    <w:rsid w:val="00A95286"/>
    <w:rsid w:val="00A95294"/>
    <w:rsid w:val="00A95371"/>
    <w:rsid w:val="00A953D3"/>
    <w:rsid w:val="00A95444"/>
    <w:rsid w:val="00A95486"/>
    <w:rsid w:val="00A956F1"/>
    <w:rsid w:val="00A95740"/>
    <w:rsid w:val="00A95818"/>
    <w:rsid w:val="00A95858"/>
    <w:rsid w:val="00A95BE6"/>
    <w:rsid w:val="00A95C6B"/>
    <w:rsid w:val="00A95C7A"/>
    <w:rsid w:val="00A95CB2"/>
    <w:rsid w:val="00A95D46"/>
    <w:rsid w:val="00A95DE7"/>
    <w:rsid w:val="00A961E9"/>
    <w:rsid w:val="00A9623A"/>
    <w:rsid w:val="00A96243"/>
    <w:rsid w:val="00A96251"/>
    <w:rsid w:val="00A96255"/>
    <w:rsid w:val="00A96280"/>
    <w:rsid w:val="00A962CB"/>
    <w:rsid w:val="00A9633C"/>
    <w:rsid w:val="00A964C0"/>
    <w:rsid w:val="00A96652"/>
    <w:rsid w:val="00A966FA"/>
    <w:rsid w:val="00A967BB"/>
    <w:rsid w:val="00A9682D"/>
    <w:rsid w:val="00A96980"/>
    <w:rsid w:val="00A969F4"/>
    <w:rsid w:val="00A96A17"/>
    <w:rsid w:val="00A96B31"/>
    <w:rsid w:val="00A96C29"/>
    <w:rsid w:val="00A96C75"/>
    <w:rsid w:val="00A96DA7"/>
    <w:rsid w:val="00A97040"/>
    <w:rsid w:val="00A97100"/>
    <w:rsid w:val="00A97186"/>
    <w:rsid w:val="00A9719B"/>
    <w:rsid w:val="00A9725B"/>
    <w:rsid w:val="00A972B2"/>
    <w:rsid w:val="00A972BE"/>
    <w:rsid w:val="00A97409"/>
    <w:rsid w:val="00A97536"/>
    <w:rsid w:val="00A9764C"/>
    <w:rsid w:val="00A97722"/>
    <w:rsid w:val="00A97761"/>
    <w:rsid w:val="00A977B5"/>
    <w:rsid w:val="00A978BF"/>
    <w:rsid w:val="00A978D6"/>
    <w:rsid w:val="00A97944"/>
    <w:rsid w:val="00A97964"/>
    <w:rsid w:val="00A9798C"/>
    <w:rsid w:val="00A97C2A"/>
    <w:rsid w:val="00A97CE5"/>
    <w:rsid w:val="00A97D74"/>
    <w:rsid w:val="00A97EFB"/>
    <w:rsid w:val="00A97F27"/>
    <w:rsid w:val="00A97FE5"/>
    <w:rsid w:val="00AA00E8"/>
    <w:rsid w:val="00AA015B"/>
    <w:rsid w:val="00AA018F"/>
    <w:rsid w:val="00AA027E"/>
    <w:rsid w:val="00AA047B"/>
    <w:rsid w:val="00AA0493"/>
    <w:rsid w:val="00AA04C6"/>
    <w:rsid w:val="00AA0643"/>
    <w:rsid w:val="00AA0833"/>
    <w:rsid w:val="00AA0879"/>
    <w:rsid w:val="00AA0A21"/>
    <w:rsid w:val="00AA0ADD"/>
    <w:rsid w:val="00AA0C8E"/>
    <w:rsid w:val="00AA0D49"/>
    <w:rsid w:val="00AA0D53"/>
    <w:rsid w:val="00AA0EAB"/>
    <w:rsid w:val="00AA0FC5"/>
    <w:rsid w:val="00AA1002"/>
    <w:rsid w:val="00AA1019"/>
    <w:rsid w:val="00AA108E"/>
    <w:rsid w:val="00AA1235"/>
    <w:rsid w:val="00AA1337"/>
    <w:rsid w:val="00AA1363"/>
    <w:rsid w:val="00AA1443"/>
    <w:rsid w:val="00AA14A6"/>
    <w:rsid w:val="00AA14AE"/>
    <w:rsid w:val="00AA14F5"/>
    <w:rsid w:val="00AA1549"/>
    <w:rsid w:val="00AA15C0"/>
    <w:rsid w:val="00AA15F3"/>
    <w:rsid w:val="00AA17A9"/>
    <w:rsid w:val="00AA1855"/>
    <w:rsid w:val="00AA186A"/>
    <w:rsid w:val="00AA18C4"/>
    <w:rsid w:val="00AA19C9"/>
    <w:rsid w:val="00AA1A45"/>
    <w:rsid w:val="00AA1B80"/>
    <w:rsid w:val="00AA1BA9"/>
    <w:rsid w:val="00AA1BB7"/>
    <w:rsid w:val="00AA1D2F"/>
    <w:rsid w:val="00AA1E39"/>
    <w:rsid w:val="00AA1EF8"/>
    <w:rsid w:val="00AA1F0B"/>
    <w:rsid w:val="00AA20E1"/>
    <w:rsid w:val="00AA2167"/>
    <w:rsid w:val="00AA234A"/>
    <w:rsid w:val="00AA236C"/>
    <w:rsid w:val="00AA254B"/>
    <w:rsid w:val="00AA26E2"/>
    <w:rsid w:val="00AA280A"/>
    <w:rsid w:val="00AA28F8"/>
    <w:rsid w:val="00AA29E3"/>
    <w:rsid w:val="00AA2B11"/>
    <w:rsid w:val="00AA2BDF"/>
    <w:rsid w:val="00AA2E18"/>
    <w:rsid w:val="00AA3168"/>
    <w:rsid w:val="00AA33CC"/>
    <w:rsid w:val="00AA345E"/>
    <w:rsid w:val="00AA36CE"/>
    <w:rsid w:val="00AA3885"/>
    <w:rsid w:val="00AA390E"/>
    <w:rsid w:val="00AA3947"/>
    <w:rsid w:val="00AA3A75"/>
    <w:rsid w:val="00AA3A7C"/>
    <w:rsid w:val="00AA3BEB"/>
    <w:rsid w:val="00AA3C3D"/>
    <w:rsid w:val="00AA3C7F"/>
    <w:rsid w:val="00AA3D4A"/>
    <w:rsid w:val="00AA3D5C"/>
    <w:rsid w:val="00AA3E4C"/>
    <w:rsid w:val="00AA3F09"/>
    <w:rsid w:val="00AA401A"/>
    <w:rsid w:val="00AA40B5"/>
    <w:rsid w:val="00AA4198"/>
    <w:rsid w:val="00AA41C9"/>
    <w:rsid w:val="00AA4558"/>
    <w:rsid w:val="00AA4576"/>
    <w:rsid w:val="00AA457B"/>
    <w:rsid w:val="00AA45B4"/>
    <w:rsid w:val="00AA465F"/>
    <w:rsid w:val="00AA46C6"/>
    <w:rsid w:val="00AA46CE"/>
    <w:rsid w:val="00AA46EE"/>
    <w:rsid w:val="00AA4703"/>
    <w:rsid w:val="00AA47CF"/>
    <w:rsid w:val="00AA486F"/>
    <w:rsid w:val="00AA48F5"/>
    <w:rsid w:val="00AA4B00"/>
    <w:rsid w:val="00AA4B26"/>
    <w:rsid w:val="00AA4B48"/>
    <w:rsid w:val="00AA4BAE"/>
    <w:rsid w:val="00AA4BCA"/>
    <w:rsid w:val="00AA4C46"/>
    <w:rsid w:val="00AA4CFB"/>
    <w:rsid w:val="00AA4D3A"/>
    <w:rsid w:val="00AA4D90"/>
    <w:rsid w:val="00AA4F42"/>
    <w:rsid w:val="00AA4F90"/>
    <w:rsid w:val="00AA505F"/>
    <w:rsid w:val="00AA5070"/>
    <w:rsid w:val="00AA5138"/>
    <w:rsid w:val="00AA51B4"/>
    <w:rsid w:val="00AA52B2"/>
    <w:rsid w:val="00AA532A"/>
    <w:rsid w:val="00AA544D"/>
    <w:rsid w:val="00AA544F"/>
    <w:rsid w:val="00AA5509"/>
    <w:rsid w:val="00AA557C"/>
    <w:rsid w:val="00AA576F"/>
    <w:rsid w:val="00AA5805"/>
    <w:rsid w:val="00AA5BA0"/>
    <w:rsid w:val="00AA5C21"/>
    <w:rsid w:val="00AA5D28"/>
    <w:rsid w:val="00AA5DC9"/>
    <w:rsid w:val="00AA5DDF"/>
    <w:rsid w:val="00AA5E3F"/>
    <w:rsid w:val="00AA5EE4"/>
    <w:rsid w:val="00AA60C6"/>
    <w:rsid w:val="00AA631B"/>
    <w:rsid w:val="00AA6383"/>
    <w:rsid w:val="00AA63D6"/>
    <w:rsid w:val="00AA64A1"/>
    <w:rsid w:val="00AA64CF"/>
    <w:rsid w:val="00AA6508"/>
    <w:rsid w:val="00AA66AF"/>
    <w:rsid w:val="00AA66F9"/>
    <w:rsid w:val="00AA671C"/>
    <w:rsid w:val="00AA6747"/>
    <w:rsid w:val="00AA67E1"/>
    <w:rsid w:val="00AA6846"/>
    <w:rsid w:val="00AA693F"/>
    <w:rsid w:val="00AA6971"/>
    <w:rsid w:val="00AA69A0"/>
    <w:rsid w:val="00AA6A1D"/>
    <w:rsid w:val="00AA6A34"/>
    <w:rsid w:val="00AA6A48"/>
    <w:rsid w:val="00AA6A65"/>
    <w:rsid w:val="00AA6B82"/>
    <w:rsid w:val="00AA6BA9"/>
    <w:rsid w:val="00AA6C73"/>
    <w:rsid w:val="00AA6D82"/>
    <w:rsid w:val="00AA6D84"/>
    <w:rsid w:val="00AA6F70"/>
    <w:rsid w:val="00AA6FD8"/>
    <w:rsid w:val="00AA7087"/>
    <w:rsid w:val="00AA70CA"/>
    <w:rsid w:val="00AA70FC"/>
    <w:rsid w:val="00AA7226"/>
    <w:rsid w:val="00AA72E8"/>
    <w:rsid w:val="00AA7442"/>
    <w:rsid w:val="00AA74FA"/>
    <w:rsid w:val="00AA7500"/>
    <w:rsid w:val="00AA75B3"/>
    <w:rsid w:val="00AA77AC"/>
    <w:rsid w:val="00AA7805"/>
    <w:rsid w:val="00AA78B3"/>
    <w:rsid w:val="00AA790A"/>
    <w:rsid w:val="00AA79A8"/>
    <w:rsid w:val="00AA7A17"/>
    <w:rsid w:val="00AA7A42"/>
    <w:rsid w:val="00AA7B36"/>
    <w:rsid w:val="00AA7B48"/>
    <w:rsid w:val="00AA7C5D"/>
    <w:rsid w:val="00AA7C80"/>
    <w:rsid w:val="00AA7DB8"/>
    <w:rsid w:val="00AA7EB0"/>
    <w:rsid w:val="00AA7F55"/>
    <w:rsid w:val="00AA7FA3"/>
    <w:rsid w:val="00AA7FDF"/>
    <w:rsid w:val="00AB0215"/>
    <w:rsid w:val="00AB025D"/>
    <w:rsid w:val="00AB0290"/>
    <w:rsid w:val="00AB02BF"/>
    <w:rsid w:val="00AB02C1"/>
    <w:rsid w:val="00AB0356"/>
    <w:rsid w:val="00AB038F"/>
    <w:rsid w:val="00AB03D3"/>
    <w:rsid w:val="00AB0633"/>
    <w:rsid w:val="00AB0738"/>
    <w:rsid w:val="00AB075F"/>
    <w:rsid w:val="00AB07BD"/>
    <w:rsid w:val="00AB07DF"/>
    <w:rsid w:val="00AB08E7"/>
    <w:rsid w:val="00AB091F"/>
    <w:rsid w:val="00AB093E"/>
    <w:rsid w:val="00AB0B17"/>
    <w:rsid w:val="00AB0F22"/>
    <w:rsid w:val="00AB0F46"/>
    <w:rsid w:val="00AB1196"/>
    <w:rsid w:val="00AB11A5"/>
    <w:rsid w:val="00AB1298"/>
    <w:rsid w:val="00AB129C"/>
    <w:rsid w:val="00AB1354"/>
    <w:rsid w:val="00AB1361"/>
    <w:rsid w:val="00AB137E"/>
    <w:rsid w:val="00AB1575"/>
    <w:rsid w:val="00AB168A"/>
    <w:rsid w:val="00AB1716"/>
    <w:rsid w:val="00AB174B"/>
    <w:rsid w:val="00AB1798"/>
    <w:rsid w:val="00AB17AB"/>
    <w:rsid w:val="00AB1A39"/>
    <w:rsid w:val="00AB1A83"/>
    <w:rsid w:val="00AB1B02"/>
    <w:rsid w:val="00AB1B22"/>
    <w:rsid w:val="00AB1B6E"/>
    <w:rsid w:val="00AB1C5D"/>
    <w:rsid w:val="00AB1D85"/>
    <w:rsid w:val="00AB1F6C"/>
    <w:rsid w:val="00AB202B"/>
    <w:rsid w:val="00AB20C8"/>
    <w:rsid w:val="00AB20EE"/>
    <w:rsid w:val="00AB213F"/>
    <w:rsid w:val="00AB2258"/>
    <w:rsid w:val="00AB22AA"/>
    <w:rsid w:val="00AB237A"/>
    <w:rsid w:val="00AB239C"/>
    <w:rsid w:val="00AB23CE"/>
    <w:rsid w:val="00AB23D2"/>
    <w:rsid w:val="00AB2441"/>
    <w:rsid w:val="00AB24A0"/>
    <w:rsid w:val="00AB24CC"/>
    <w:rsid w:val="00AB2517"/>
    <w:rsid w:val="00AB253C"/>
    <w:rsid w:val="00AB26E1"/>
    <w:rsid w:val="00AB2889"/>
    <w:rsid w:val="00AB29D2"/>
    <w:rsid w:val="00AB2A9C"/>
    <w:rsid w:val="00AB2B76"/>
    <w:rsid w:val="00AB2C2F"/>
    <w:rsid w:val="00AB2C37"/>
    <w:rsid w:val="00AB2C63"/>
    <w:rsid w:val="00AB2D84"/>
    <w:rsid w:val="00AB2DD8"/>
    <w:rsid w:val="00AB2DFE"/>
    <w:rsid w:val="00AB2F69"/>
    <w:rsid w:val="00AB2FAE"/>
    <w:rsid w:val="00AB3015"/>
    <w:rsid w:val="00AB3140"/>
    <w:rsid w:val="00AB314B"/>
    <w:rsid w:val="00AB31A3"/>
    <w:rsid w:val="00AB324E"/>
    <w:rsid w:val="00AB3274"/>
    <w:rsid w:val="00AB327D"/>
    <w:rsid w:val="00AB32B7"/>
    <w:rsid w:val="00AB3426"/>
    <w:rsid w:val="00AB343B"/>
    <w:rsid w:val="00AB355B"/>
    <w:rsid w:val="00AB3584"/>
    <w:rsid w:val="00AB3606"/>
    <w:rsid w:val="00AB3687"/>
    <w:rsid w:val="00AB36D7"/>
    <w:rsid w:val="00AB3854"/>
    <w:rsid w:val="00AB392D"/>
    <w:rsid w:val="00AB396C"/>
    <w:rsid w:val="00AB3A66"/>
    <w:rsid w:val="00AB3B06"/>
    <w:rsid w:val="00AB3B84"/>
    <w:rsid w:val="00AB3BD4"/>
    <w:rsid w:val="00AB3C15"/>
    <w:rsid w:val="00AB3C49"/>
    <w:rsid w:val="00AB3CA3"/>
    <w:rsid w:val="00AB3CEF"/>
    <w:rsid w:val="00AB3DFC"/>
    <w:rsid w:val="00AB3E69"/>
    <w:rsid w:val="00AB3ECB"/>
    <w:rsid w:val="00AB3F74"/>
    <w:rsid w:val="00AB3FD9"/>
    <w:rsid w:val="00AB4131"/>
    <w:rsid w:val="00AB414E"/>
    <w:rsid w:val="00AB4207"/>
    <w:rsid w:val="00AB4228"/>
    <w:rsid w:val="00AB45D9"/>
    <w:rsid w:val="00AB4679"/>
    <w:rsid w:val="00AB46A6"/>
    <w:rsid w:val="00AB46DC"/>
    <w:rsid w:val="00AB4732"/>
    <w:rsid w:val="00AB486B"/>
    <w:rsid w:val="00AB4992"/>
    <w:rsid w:val="00AB49F9"/>
    <w:rsid w:val="00AB4B2E"/>
    <w:rsid w:val="00AB4B4D"/>
    <w:rsid w:val="00AB4D60"/>
    <w:rsid w:val="00AB4D73"/>
    <w:rsid w:val="00AB4DD8"/>
    <w:rsid w:val="00AB4F79"/>
    <w:rsid w:val="00AB4FF2"/>
    <w:rsid w:val="00AB5063"/>
    <w:rsid w:val="00AB50D2"/>
    <w:rsid w:val="00AB5150"/>
    <w:rsid w:val="00AB51B2"/>
    <w:rsid w:val="00AB5262"/>
    <w:rsid w:val="00AB52E8"/>
    <w:rsid w:val="00AB53BF"/>
    <w:rsid w:val="00AB5429"/>
    <w:rsid w:val="00AB5648"/>
    <w:rsid w:val="00AB56A4"/>
    <w:rsid w:val="00AB56C0"/>
    <w:rsid w:val="00AB582C"/>
    <w:rsid w:val="00AB5830"/>
    <w:rsid w:val="00AB5848"/>
    <w:rsid w:val="00AB59DB"/>
    <w:rsid w:val="00AB5A9B"/>
    <w:rsid w:val="00AB5D9D"/>
    <w:rsid w:val="00AB5DC3"/>
    <w:rsid w:val="00AB5E70"/>
    <w:rsid w:val="00AB5EB7"/>
    <w:rsid w:val="00AB608E"/>
    <w:rsid w:val="00AB6090"/>
    <w:rsid w:val="00AB6164"/>
    <w:rsid w:val="00AB617D"/>
    <w:rsid w:val="00AB6226"/>
    <w:rsid w:val="00AB623E"/>
    <w:rsid w:val="00AB6250"/>
    <w:rsid w:val="00AB62E6"/>
    <w:rsid w:val="00AB6333"/>
    <w:rsid w:val="00AB633B"/>
    <w:rsid w:val="00AB6389"/>
    <w:rsid w:val="00AB647F"/>
    <w:rsid w:val="00AB65A8"/>
    <w:rsid w:val="00AB6667"/>
    <w:rsid w:val="00AB68AB"/>
    <w:rsid w:val="00AB68D8"/>
    <w:rsid w:val="00AB6917"/>
    <w:rsid w:val="00AB692D"/>
    <w:rsid w:val="00AB6C17"/>
    <w:rsid w:val="00AB6D47"/>
    <w:rsid w:val="00AB6DB9"/>
    <w:rsid w:val="00AB6DFD"/>
    <w:rsid w:val="00AB6E6F"/>
    <w:rsid w:val="00AB6ECB"/>
    <w:rsid w:val="00AB6F3A"/>
    <w:rsid w:val="00AB6F62"/>
    <w:rsid w:val="00AB6F75"/>
    <w:rsid w:val="00AB6F7B"/>
    <w:rsid w:val="00AB6FB9"/>
    <w:rsid w:val="00AB7004"/>
    <w:rsid w:val="00AB705B"/>
    <w:rsid w:val="00AB7205"/>
    <w:rsid w:val="00AB7248"/>
    <w:rsid w:val="00AB7331"/>
    <w:rsid w:val="00AB734F"/>
    <w:rsid w:val="00AB738F"/>
    <w:rsid w:val="00AB7410"/>
    <w:rsid w:val="00AB74CB"/>
    <w:rsid w:val="00AB7519"/>
    <w:rsid w:val="00AB7707"/>
    <w:rsid w:val="00AB771C"/>
    <w:rsid w:val="00AB7759"/>
    <w:rsid w:val="00AB77F2"/>
    <w:rsid w:val="00AB785E"/>
    <w:rsid w:val="00AB7861"/>
    <w:rsid w:val="00AB7A6E"/>
    <w:rsid w:val="00AB7B38"/>
    <w:rsid w:val="00AB7C48"/>
    <w:rsid w:val="00AB7C57"/>
    <w:rsid w:val="00AB7C87"/>
    <w:rsid w:val="00AB7CA6"/>
    <w:rsid w:val="00AB7E34"/>
    <w:rsid w:val="00AB7E8B"/>
    <w:rsid w:val="00AB7FBF"/>
    <w:rsid w:val="00AC0112"/>
    <w:rsid w:val="00AC034C"/>
    <w:rsid w:val="00AC036F"/>
    <w:rsid w:val="00AC03C1"/>
    <w:rsid w:val="00AC0611"/>
    <w:rsid w:val="00AC06BA"/>
    <w:rsid w:val="00AC06EB"/>
    <w:rsid w:val="00AC0753"/>
    <w:rsid w:val="00AC07D2"/>
    <w:rsid w:val="00AC0963"/>
    <w:rsid w:val="00AC0988"/>
    <w:rsid w:val="00AC0A80"/>
    <w:rsid w:val="00AC0B67"/>
    <w:rsid w:val="00AC0B7B"/>
    <w:rsid w:val="00AC0CEE"/>
    <w:rsid w:val="00AC0D6F"/>
    <w:rsid w:val="00AC0D8C"/>
    <w:rsid w:val="00AC0EFC"/>
    <w:rsid w:val="00AC0F84"/>
    <w:rsid w:val="00AC0FAF"/>
    <w:rsid w:val="00AC0FD0"/>
    <w:rsid w:val="00AC1020"/>
    <w:rsid w:val="00AC1144"/>
    <w:rsid w:val="00AC1181"/>
    <w:rsid w:val="00AC11A5"/>
    <w:rsid w:val="00AC11F0"/>
    <w:rsid w:val="00AC1262"/>
    <w:rsid w:val="00AC127F"/>
    <w:rsid w:val="00AC1339"/>
    <w:rsid w:val="00AC15AB"/>
    <w:rsid w:val="00AC15B2"/>
    <w:rsid w:val="00AC1651"/>
    <w:rsid w:val="00AC18DE"/>
    <w:rsid w:val="00AC1943"/>
    <w:rsid w:val="00AC1A01"/>
    <w:rsid w:val="00AC1A05"/>
    <w:rsid w:val="00AC1B03"/>
    <w:rsid w:val="00AC1CC2"/>
    <w:rsid w:val="00AC1E85"/>
    <w:rsid w:val="00AC1E8E"/>
    <w:rsid w:val="00AC1EE3"/>
    <w:rsid w:val="00AC1EE9"/>
    <w:rsid w:val="00AC1FB5"/>
    <w:rsid w:val="00AC2013"/>
    <w:rsid w:val="00AC20E9"/>
    <w:rsid w:val="00AC210A"/>
    <w:rsid w:val="00AC214A"/>
    <w:rsid w:val="00AC2163"/>
    <w:rsid w:val="00AC2196"/>
    <w:rsid w:val="00AC21F5"/>
    <w:rsid w:val="00AC244B"/>
    <w:rsid w:val="00AC24DA"/>
    <w:rsid w:val="00AC264D"/>
    <w:rsid w:val="00AC2699"/>
    <w:rsid w:val="00AC26E1"/>
    <w:rsid w:val="00AC281C"/>
    <w:rsid w:val="00AC2858"/>
    <w:rsid w:val="00AC2892"/>
    <w:rsid w:val="00AC28B2"/>
    <w:rsid w:val="00AC28C3"/>
    <w:rsid w:val="00AC2950"/>
    <w:rsid w:val="00AC29DE"/>
    <w:rsid w:val="00AC2ABC"/>
    <w:rsid w:val="00AC2B55"/>
    <w:rsid w:val="00AC2CCB"/>
    <w:rsid w:val="00AC2DDB"/>
    <w:rsid w:val="00AC2E0F"/>
    <w:rsid w:val="00AC2E54"/>
    <w:rsid w:val="00AC2EA1"/>
    <w:rsid w:val="00AC2F67"/>
    <w:rsid w:val="00AC2FBD"/>
    <w:rsid w:val="00AC302F"/>
    <w:rsid w:val="00AC30A7"/>
    <w:rsid w:val="00AC313A"/>
    <w:rsid w:val="00AC3167"/>
    <w:rsid w:val="00AC32C8"/>
    <w:rsid w:val="00AC3361"/>
    <w:rsid w:val="00AC3367"/>
    <w:rsid w:val="00AC33AF"/>
    <w:rsid w:val="00AC3427"/>
    <w:rsid w:val="00AC34B9"/>
    <w:rsid w:val="00AC3546"/>
    <w:rsid w:val="00AC35A1"/>
    <w:rsid w:val="00AC3785"/>
    <w:rsid w:val="00AC3795"/>
    <w:rsid w:val="00AC3854"/>
    <w:rsid w:val="00AC3A0F"/>
    <w:rsid w:val="00AC3BF8"/>
    <w:rsid w:val="00AC3C1A"/>
    <w:rsid w:val="00AC3CC2"/>
    <w:rsid w:val="00AC3F68"/>
    <w:rsid w:val="00AC4042"/>
    <w:rsid w:val="00AC4046"/>
    <w:rsid w:val="00AC40CC"/>
    <w:rsid w:val="00AC4215"/>
    <w:rsid w:val="00AC449F"/>
    <w:rsid w:val="00AC4568"/>
    <w:rsid w:val="00AC45AC"/>
    <w:rsid w:val="00AC45F1"/>
    <w:rsid w:val="00AC4626"/>
    <w:rsid w:val="00AC475C"/>
    <w:rsid w:val="00AC4815"/>
    <w:rsid w:val="00AC482E"/>
    <w:rsid w:val="00AC49CF"/>
    <w:rsid w:val="00AC49FE"/>
    <w:rsid w:val="00AC4A9C"/>
    <w:rsid w:val="00AC4B25"/>
    <w:rsid w:val="00AC4B84"/>
    <w:rsid w:val="00AC4B8F"/>
    <w:rsid w:val="00AC4CF4"/>
    <w:rsid w:val="00AC4D56"/>
    <w:rsid w:val="00AC4D57"/>
    <w:rsid w:val="00AC4D78"/>
    <w:rsid w:val="00AC4FBE"/>
    <w:rsid w:val="00AC508B"/>
    <w:rsid w:val="00AC50AB"/>
    <w:rsid w:val="00AC5166"/>
    <w:rsid w:val="00AC51DD"/>
    <w:rsid w:val="00AC5214"/>
    <w:rsid w:val="00AC541D"/>
    <w:rsid w:val="00AC5470"/>
    <w:rsid w:val="00AC55A7"/>
    <w:rsid w:val="00AC5678"/>
    <w:rsid w:val="00AC5771"/>
    <w:rsid w:val="00AC5812"/>
    <w:rsid w:val="00AC5876"/>
    <w:rsid w:val="00AC587F"/>
    <w:rsid w:val="00AC599F"/>
    <w:rsid w:val="00AC5A56"/>
    <w:rsid w:val="00AC5AE0"/>
    <w:rsid w:val="00AC5AF8"/>
    <w:rsid w:val="00AC5B1F"/>
    <w:rsid w:val="00AC5C09"/>
    <w:rsid w:val="00AC5D81"/>
    <w:rsid w:val="00AC5E4E"/>
    <w:rsid w:val="00AC5EED"/>
    <w:rsid w:val="00AC5F33"/>
    <w:rsid w:val="00AC6074"/>
    <w:rsid w:val="00AC62EB"/>
    <w:rsid w:val="00AC632D"/>
    <w:rsid w:val="00AC642C"/>
    <w:rsid w:val="00AC6438"/>
    <w:rsid w:val="00AC643F"/>
    <w:rsid w:val="00AC6465"/>
    <w:rsid w:val="00AC64B3"/>
    <w:rsid w:val="00AC64B9"/>
    <w:rsid w:val="00AC662F"/>
    <w:rsid w:val="00AC6690"/>
    <w:rsid w:val="00AC677E"/>
    <w:rsid w:val="00AC67CF"/>
    <w:rsid w:val="00AC67F2"/>
    <w:rsid w:val="00AC67F3"/>
    <w:rsid w:val="00AC692A"/>
    <w:rsid w:val="00AC69BE"/>
    <w:rsid w:val="00AC6A1E"/>
    <w:rsid w:val="00AC6A2B"/>
    <w:rsid w:val="00AC6ADD"/>
    <w:rsid w:val="00AC6B2E"/>
    <w:rsid w:val="00AC6D7B"/>
    <w:rsid w:val="00AC6D96"/>
    <w:rsid w:val="00AC6DC5"/>
    <w:rsid w:val="00AC6E69"/>
    <w:rsid w:val="00AC6F7D"/>
    <w:rsid w:val="00AC6FC7"/>
    <w:rsid w:val="00AC71DB"/>
    <w:rsid w:val="00AC723D"/>
    <w:rsid w:val="00AC7262"/>
    <w:rsid w:val="00AC72D7"/>
    <w:rsid w:val="00AC737E"/>
    <w:rsid w:val="00AC73FE"/>
    <w:rsid w:val="00AC7572"/>
    <w:rsid w:val="00AC75E9"/>
    <w:rsid w:val="00AC7616"/>
    <w:rsid w:val="00AC7636"/>
    <w:rsid w:val="00AC76C7"/>
    <w:rsid w:val="00AC78AC"/>
    <w:rsid w:val="00AC78E0"/>
    <w:rsid w:val="00AC7902"/>
    <w:rsid w:val="00AC79C4"/>
    <w:rsid w:val="00AC7A0B"/>
    <w:rsid w:val="00AC7A42"/>
    <w:rsid w:val="00AC7A43"/>
    <w:rsid w:val="00AC7A7F"/>
    <w:rsid w:val="00AC7B06"/>
    <w:rsid w:val="00AC7E1C"/>
    <w:rsid w:val="00AC7E59"/>
    <w:rsid w:val="00AD0060"/>
    <w:rsid w:val="00AD0065"/>
    <w:rsid w:val="00AD0067"/>
    <w:rsid w:val="00AD0207"/>
    <w:rsid w:val="00AD0270"/>
    <w:rsid w:val="00AD02D8"/>
    <w:rsid w:val="00AD0318"/>
    <w:rsid w:val="00AD051C"/>
    <w:rsid w:val="00AD0604"/>
    <w:rsid w:val="00AD060E"/>
    <w:rsid w:val="00AD0611"/>
    <w:rsid w:val="00AD061F"/>
    <w:rsid w:val="00AD066F"/>
    <w:rsid w:val="00AD06C5"/>
    <w:rsid w:val="00AD0709"/>
    <w:rsid w:val="00AD07CB"/>
    <w:rsid w:val="00AD07FA"/>
    <w:rsid w:val="00AD0891"/>
    <w:rsid w:val="00AD0A1E"/>
    <w:rsid w:val="00AD0A74"/>
    <w:rsid w:val="00AD0AAD"/>
    <w:rsid w:val="00AD0AEB"/>
    <w:rsid w:val="00AD0B44"/>
    <w:rsid w:val="00AD0BC0"/>
    <w:rsid w:val="00AD0C4D"/>
    <w:rsid w:val="00AD0CBA"/>
    <w:rsid w:val="00AD0EB5"/>
    <w:rsid w:val="00AD0FCC"/>
    <w:rsid w:val="00AD1028"/>
    <w:rsid w:val="00AD10BB"/>
    <w:rsid w:val="00AD111B"/>
    <w:rsid w:val="00AD120B"/>
    <w:rsid w:val="00AD1359"/>
    <w:rsid w:val="00AD14A6"/>
    <w:rsid w:val="00AD1523"/>
    <w:rsid w:val="00AD1566"/>
    <w:rsid w:val="00AD15F0"/>
    <w:rsid w:val="00AD16A9"/>
    <w:rsid w:val="00AD16F7"/>
    <w:rsid w:val="00AD175B"/>
    <w:rsid w:val="00AD1779"/>
    <w:rsid w:val="00AD1813"/>
    <w:rsid w:val="00AD18BE"/>
    <w:rsid w:val="00AD1920"/>
    <w:rsid w:val="00AD1982"/>
    <w:rsid w:val="00AD1AB5"/>
    <w:rsid w:val="00AD1B18"/>
    <w:rsid w:val="00AD1BC4"/>
    <w:rsid w:val="00AD1BD8"/>
    <w:rsid w:val="00AD1D51"/>
    <w:rsid w:val="00AD1E2B"/>
    <w:rsid w:val="00AD1E31"/>
    <w:rsid w:val="00AD1F8E"/>
    <w:rsid w:val="00AD1F9B"/>
    <w:rsid w:val="00AD1FBC"/>
    <w:rsid w:val="00AD2012"/>
    <w:rsid w:val="00AD20D9"/>
    <w:rsid w:val="00AD22F0"/>
    <w:rsid w:val="00AD23BB"/>
    <w:rsid w:val="00AD23FB"/>
    <w:rsid w:val="00AD2485"/>
    <w:rsid w:val="00AD25C1"/>
    <w:rsid w:val="00AD25C2"/>
    <w:rsid w:val="00AD2723"/>
    <w:rsid w:val="00AD27F5"/>
    <w:rsid w:val="00AD281F"/>
    <w:rsid w:val="00AD28D3"/>
    <w:rsid w:val="00AD294C"/>
    <w:rsid w:val="00AD2994"/>
    <w:rsid w:val="00AD299E"/>
    <w:rsid w:val="00AD2AE7"/>
    <w:rsid w:val="00AD2BBE"/>
    <w:rsid w:val="00AD2BC2"/>
    <w:rsid w:val="00AD2C5C"/>
    <w:rsid w:val="00AD2FD1"/>
    <w:rsid w:val="00AD32E0"/>
    <w:rsid w:val="00AD33A4"/>
    <w:rsid w:val="00AD33CB"/>
    <w:rsid w:val="00AD3481"/>
    <w:rsid w:val="00AD35A1"/>
    <w:rsid w:val="00AD37B4"/>
    <w:rsid w:val="00AD3821"/>
    <w:rsid w:val="00AD388E"/>
    <w:rsid w:val="00AD38EB"/>
    <w:rsid w:val="00AD3924"/>
    <w:rsid w:val="00AD3988"/>
    <w:rsid w:val="00AD3A35"/>
    <w:rsid w:val="00AD3B45"/>
    <w:rsid w:val="00AD3DCF"/>
    <w:rsid w:val="00AD3FC3"/>
    <w:rsid w:val="00AD4023"/>
    <w:rsid w:val="00AD42BC"/>
    <w:rsid w:val="00AD437B"/>
    <w:rsid w:val="00AD468A"/>
    <w:rsid w:val="00AD46A6"/>
    <w:rsid w:val="00AD46B2"/>
    <w:rsid w:val="00AD4838"/>
    <w:rsid w:val="00AD48F1"/>
    <w:rsid w:val="00AD4AA8"/>
    <w:rsid w:val="00AD4B75"/>
    <w:rsid w:val="00AD4BAC"/>
    <w:rsid w:val="00AD4BC9"/>
    <w:rsid w:val="00AD4C37"/>
    <w:rsid w:val="00AD4C45"/>
    <w:rsid w:val="00AD4F04"/>
    <w:rsid w:val="00AD5052"/>
    <w:rsid w:val="00AD51AE"/>
    <w:rsid w:val="00AD51B5"/>
    <w:rsid w:val="00AD537C"/>
    <w:rsid w:val="00AD5625"/>
    <w:rsid w:val="00AD577B"/>
    <w:rsid w:val="00AD58CC"/>
    <w:rsid w:val="00AD595A"/>
    <w:rsid w:val="00AD5972"/>
    <w:rsid w:val="00AD59B1"/>
    <w:rsid w:val="00AD5A50"/>
    <w:rsid w:val="00AD5A80"/>
    <w:rsid w:val="00AD5B9A"/>
    <w:rsid w:val="00AD5C0E"/>
    <w:rsid w:val="00AD5C6F"/>
    <w:rsid w:val="00AD5CA3"/>
    <w:rsid w:val="00AD5D1E"/>
    <w:rsid w:val="00AD5E0C"/>
    <w:rsid w:val="00AD5F1B"/>
    <w:rsid w:val="00AD5F49"/>
    <w:rsid w:val="00AD5F76"/>
    <w:rsid w:val="00AD5FA4"/>
    <w:rsid w:val="00AD600D"/>
    <w:rsid w:val="00AD6042"/>
    <w:rsid w:val="00AD6072"/>
    <w:rsid w:val="00AD6078"/>
    <w:rsid w:val="00AD60F5"/>
    <w:rsid w:val="00AD6107"/>
    <w:rsid w:val="00AD615C"/>
    <w:rsid w:val="00AD62B7"/>
    <w:rsid w:val="00AD635B"/>
    <w:rsid w:val="00AD63AC"/>
    <w:rsid w:val="00AD6425"/>
    <w:rsid w:val="00AD6504"/>
    <w:rsid w:val="00AD66E1"/>
    <w:rsid w:val="00AD699D"/>
    <w:rsid w:val="00AD6A11"/>
    <w:rsid w:val="00AD6B65"/>
    <w:rsid w:val="00AD6D33"/>
    <w:rsid w:val="00AD6D62"/>
    <w:rsid w:val="00AD6E28"/>
    <w:rsid w:val="00AD6EB2"/>
    <w:rsid w:val="00AD6EC7"/>
    <w:rsid w:val="00AD6F2B"/>
    <w:rsid w:val="00AD70BC"/>
    <w:rsid w:val="00AD7157"/>
    <w:rsid w:val="00AD715F"/>
    <w:rsid w:val="00AD7185"/>
    <w:rsid w:val="00AD7248"/>
    <w:rsid w:val="00AD7309"/>
    <w:rsid w:val="00AD7396"/>
    <w:rsid w:val="00AD73B4"/>
    <w:rsid w:val="00AD74A8"/>
    <w:rsid w:val="00AD74DD"/>
    <w:rsid w:val="00AD757B"/>
    <w:rsid w:val="00AD759E"/>
    <w:rsid w:val="00AD75E4"/>
    <w:rsid w:val="00AD7737"/>
    <w:rsid w:val="00AD78D4"/>
    <w:rsid w:val="00AD78F4"/>
    <w:rsid w:val="00AD78FD"/>
    <w:rsid w:val="00AD791B"/>
    <w:rsid w:val="00AD7A33"/>
    <w:rsid w:val="00AD7B03"/>
    <w:rsid w:val="00AD7B3B"/>
    <w:rsid w:val="00AD7BAB"/>
    <w:rsid w:val="00AD7D53"/>
    <w:rsid w:val="00AD7DF8"/>
    <w:rsid w:val="00AD7EF5"/>
    <w:rsid w:val="00AD7F0C"/>
    <w:rsid w:val="00AD7F69"/>
    <w:rsid w:val="00AD7FC6"/>
    <w:rsid w:val="00AE0022"/>
    <w:rsid w:val="00AE01CE"/>
    <w:rsid w:val="00AE01FF"/>
    <w:rsid w:val="00AE0236"/>
    <w:rsid w:val="00AE032F"/>
    <w:rsid w:val="00AE0351"/>
    <w:rsid w:val="00AE039B"/>
    <w:rsid w:val="00AE0409"/>
    <w:rsid w:val="00AE050E"/>
    <w:rsid w:val="00AE054E"/>
    <w:rsid w:val="00AE055C"/>
    <w:rsid w:val="00AE0699"/>
    <w:rsid w:val="00AE06F9"/>
    <w:rsid w:val="00AE0783"/>
    <w:rsid w:val="00AE078B"/>
    <w:rsid w:val="00AE0886"/>
    <w:rsid w:val="00AE08C3"/>
    <w:rsid w:val="00AE0984"/>
    <w:rsid w:val="00AE09D6"/>
    <w:rsid w:val="00AE0AAA"/>
    <w:rsid w:val="00AE0C3D"/>
    <w:rsid w:val="00AE0D8E"/>
    <w:rsid w:val="00AE0DAB"/>
    <w:rsid w:val="00AE0FE3"/>
    <w:rsid w:val="00AE1033"/>
    <w:rsid w:val="00AE1071"/>
    <w:rsid w:val="00AE11A3"/>
    <w:rsid w:val="00AE125C"/>
    <w:rsid w:val="00AE1330"/>
    <w:rsid w:val="00AE134F"/>
    <w:rsid w:val="00AE1367"/>
    <w:rsid w:val="00AE13E5"/>
    <w:rsid w:val="00AE148C"/>
    <w:rsid w:val="00AE14FA"/>
    <w:rsid w:val="00AE18EF"/>
    <w:rsid w:val="00AE19BF"/>
    <w:rsid w:val="00AE1A7C"/>
    <w:rsid w:val="00AE1B01"/>
    <w:rsid w:val="00AE1BA1"/>
    <w:rsid w:val="00AE1CD6"/>
    <w:rsid w:val="00AE1EBF"/>
    <w:rsid w:val="00AE1EC5"/>
    <w:rsid w:val="00AE1EF6"/>
    <w:rsid w:val="00AE1F25"/>
    <w:rsid w:val="00AE1FF0"/>
    <w:rsid w:val="00AE22B5"/>
    <w:rsid w:val="00AE2312"/>
    <w:rsid w:val="00AE2387"/>
    <w:rsid w:val="00AE2393"/>
    <w:rsid w:val="00AE2475"/>
    <w:rsid w:val="00AE2518"/>
    <w:rsid w:val="00AE258F"/>
    <w:rsid w:val="00AE26CA"/>
    <w:rsid w:val="00AE27C0"/>
    <w:rsid w:val="00AE2846"/>
    <w:rsid w:val="00AE2948"/>
    <w:rsid w:val="00AE2A0F"/>
    <w:rsid w:val="00AE2AFB"/>
    <w:rsid w:val="00AE2B0A"/>
    <w:rsid w:val="00AE2B52"/>
    <w:rsid w:val="00AE2DD3"/>
    <w:rsid w:val="00AE2E9A"/>
    <w:rsid w:val="00AE2ED8"/>
    <w:rsid w:val="00AE2EE2"/>
    <w:rsid w:val="00AE30DB"/>
    <w:rsid w:val="00AE3135"/>
    <w:rsid w:val="00AE31AF"/>
    <w:rsid w:val="00AE3373"/>
    <w:rsid w:val="00AE33D6"/>
    <w:rsid w:val="00AE340A"/>
    <w:rsid w:val="00AE3579"/>
    <w:rsid w:val="00AE3616"/>
    <w:rsid w:val="00AE3688"/>
    <w:rsid w:val="00AE3711"/>
    <w:rsid w:val="00AE371C"/>
    <w:rsid w:val="00AE3786"/>
    <w:rsid w:val="00AE389E"/>
    <w:rsid w:val="00AE38A5"/>
    <w:rsid w:val="00AE38AB"/>
    <w:rsid w:val="00AE39A3"/>
    <w:rsid w:val="00AE3A06"/>
    <w:rsid w:val="00AE3ABF"/>
    <w:rsid w:val="00AE3B33"/>
    <w:rsid w:val="00AE3B6A"/>
    <w:rsid w:val="00AE3B9C"/>
    <w:rsid w:val="00AE3BD7"/>
    <w:rsid w:val="00AE3C2D"/>
    <w:rsid w:val="00AE3C53"/>
    <w:rsid w:val="00AE3C9D"/>
    <w:rsid w:val="00AE3D44"/>
    <w:rsid w:val="00AE3E84"/>
    <w:rsid w:val="00AE3F31"/>
    <w:rsid w:val="00AE3F6D"/>
    <w:rsid w:val="00AE4217"/>
    <w:rsid w:val="00AE4252"/>
    <w:rsid w:val="00AE43B5"/>
    <w:rsid w:val="00AE44DD"/>
    <w:rsid w:val="00AE44E7"/>
    <w:rsid w:val="00AE452C"/>
    <w:rsid w:val="00AE4596"/>
    <w:rsid w:val="00AE45D6"/>
    <w:rsid w:val="00AE4694"/>
    <w:rsid w:val="00AE46F9"/>
    <w:rsid w:val="00AE4826"/>
    <w:rsid w:val="00AE499D"/>
    <w:rsid w:val="00AE4A2C"/>
    <w:rsid w:val="00AE4A52"/>
    <w:rsid w:val="00AE4CAE"/>
    <w:rsid w:val="00AE4F56"/>
    <w:rsid w:val="00AE4FAC"/>
    <w:rsid w:val="00AE5074"/>
    <w:rsid w:val="00AE50C2"/>
    <w:rsid w:val="00AE5172"/>
    <w:rsid w:val="00AE549E"/>
    <w:rsid w:val="00AE54EC"/>
    <w:rsid w:val="00AE5515"/>
    <w:rsid w:val="00AE5546"/>
    <w:rsid w:val="00AE55E9"/>
    <w:rsid w:val="00AE5616"/>
    <w:rsid w:val="00AE5A77"/>
    <w:rsid w:val="00AE5A86"/>
    <w:rsid w:val="00AE5C4E"/>
    <w:rsid w:val="00AE5C98"/>
    <w:rsid w:val="00AE5CA6"/>
    <w:rsid w:val="00AE5DC8"/>
    <w:rsid w:val="00AE5E08"/>
    <w:rsid w:val="00AE5F96"/>
    <w:rsid w:val="00AE5FBA"/>
    <w:rsid w:val="00AE62D1"/>
    <w:rsid w:val="00AE651F"/>
    <w:rsid w:val="00AE6599"/>
    <w:rsid w:val="00AE6776"/>
    <w:rsid w:val="00AE6938"/>
    <w:rsid w:val="00AE69C9"/>
    <w:rsid w:val="00AE6A4B"/>
    <w:rsid w:val="00AE6A63"/>
    <w:rsid w:val="00AE6A99"/>
    <w:rsid w:val="00AE6A9A"/>
    <w:rsid w:val="00AE6B12"/>
    <w:rsid w:val="00AE6B49"/>
    <w:rsid w:val="00AE6B64"/>
    <w:rsid w:val="00AE6BB9"/>
    <w:rsid w:val="00AE6BF5"/>
    <w:rsid w:val="00AE6DAC"/>
    <w:rsid w:val="00AE6DFB"/>
    <w:rsid w:val="00AE6E19"/>
    <w:rsid w:val="00AE6F3C"/>
    <w:rsid w:val="00AE6F73"/>
    <w:rsid w:val="00AE7019"/>
    <w:rsid w:val="00AE72E0"/>
    <w:rsid w:val="00AE7398"/>
    <w:rsid w:val="00AE7560"/>
    <w:rsid w:val="00AE75A9"/>
    <w:rsid w:val="00AE75B2"/>
    <w:rsid w:val="00AE75EA"/>
    <w:rsid w:val="00AE7649"/>
    <w:rsid w:val="00AE76A1"/>
    <w:rsid w:val="00AE76A5"/>
    <w:rsid w:val="00AE76C9"/>
    <w:rsid w:val="00AE77C8"/>
    <w:rsid w:val="00AE7953"/>
    <w:rsid w:val="00AE7957"/>
    <w:rsid w:val="00AE79CA"/>
    <w:rsid w:val="00AE7BCF"/>
    <w:rsid w:val="00AE7E6C"/>
    <w:rsid w:val="00AE7F5B"/>
    <w:rsid w:val="00AF018C"/>
    <w:rsid w:val="00AF0221"/>
    <w:rsid w:val="00AF0223"/>
    <w:rsid w:val="00AF029C"/>
    <w:rsid w:val="00AF0392"/>
    <w:rsid w:val="00AF06C2"/>
    <w:rsid w:val="00AF07B2"/>
    <w:rsid w:val="00AF0814"/>
    <w:rsid w:val="00AF0876"/>
    <w:rsid w:val="00AF095B"/>
    <w:rsid w:val="00AF0984"/>
    <w:rsid w:val="00AF0B4B"/>
    <w:rsid w:val="00AF0B74"/>
    <w:rsid w:val="00AF0BAF"/>
    <w:rsid w:val="00AF0CA4"/>
    <w:rsid w:val="00AF0CAC"/>
    <w:rsid w:val="00AF0CC7"/>
    <w:rsid w:val="00AF0D00"/>
    <w:rsid w:val="00AF0EE5"/>
    <w:rsid w:val="00AF0F66"/>
    <w:rsid w:val="00AF0F6A"/>
    <w:rsid w:val="00AF10B5"/>
    <w:rsid w:val="00AF10CB"/>
    <w:rsid w:val="00AF1125"/>
    <w:rsid w:val="00AF1131"/>
    <w:rsid w:val="00AF1418"/>
    <w:rsid w:val="00AF1515"/>
    <w:rsid w:val="00AF16A0"/>
    <w:rsid w:val="00AF16B9"/>
    <w:rsid w:val="00AF1716"/>
    <w:rsid w:val="00AF1821"/>
    <w:rsid w:val="00AF1893"/>
    <w:rsid w:val="00AF18D5"/>
    <w:rsid w:val="00AF1974"/>
    <w:rsid w:val="00AF199C"/>
    <w:rsid w:val="00AF1A19"/>
    <w:rsid w:val="00AF1A25"/>
    <w:rsid w:val="00AF1B9E"/>
    <w:rsid w:val="00AF1E14"/>
    <w:rsid w:val="00AF1E50"/>
    <w:rsid w:val="00AF1E5E"/>
    <w:rsid w:val="00AF1F86"/>
    <w:rsid w:val="00AF2111"/>
    <w:rsid w:val="00AF218B"/>
    <w:rsid w:val="00AF220E"/>
    <w:rsid w:val="00AF224A"/>
    <w:rsid w:val="00AF2401"/>
    <w:rsid w:val="00AF248F"/>
    <w:rsid w:val="00AF25CF"/>
    <w:rsid w:val="00AF26BB"/>
    <w:rsid w:val="00AF26D2"/>
    <w:rsid w:val="00AF26DB"/>
    <w:rsid w:val="00AF2722"/>
    <w:rsid w:val="00AF2736"/>
    <w:rsid w:val="00AF2861"/>
    <w:rsid w:val="00AF290A"/>
    <w:rsid w:val="00AF29A4"/>
    <w:rsid w:val="00AF2A0B"/>
    <w:rsid w:val="00AF2A5A"/>
    <w:rsid w:val="00AF2B59"/>
    <w:rsid w:val="00AF2B91"/>
    <w:rsid w:val="00AF2BBF"/>
    <w:rsid w:val="00AF2BF5"/>
    <w:rsid w:val="00AF2C98"/>
    <w:rsid w:val="00AF2D71"/>
    <w:rsid w:val="00AF2D7D"/>
    <w:rsid w:val="00AF2EEF"/>
    <w:rsid w:val="00AF2FF6"/>
    <w:rsid w:val="00AF306A"/>
    <w:rsid w:val="00AF307F"/>
    <w:rsid w:val="00AF308F"/>
    <w:rsid w:val="00AF319A"/>
    <w:rsid w:val="00AF3229"/>
    <w:rsid w:val="00AF322E"/>
    <w:rsid w:val="00AF326C"/>
    <w:rsid w:val="00AF3277"/>
    <w:rsid w:val="00AF32C0"/>
    <w:rsid w:val="00AF357A"/>
    <w:rsid w:val="00AF35F6"/>
    <w:rsid w:val="00AF36EC"/>
    <w:rsid w:val="00AF377B"/>
    <w:rsid w:val="00AF3858"/>
    <w:rsid w:val="00AF3898"/>
    <w:rsid w:val="00AF38BB"/>
    <w:rsid w:val="00AF38CB"/>
    <w:rsid w:val="00AF3A34"/>
    <w:rsid w:val="00AF3AA7"/>
    <w:rsid w:val="00AF3BE5"/>
    <w:rsid w:val="00AF3CCC"/>
    <w:rsid w:val="00AF40CB"/>
    <w:rsid w:val="00AF414D"/>
    <w:rsid w:val="00AF41BD"/>
    <w:rsid w:val="00AF4318"/>
    <w:rsid w:val="00AF432C"/>
    <w:rsid w:val="00AF4393"/>
    <w:rsid w:val="00AF440D"/>
    <w:rsid w:val="00AF44A0"/>
    <w:rsid w:val="00AF4626"/>
    <w:rsid w:val="00AF4688"/>
    <w:rsid w:val="00AF4744"/>
    <w:rsid w:val="00AF4746"/>
    <w:rsid w:val="00AF47AA"/>
    <w:rsid w:val="00AF47E0"/>
    <w:rsid w:val="00AF488A"/>
    <w:rsid w:val="00AF49AA"/>
    <w:rsid w:val="00AF4AA5"/>
    <w:rsid w:val="00AF4B11"/>
    <w:rsid w:val="00AF4B5A"/>
    <w:rsid w:val="00AF4BCD"/>
    <w:rsid w:val="00AF4C14"/>
    <w:rsid w:val="00AF4D04"/>
    <w:rsid w:val="00AF4EAE"/>
    <w:rsid w:val="00AF4F30"/>
    <w:rsid w:val="00AF4F86"/>
    <w:rsid w:val="00AF4F9E"/>
    <w:rsid w:val="00AF50C0"/>
    <w:rsid w:val="00AF50ED"/>
    <w:rsid w:val="00AF52BB"/>
    <w:rsid w:val="00AF52CF"/>
    <w:rsid w:val="00AF5382"/>
    <w:rsid w:val="00AF548F"/>
    <w:rsid w:val="00AF5667"/>
    <w:rsid w:val="00AF57FF"/>
    <w:rsid w:val="00AF5822"/>
    <w:rsid w:val="00AF5910"/>
    <w:rsid w:val="00AF5B34"/>
    <w:rsid w:val="00AF5B66"/>
    <w:rsid w:val="00AF5C6E"/>
    <w:rsid w:val="00AF5C78"/>
    <w:rsid w:val="00AF5D7F"/>
    <w:rsid w:val="00AF5D8C"/>
    <w:rsid w:val="00AF5F1B"/>
    <w:rsid w:val="00AF605F"/>
    <w:rsid w:val="00AF6200"/>
    <w:rsid w:val="00AF63B1"/>
    <w:rsid w:val="00AF63B6"/>
    <w:rsid w:val="00AF6417"/>
    <w:rsid w:val="00AF641C"/>
    <w:rsid w:val="00AF647C"/>
    <w:rsid w:val="00AF6698"/>
    <w:rsid w:val="00AF67E6"/>
    <w:rsid w:val="00AF686E"/>
    <w:rsid w:val="00AF6878"/>
    <w:rsid w:val="00AF68E7"/>
    <w:rsid w:val="00AF6A4E"/>
    <w:rsid w:val="00AF6B10"/>
    <w:rsid w:val="00AF6DD6"/>
    <w:rsid w:val="00AF6F7D"/>
    <w:rsid w:val="00AF71EA"/>
    <w:rsid w:val="00AF722B"/>
    <w:rsid w:val="00AF7289"/>
    <w:rsid w:val="00AF72F1"/>
    <w:rsid w:val="00AF73E4"/>
    <w:rsid w:val="00AF7447"/>
    <w:rsid w:val="00AF7474"/>
    <w:rsid w:val="00AF7476"/>
    <w:rsid w:val="00AF75B6"/>
    <w:rsid w:val="00AF765A"/>
    <w:rsid w:val="00AF7692"/>
    <w:rsid w:val="00AF7776"/>
    <w:rsid w:val="00AF7839"/>
    <w:rsid w:val="00AF7946"/>
    <w:rsid w:val="00AF7ADE"/>
    <w:rsid w:val="00AF7B5D"/>
    <w:rsid w:val="00AF7C32"/>
    <w:rsid w:val="00AF7CE9"/>
    <w:rsid w:val="00AF7D38"/>
    <w:rsid w:val="00AF7E65"/>
    <w:rsid w:val="00AF7F33"/>
    <w:rsid w:val="00AF7F7E"/>
    <w:rsid w:val="00B00030"/>
    <w:rsid w:val="00B00088"/>
    <w:rsid w:val="00B000D9"/>
    <w:rsid w:val="00B000E2"/>
    <w:rsid w:val="00B000E7"/>
    <w:rsid w:val="00B0011B"/>
    <w:rsid w:val="00B00403"/>
    <w:rsid w:val="00B0047E"/>
    <w:rsid w:val="00B00498"/>
    <w:rsid w:val="00B0053E"/>
    <w:rsid w:val="00B0053F"/>
    <w:rsid w:val="00B005A9"/>
    <w:rsid w:val="00B005F4"/>
    <w:rsid w:val="00B00975"/>
    <w:rsid w:val="00B00986"/>
    <w:rsid w:val="00B009D7"/>
    <w:rsid w:val="00B00A31"/>
    <w:rsid w:val="00B00A4E"/>
    <w:rsid w:val="00B00A52"/>
    <w:rsid w:val="00B00BC9"/>
    <w:rsid w:val="00B00BDC"/>
    <w:rsid w:val="00B00CC5"/>
    <w:rsid w:val="00B00CEF"/>
    <w:rsid w:val="00B00E10"/>
    <w:rsid w:val="00B01108"/>
    <w:rsid w:val="00B01117"/>
    <w:rsid w:val="00B01206"/>
    <w:rsid w:val="00B0138D"/>
    <w:rsid w:val="00B01434"/>
    <w:rsid w:val="00B01442"/>
    <w:rsid w:val="00B01494"/>
    <w:rsid w:val="00B014FA"/>
    <w:rsid w:val="00B01503"/>
    <w:rsid w:val="00B01522"/>
    <w:rsid w:val="00B015CD"/>
    <w:rsid w:val="00B016A8"/>
    <w:rsid w:val="00B01752"/>
    <w:rsid w:val="00B017C4"/>
    <w:rsid w:val="00B01824"/>
    <w:rsid w:val="00B01832"/>
    <w:rsid w:val="00B018E3"/>
    <w:rsid w:val="00B01B3A"/>
    <w:rsid w:val="00B01B69"/>
    <w:rsid w:val="00B01B85"/>
    <w:rsid w:val="00B01B90"/>
    <w:rsid w:val="00B01E80"/>
    <w:rsid w:val="00B01EC4"/>
    <w:rsid w:val="00B01F22"/>
    <w:rsid w:val="00B01FC7"/>
    <w:rsid w:val="00B0207D"/>
    <w:rsid w:val="00B02127"/>
    <w:rsid w:val="00B02265"/>
    <w:rsid w:val="00B02340"/>
    <w:rsid w:val="00B02362"/>
    <w:rsid w:val="00B023C7"/>
    <w:rsid w:val="00B023F9"/>
    <w:rsid w:val="00B02594"/>
    <w:rsid w:val="00B02664"/>
    <w:rsid w:val="00B02700"/>
    <w:rsid w:val="00B0287E"/>
    <w:rsid w:val="00B0291B"/>
    <w:rsid w:val="00B029F4"/>
    <w:rsid w:val="00B02B15"/>
    <w:rsid w:val="00B02B25"/>
    <w:rsid w:val="00B02B49"/>
    <w:rsid w:val="00B02BAA"/>
    <w:rsid w:val="00B02CE4"/>
    <w:rsid w:val="00B02E60"/>
    <w:rsid w:val="00B0301B"/>
    <w:rsid w:val="00B031E8"/>
    <w:rsid w:val="00B03286"/>
    <w:rsid w:val="00B032C4"/>
    <w:rsid w:val="00B033E1"/>
    <w:rsid w:val="00B033FE"/>
    <w:rsid w:val="00B03438"/>
    <w:rsid w:val="00B0349C"/>
    <w:rsid w:val="00B034E4"/>
    <w:rsid w:val="00B034FF"/>
    <w:rsid w:val="00B03521"/>
    <w:rsid w:val="00B035CB"/>
    <w:rsid w:val="00B03A5D"/>
    <w:rsid w:val="00B03AC3"/>
    <w:rsid w:val="00B03AE8"/>
    <w:rsid w:val="00B041CB"/>
    <w:rsid w:val="00B041E8"/>
    <w:rsid w:val="00B0427D"/>
    <w:rsid w:val="00B0430D"/>
    <w:rsid w:val="00B0438D"/>
    <w:rsid w:val="00B04465"/>
    <w:rsid w:val="00B04473"/>
    <w:rsid w:val="00B04476"/>
    <w:rsid w:val="00B04483"/>
    <w:rsid w:val="00B04621"/>
    <w:rsid w:val="00B04685"/>
    <w:rsid w:val="00B047D8"/>
    <w:rsid w:val="00B04874"/>
    <w:rsid w:val="00B04880"/>
    <w:rsid w:val="00B04904"/>
    <w:rsid w:val="00B04A31"/>
    <w:rsid w:val="00B04AAE"/>
    <w:rsid w:val="00B04BD3"/>
    <w:rsid w:val="00B04C8A"/>
    <w:rsid w:val="00B04D04"/>
    <w:rsid w:val="00B04D6C"/>
    <w:rsid w:val="00B04D8C"/>
    <w:rsid w:val="00B04DD5"/>
    <w:rsid w:val="00B04DF3"/>
    <w:rsid w:val="00B04F7C"/>
    <w:rsid w:val="00B0515E"/>
    <w:rsid w:val="00B051C4"/>
    <w:rsid w:val="00B05235"/>
    <w:rsid w:val="00B05277"/>
    <w:rsid w:val="00B052FC"/>
    <w:rsid w:val="00B0532E"/>
    <w:rsid w:val="00B05338"/>
    <w:rsid w:val="00B053F8"/>
    <w:rsid w:val="00B0544D"/>
    <w:rsid w:val="00B0555C"/>
    <w:rsid w:val="00B05592"/>
    <w:rsid w:val="00B05616"/>
    <w:rsid w:val="00B0567A"/>
    <w:rsid w:val="00B057F9"/>
    <w:rsid w:val="00B05862"/>
    <w:rsid w:val="00B0586C"/>
    <w:rsid w:val="00B05886"/>
    <w:rsid w:val="00B0588F"/>
    <w:rsid w:val="00B058DE"/>
    <w:rsid w:val="00B05A87"/>
    <w:rsid w:val="00B05AD6"/>
    <w:rsid w:val="00B05B52"/>
    <w:rsid w:val="00B05B63"/>
    <w:rsid w:val="00B05C43"/>
    <w:rsid w:val="00B05D0F"/>
    <w:rsid w:val="00B05D6A"/>
    <w:rsid w:val="00B05DC8"/>
    <w:rsid w:val="00B0605D"/>
    <w:rsid w:val="00B0620A"/>
    <w:rsid w:val="00B06374"/>
    <w:rsid w:val="00B0643E"/>
    <w:rsid w:val="00B06474"/>
    <w:rsid w:val="00B06506"/>
    <w:rsid w:val="00B065A8"/>
    <w:rsid w:val="00B067E4"/>
    <w:rsid w:val="00B067F5"/>
    <w:rsid w:val="00B068AB"/>
    <w:rsid w:val="00B068D3"/>
    <w:rsid w:val="00B06974"/>
    <w:rsid w:val="00B06A03"/>
    <w:rsid w:val="00B06B1C"/>
    <w:rsid w:val="00B06CE7"/>
    <w:rsid w:val="00B06E4E"/>
    <w:rsid w:val="00B06E79"/>
    <w:rsid w:val="00B06F51"/>
    <w:rsid w:val="00B06FAF"/>
    <w:rsid w:val="00B070A1"/>
    <w:rsid w:val="00B070ED"/>
    <w:rsid w:val="00B071A5"/>
    <w:rsid w:val="00B07282"/>
    <w:rsid w:val="00B07299"/>
    <w:rsid w:val="00B072BE"/>
    <w:rsid w:val="00B072C3"/>
    <w:rsid w:val="00B072DB"/>
    <w:rsid w:val="00B0736F"/>
    <w:rsid w:val="00B073AD"/>
    <w:rsid w:val="00B07411"/>
    <w:rsid w:val="00B0756E"/>
    <w:rsid w:val="00B075D9"/>
    <w:rsid w:val="00B07732"/>
    <w:rsid w:val="00B07791"/>
    <w:rsid w:val="00B07848"/>
    <w:rsid w:val="00B0795F"/>
    <w:rsid w:val="00B07A72"/>
    <w:rsid w:val="00B07AC1"/>
    <w:rsid w:val="00B07AD4"/>
    <w:rsid w:val="00B07AE4"/>
    <w:rsid w:val="00B07B84"/>
    <w:rsid w:val="00B07C0B"/>
    <w:rsid w:val="00B07CEE"/>
    <w:rsid w:val="00B07CFD"/>
    <w:rsid w:val="00B07D11"/>
    <w:rsid w:val="00B07DC5"/>
    <w:rsid w:val="00B07E17"/>
    <w:rsid w:val="00B07EF4"/>
    <w:rsid w:val="00B100B7"/>
    <w:rsid w:val="00B10145"/>
    <w:rsid w:val="00B10176"/>
    <w:rsid w:val="00B101B4"/>
    <w:rsid w:val="00B10279"/>
    <w:rsid w:val="00B10286"/>
    <w:rsid w:val="00B102CF"/>
    <w:rsid w:val="00B102F7"/>
    <w:rsid w:val="00B103E9"/>
    <w:rsid w:val="00B104EA"/>
    <w:rsid w:val="00B10513"/>
    <w:rsid w:val="00B10544"/>
    <w:rsid w:val="00B10591"/>
    <w:rsid w:val="00B105F6"/>
    <w:rsid w:val="00B1060B"/>
    <w:rsid w:val="00B106D8"/>
    <w:rsid w:val="00B10807"/>
    <w:rsid w:val="00B108EA"/>
    <w:rsid w:val="00B109E6"/>
    <w:rsid w:val="00B10A50"/>
    <w:rsid w:val="00B10A84"/>
    <w:rsid w:val="00B10AAA"/>
    <w:rsid w:val="00B10AC9"/>
    <w:rsid w:val="00B10D5A"/>
    <w:rsid w:val="00B10DA8"/>
    <w:rsid w:val="00B10DD4"/>
    <w:rsid w:val="00B10E3E"/>
    <w:rsid w:val="00B10E96"/>
    <w:rsid w:val="00B10EC5"/>
    <w:rsid w:val="00B10EF0"/>
    <w:rsid w:val="00B10FD3"/>
    <w:rsid w:val="00B1109E"/>
    <w:rsid w:val="00B110A5"/>
    <w:rsid w:val="00B110DE"/>
    <w:rsid w:val="00B110E1"/>
    <w:rsid w:val="00B111C4"/>
    <w:rsid w:val="00B11243"/>
    <w:rsid w:val="00B11323"/>
    <w:rsid w:val="00B11350"/>
    <w:rsid w:val="00B11392"/>
    <w:rsid w:val="00B11476"/>
    <w:rsid w:val="00B11496"/>
    <w:rsid w:val="00B114FD"/>
    <w:rsid w:val="00B1158E"/>
    <w:rsid w:val="00B1163E"/>
    <w:rsid w:val="00B11658"/>
    <w:rsid w:val="00B1167D"/>
    <w:rsid w:val="00B11682"/>
    <w:rsid w:val="00B116E6"/>
    <w:rsid w:val="00B117D8"/>
    <w:rsid w:val="00B117DE"/>
    <w:rsid w:val="00B11873"/>
    <w:rsid w:val="00B118C5"/>
    <w:rsid w:val="00B11AFA"/>
    <w:rsid w:val="00B11B2D"/>
    <w:rsid w:val="00B11B6E"/>
    <w:rsid w:val="00B11B84"/>
    <w:rsid w:val="00B11C4D"/>
    <w:rsid w:val="00B11C72"/>
    <w:rsid w:val="00B11D7C"/>
    <w:rsid w:val="00B11E91"/>
    <w:rsid w:val="00B11F8A"/>
    <w:rsid w:val="00B1212C"/>
    <w:rsid w:val="00B1222C"/>
    <w:rsid w:val="00B12242"/>
    <w:rsid w:val="00B1238C"/>
    <w:rsid w:val="00B12452"/>
    <w:rsid w:val="00B12576"/>
    <w:rsid w:val="00B125BB"/>
    <w:rsid w:val="00B126D2"/>
    <w:rsid w:val="00B1272C"/>
    <w:rsid w:val="00B12778"/>
    <w:rsid w:val="00B12A58"/>
    <w:rsid w:val="00B12A96"/>
    <w:rsid w:val="00B12AB5"/>
    <w:rsid w:val="00B12AFA"/>
    <w:rsid w:val="00B12B3D"/>
    <w:rsid w:val="00B12D71"/>
    <w:rsid w:val="00B12DB2"/>
    <w:rsid w:val="00B12E06"/>
    <w:rsid w:val="00B13091"/>
    <w:rsid w:val="00B130AC"/>
    <w:rsid w:val="00B13196"/>
    <w:rsid w:val="00B131E0"/>
    <w:rsid w:val="00B13294"/>
    <w:rsid w:val="00B133A2"/>
    <w:rsid w:val="00B133B1"/>
    <w:rsid w:val="00B134E3"/>
    <w:rsid w:val="00B13658"/>
    <w:rsid w:val="00B13684"/>
    <w:rsid w:val="00B136F9"/>
    <w:rsid w:val="00B13768"/>
    <w:rsid w:val="00B13779"/>
    <w:rsid w:val="00B137D9"/>
    <w:rsid w:val="00B137E7"/>
    <w:rsid w:val="00B1392F"/>
    <w:rsid w:val="00B13A0D"/>
    <w:rsid w:val="00B13A2A"/>
    <w:rsid w:val="00B13A2D"/>
    <w:rsid w:val="00B13AA8"/>
    <w:rsid w:val="00B13ADF"/>
    <w:rsid w:val="00B13AF9"/>
    <w:rsid w:val="00B13B86"/>
    <w:rsid w:val="00B13BE6"/>
    <w:rsid w:val="00B13BF6"/>
    <w:rsid w:val="00B13CF9"/>
    <w:rsid w:val="00B13E7C"/>
    <w:rsid w:val="00B14090"/>
    <w:rsid w:val="00B14092"/>
    <w:rsid w:val="00B140D7"/>
    <w:rsid w:val="00B14142"/>
    <w:rsid w:val="00B1416B"/>
    <w:rsid w:val="00B14222"/>
    <w:rsid w:val="00B143D4"/>
    <w:rsid w:val="00B147ED"/>
    <w:rsid w:val="00B147F0"/>
    <w:rsid w:val="00B148D4"/>
    <w:rsid w:val="00B148E6"/>
    <w:rsid w:val="00B14917"/>
    <w:rsid w:val="00B1491C"/>
    <w:rsid w:val="00B14988"/>
    <w:rsid w:val="00B14A45"/>
    <w:rsid w:val="00B14A8C"/>
    <w:rsid w:val="00B14AD8"/>
    <w:rsid w:val="00B14B01"/>
    <w:rsid w:val="00B14B57"/>
    <w:rsid w:val="00B14C99"/>
    <w:rsid w:val="00B14D97"/>
    <w:rsid w:val="00B14E5F"/>
    <w:rsid w:val="00B150F2"/>
    <w:rsid w:val="00B15432"/>
    <w:rsid w:val="00B155BA"/>
    <w:rsid w:val="00B15735"/>
    <w:rsid w:val="00B1576E"/>
    <w:rsid w:val="00B158D9"/>
    <w:rsid w:val="00B15A75"/>
    <w:rsid w:val="00B15AD6"/>
    <w:rsid w:val="00B15BC2"/>
    <w:rsid w:val="00B15CD5"/>
    <w:rsid w:val="00B15CD7"/>
    <w:rsid w:val="00B15DA2"/>
    <w:rsid w:val="00B15E04"/>
    <w:rsid w:val="00B15E46"/>
    <w:rsid w:val="00B1605A"/>
    <w:rsid w:val="00B1618C"/>
    <w:rsid w:val="00B16283"/>
    <w:rsid w:val="00B16345"/>
    <w:rsid w:val="00B163A2"/>
    <w:rsid w:val="00B163D0"/>
    <w:rsid w:val="00B16437"/>
    <w:rsid w:val="00B1645A"/>
    <w:rsid w:val="00B164B4"/>
    <w:rsid w:val="00B1651F"/>
    <w:rsid w:val="00B1661A"/>
    <w:rsid w:val="00B167E2"/>
    <w:rsid w:val="00B168DB"/>
    <w:rsid w:val="00B1693E"/>
    <w:rsid w:val="00B16970"/>
    <w:rsid w:val="00B16995"/>
    <w:rsid w:val="00B16996"/>
    <w:rsid w:val="00B169DC"/>
    <w:rsid w:val="00B16A18"/>
    <w:rsid w:val="00B16A8A"/>
    <w:rsid w:val="00B16B8C"/>
    <w:rsid w:val="00B16C93"/>
    <w:rsid w:val="00B16D64"/>
    <w:rsid w:val="00B16DDC"/>
    <w:rsid w:val="00B16F46"/>
    <w:rsid w:val="00B16F4C"/>
    <w:rsid w:val="00B16F51"/>
    <w:rsid w:val="00B16F94"/>
    <w:rsid w:val="00B16F98"/>
    <w:rsid w:val="00B17023"/>
    <w:rsid w:val="00B170A5"/>
    <w:rsid w:val="00B171F6"/>
    <w:rsid w:val="00B172BB"/>
    <w:rsid w:val="00B17322"/>
    <w:rsid w:val="00B174FB"/>
    <w:rsid w:val="00B175A3"/>
    <w:rsid w:val="00B175B1"/>
    <w:rsid w:val="00B1769B"/>
    <w:rsid w:val="00B176D6"/>
    <w:rsid w:val="00B176FD"/>
    <w:rsid w:val="00B17864"/>
    <w:rsid w:val="00B178ED"/>
    <w:rsid w:val="00B1798F"/>
    <w:rsid w:val="00B179D4"/>
    <w:rsid w:val="00B17A1B"/>
    <w:rsid w:val="00B17A46"/>
    <w:rsid w:val="00B17AF9"/>
    <w:rsid w:val="00B17BC6"/>
    <w:rsid w:val="00B17CAB"/>
    <w:rsid w:val="00B17E4F"/>
    <w:rsid w:val="00B17E6F"/>
    <w:rsid w:val="00B17ECB"/>
    <w:rsid w:val="00B17F05"/>
    <w:rsid w:val="00B17F45"/>
    <w:rsid w:val="00B17FC3"/>
    <w:rsid w:val="00B20048"/>
    <w:rsid w:val="00B2026F"/>
    <w:rsid w:val="00B2027E"/>
    <w:rsid w:val="00B20472"/>
    <w:rsid w:val="00B2053F"/>
    <w:rsid w:val="00B20547"/>
    <w:rsid w:val="00B205AF"/>
    <w:rsid w:val="00B205EB"/>
    <w:rsid w:val="00B2068A"/>
    <w:rsid w:val="00B206C9"/>
    <w:rsid w:val="00B20756"/>
    <w:rsid w:val="00B20772"/>
    <w:rsid w:val="00B20A47"/>
    <w:rsid w:val="00B20BB1"/>
    <w:rsid w:val="00B20CA1"/>
    <w:rsid w:val="00B20D18"/>
    <w:rsid w:val="00B20D60"/>
    <w:rsid w:val="00B20D8A"/>
    <w:rsid w:val="00B20DB5"/>
    <w:rsid w:val="00B20DFC"/>
    <w:rsid w:val="00B20E48"/>
    <w:rsid w:val="00B20EB2"/>
    <w:rsid w:val="00B20F23"/>
    <w:rsid w:val="00B20F3D"/>
    <w:rsid w:val="00B20F5B"/>
    <w:rsid w:val="00B2127E"/>
    <w:rsid w:val="00B21331"/>
    <w:rsid w:val="00B21452"/>
    <w:rsid w:val="00B2146A"/>
    <w:rsid w:val="00B21608"/>
    <w:rsid w:val="00B21621"/>
    <w:rsid w:val="00B21721"/>
    <w:rsid w:val="00B2179B"/>
    <w:rsid w:val="00B217B7"/>
    <w:rsid w:val="00B217F5"/>
    <w:rsid w:val="00B21802"/>
    <w:rsid w:val="00B2184E"/>
    <w:rsid w:val="00B219AF"/>
    <w:rsid w:val="00B21A31"/>
    <w:rsid w:val="00B21AD6"/>
    <w:rsid w:val="00B21AF3"/>
    <w:rsid w:val="00B21B3D"/>
    <w:rsid w:val="00B21B65"/>
    <w:rsid w:val="00B21B84"/>
    <w:rsid w:val="00B21BC9"/>
    <w:rsid w:val="00B21BE3"/>
    <w:rsid w:val="00B21CF1"/>
    <w:rsid w:val="00B21E6B"/>
    <w:rsid w:val="00B21EBA"/>
    <w:rsid w:val="00B21FBB"/>
    <w:rsid w:val="00B21FF8"/>
    <w:rsid w:val="00B22085"/>
    <w:rsid w:val="00B22148"/>
    <w:rsid w:val="00B2223C"/>
    <w:rsid w:val="00B22261"/>
    <w:rsid w:val="00B22267"/>
    <w:rsid w:val="00B2228E"/>
    <w:rsid w:val="00B22307"/>
    <w:rsid w:val="00B2238B"/>
    <w:rsid w:val="00B223DB"/>
    <w:rsid w:val="00B2241D"/>
    <w:rsid w:val="00B22470"/>
    <w:rsid w:val="00B224FA"/>
    <w:rsid w:val="00B2259E"/>
    <w:rsid w:val="00B225A1"/>
    <w:rsid w:val="00B2266B"/>
    <w:rsid w:val="00B2267B"/>
    <w:rsid w:val="00B226D5"/>
    <w:rsid w:val="00B22791"/>
    <w:rsid w:val="00B227DB"/>
    <w:rsid w:val="00B22823"/>
    <w:rsid w:val="00B2295A"/>
    <w:rsid w:val="00B22985"/>
    <w:rsid w:val="00B22AE8"/>
    <w:rsid w:val="00B22B45"/>
    <w:rsid w:val="00B22B75"/>
    <w:rsid w:val="00B22D50"/>
    <w:rsid w:val="00B22D58"/>
    <w:rsid w:val="00B22D73"/>
    <w:rsid w:val="00B22DD2"/>
    <w:rsid w:val="00B22DE3"/>
    <w:rsid w:val="00B22E6F"/>
    <w:rsid w:val="00B22F0F"/>
    <w:rsid w:val="00B22FED"/>
    <w:rsid w:val="00B230AE"/>
    <w:rsid w:val="00B2316A"/>
    <w:rsid w:val="00B23192"/>
    <w:rsid w:val="00B232DC"/>
    <w:rsid w:val="00B2335E"/>
    <w:rsid w:val="00B23395"/>
    <w:rsid w:val="00B23513"/>
    <w:rsid w:val="00B237BB"/>
    <w:rsid w:val="00B238E8"/>
    <w:rsid w:val="00B238FF"/>
    <w:rsid w:val="00B23A7D"/>
    <w:rsid w:val="00B23B2D"/>
    <w:rsid w:val="00B23BA3"/>
    <w:rsid w:val="00B23BE2"/>
    <w:rsid w:val="00B23BE6"/>
    <w:rsid w:val="00B23CEF"/>
    <w:rsid w:val="00B23D90"/>
    <w:rsid w:val="00B23DB5"/>
    <w:rsid w:val="00B23F51"/>
    <w:rsid w:val="00B24187"/>
    <w:rsid w:val="00B242A7"/>
    <w:rsid w:val="00B242AA"/>
    <w:rsid w:val="00B242AB"/>
    <w:rsid w:val="00B2432F"/>
    <w:rsid w:val="00B243FB"/>
    <w:rsid w:val="00B2443B"/>
    <w:rsid w:val="00B24464"/>
    <w:rsid w:val="00B24491"/>
    <w:rsid w:val="00B244AA"/>
    <w:rsid w:val="00B24588"/>
    <w:rsid w:val="00B2459F"/>
    <w:rsid w:val="00B245F8"/>
    <w:rsid w:val="00B247D2"/>
    <w:rsid w:val="00B24812"/>
    <w:rsid w:val="00B24864"/>
    <w:rsid w:val="00B249BF"/>
    <w:rsid w:val="00B24A26"/>
    <w:rsid w:val="00B24B13"/>
    <w:rsid w:val="00B24B1E"/>
    <w:rsid w:val="00B24B21"/>
    <w:rsid w:val="00B24B2E"/>
    <w:rsid w:val="00B24B44"/>
    <w:rsid w:val="00B24B45"/>
    <w:rsid w:val="00B24BBD"/>
    <w:rsid w:val="00B24C75"/>
    <w:rsid w:val="00B24D24"/>
    <w:rsid w:val="00B24DAD"/>
    <w:rsid w:val="00B24DDE"/>
    <w:rsid w:val="00B24EDE"/>
    <w:rsid w:val="00B24F0D"/>
    <w:rsid w:val="00B24F39"/>
    <w:rsid w:val="00B24F71"/>
    <w:rsid w:val="00B25258"/>
    <w:rsid w:val="00B2527A"/>
    <w:rsid w:val="00B25293"/>
    <w:rsid w:val="00B2531C"/>
    <w:rsid w:val="00B254D6"/>
    <w:rsid w:val="00B2551B"/>
    <w:rsid w:val="00B25697"/>
    <w:rsid w:val="00B256F9"/>
    <w:rsid w:val="00B25721"/>
    <w:rsid w:val="00B257B1"/>
    <w:rsid w:val="00B257D1"/>
    <w:rsid w:val="00B257E0"/>
    <w:rsid w:val="00B2589B"/>
    <w:rsid w:val="00B2590E"/>
    <w:rsid w:val="00B25A4F"/>
    <w:rsid w:val="00B25B07"/>
    <w:rsid w:val="00B25C70"/>
    <w:rsid w:val="00B25CA5"/>
    <w:rsid w:val="00B25DEA"/>
    <w:rsid w:val="00B25F06"/>
    <w:rsid w:val="00B25FC9"/>
    <w:rsid w:val="00B2617E"/>
    <w:rsid w:val="00B26242"/>
    <w:rsid w:val="00B26420"/>
    <w:rsid w:val="00B26449"/>
    <w:rsid w:val="00B2649D"/>
    <w:rsid w:val="00B2650D"/>
    <w:rsid w:val="00B265B0"/>
    <w:rsid w:val="00B26608"/>
    <w:rsid w:val="00B2662D"/>
    <w:rsid w:val="00B26750"/>
    <w:rsid w:val="00B26780"/>
    <w:rsid w:val="00B268A0"/>
    <w:rsid w:val="00B269A0"/>
    <w:rsid w:val="00B26A00"/>
    <w:rsid w:val="00B26B51"/>
    <w:rsid w:val="00B26BB0"/>
    <w:rsid w:val="00B26BC6"/>
    <w:rsid w:val="00B26BC7"/>
    <w:rsid w:val="00B26C02"/>
    <w:rsid w:val="00B26DFD"/>
    <w:rsid w:val="00B26E96"/>
    <w:rsid w:val="00B26EBF"/>
    <w:rsid w:val="00B26F6E"/>
    <w:rsid w:val="00B27055"/>
    <w:rsid w:val="00B27057"/>
    <w:rsid w:val="00B2705B"/>
    <w:rsid w:val="00B271C7"/>
    <w:rsid w:val="00B27201"/>
    <w:rsid w:val="00B27217"/>
    <w:rsid w:val="00B272E7"/>
    <w:rsid w:val="00B27365"/>
    <w:rsid w:val="00B274A1"/>
    <w:rsid w:val="00B2752B"/>
    <w:rsid w:val="00B27653"/>
    <w:rsid w:val="00B276F2"/>
    <w:rsid w:val="00B27707"/>
    <w:rsid w:val="00B27808"/>
    <w:rsid w:val="00B27896"/>
    <w:rsid w:val="00B27903"/>
    <w:rsid w:val="00B2795B"/>
    <w:rsid w:val="00B27978"/>
    <w:rsid w:val="00B27A34"/>
    <w:rsid w:val="00B27A97"/>
    <w:rsid w:val="00B27BD3"/>
    <w:rsid w:val="00B27C25"/>
    <w:rsid w:val="00B27C33"/>
    <w:rsid w:val="00B27C86"/>
    <w:rsid w:val="00B27CA0"/>
    <w:rsid w:val="00B27D35"/>
    <w:rsid w:val="00B27D98"/>
    <w:rsid w:val="00B27E02"/>
    <w:rsid w:val="00B27E10"/>
    <w:rsid w:val="00B27E34"/>
    <w:rsid w:val="00B30173"/>
    <w:rsid w:val="00B3019B"/>
    <w:rsid w:val="00B301BB"/>
    <w:rsid w:val="00B30268"/>
    <w:rsid w:val="00B3032E"/>
    <w:rsid w:val="00B30426"/>
    <w:rsid w:val="00B30757"/>
    <w:rsid w:val="00B307AA"/>
    <w:rsid w:val="00B3082F"/>
    <w:rsid w:val="00B308D5"/>
    <w:rsid w:val="00B30A68"/>
    <w:rsid w:val="00B30AA2"/>
    <w:rsid w:val="00B30AC6"/>
    <w:rsid w:val="00B30B32"/>
    <w:rsid w:val="00B30BC5"/>
    <w:rsid w:val="00B30C9A"/>
    <w:rsid w:val="00B30E34"/>
    <w:rsid w:val="00B30E6C"/>
    <w:rsid w:val="00B30EA9"/>
    <w:rsid w:val="00B30F47"/>
    <w:rsid w:val="00B30F5E"/>
    <w:rsid w:val="00B30FD8"/>
    <w:rsid w:val="00B31056"/>
    <w:rsid w:val="00B310CC"/>
    <w:rsid w:val="00B311B2"/>
    <w:rsid w:val="00B311C3"/>
    <w:rsid w:val="00B3120D"/>
    <w:rsid w:val="00B31270"/>
    <w:rsid w:val="00B31315"/>
    <w:rsid w:val="00B3132D"/>
    <w:rsid w:val="00B314D7"/>
    <w:rsid w:val="00B315E1"/>
    <w:rsid w:val="00B316D2"/>
    <w:rsid w:val="00B316F7"/>
    <w:rsid w:val="00B317A5"/>
    <w:rsid w:val="00B31808"/>
    <w:rsid w:val="00B31859"/>
    <w:rsid w:val="00B3187F"/>
    <w:rsid w:val="00B3193E"/>
    <w:rsid w:val="00B31961"/>
    <w:rsid w:val="00B31CAC"/>
    <w:rsid w:val="00B31D21"/>
    <w:rsid w:val="00B31DAE"/>
    <w:rsid w:val="00B31E20"/>
    <w:rsid w:val="00B31E67"/>
    <w:rsid w:val="00B31F77"/>
    <w:rsid w:val="00B32061"/>
    <w:rsid w:val="00B320E3"/>
    <w:rsid w:val="00B321C9"/>
    <w:rsid w:val="00B3221E"/>
    <w:rsid w:val="00B3228C"/>
    <w:rsid w:val="00B32295"/>
    <w:rsid w:val="00B32308"/>
    <w:rsid w:val="00B32321"/>
    <w:rsid w:val="00B3241D"/>
    <w:rsid w:val="00B325BC"/>
    <w:rsid w:val="00B326BF"/>
    <w:rsid w:val="00B3280B"/>
    <w:rsid w:val="00B3281A"/>
    <w:rsid w:val="00B32853"/>
    <w:rsid w:val="00B32E4E"/>
    <w:rsid w:val="00B32EF0"/>
    <w:rsid w:val="00B32F87"/>
    <w:rsid w:val="00B32FFC"/>
    <w:rsid w:val="00B33015"/>
    <w:rsid w:val="00B33024"/>
    <w:rsid w:val="00B3315A"/>
    <w:rsid w:val="00B33250"/>
    <w:rsid w:val="00B333C4"/>
    <w:rsid w:val="00B334F3"/>
    <w:rsid w:val="00B335E0"/>
    <w:rsid w:val="00B335EF"/>
    <w:rsid w:val="00B33610"/>
    <w:rsid w:val="00B33632"/>
    <w:rsid w:val="00B33654"/>
    <w:rsid w:val="00B3368A"/>
    <w:rsid w:val="00B336B3"/>
    <w:rsid w:val="00B3398D"/>
    <w:rsid w:val="00B339DB"/>
    <w:rsid w:val="00B33A9A"/>
    <w:rsid w:val="00B33AFC"/>
    <w:rsid w:val="00B33C15"/>
    <w:rsid w:val="00B33CB7"/>
    <w:rsid w:val="00B33D68"/>
    <w:rsid w:val="00B33D72"/>
    <w:rsid w:val="00B33E80"/>
    <w:rsid w:val="00B3400D"/>
    <w:rsid w:val="00B3404B"/>
    <w:rsid w:val="00B340E4"/>
    <w:rsid w:val="00B34138"/>
    <w:rsid w:val="00B3421E"/>
    <w:rsid w:val="00B3428E"/>
    <w:rsid w:val="00B342FB"/>
    <w:rsid w:val="00B34308"/>
    <w:rsid w:val="00B346E9"/>
    <w:rsid w:val="00B34790"/>
    <w:rsid w:val="00B347D3"/>
    <w:rsid w:val="00B349B3"/>
    <w:rsid w:val="00B34AB8"/>
    <w:rsid w:val="00B34B0F"/>
    <w:rsid w:val="00B34DA3"/>
    <w:rsid w:val="00B34FAA"/>
    <w:rsid w:val="00B34FAE"/>
    <w:rsid w:val="00B3504F"/>
    <w:rsid w:val="00B350F3"/>
    <w:rsid w:val="00B3510C"/>
    <w:rsid w:val="00B3511E"/>
    <w:rsid w:val="00B351F2"/>
    <w:rsid w:val="00B351F9"/>
    <w:rsid w:val="00B3521C"/>
    <w:rsid w:val="00B35273"/>
    <w:rsid w:val="00B352A1"/>
    <w:rsid w:val="00B35513"/>
    <w:rsid w:val="00B35538"/>
    <w:rsid w:val="00B35797"/>
    <w:rsid w:val="00B357D5"/>
    <w:rsid w:val="00B357E8"/>
    <w:rsid w:val="00B357F4"/>
    <w:rsid w:val="00B35853"/>
    <w:rsid w:val="00B358FA"/>
    <w:rsid w:val="00B35BE3"/>
    <w:rsid w:val="00B35CD0"/>
    <w:rsid w:val="00B35D14"/>
    <w:rsid w:val="00B35D4C"/>
    <w:rsid w:val="00B35DCA"/>
    <w:rsid w:val="00B35E38"/>
    <w:rsid w:val="00B35F10"/>
    <w:rsid w:val="00B3611C"/>
    <w:rsid w:val="00B3616A"/>
    <w:rsid w:val="00B363DF"/>
    <w:rsid w:val="00B363FC"/>
    <w:rsid w:val="00B364A2"/>
    <w:rsid w:val="00B3655B"/>
    <w:rsid w:val="00B365E7"/>
    <w:rsid w:val="00B367C1"/>
    <w:rsid w:val="00B36819"/>
    <w:rsid w:val="00B3686F"/>
    <w:rsid w:val="00B368F7"/>
    <w:rsid w:val="00B36944"/>
    <w:rsid w:val="00B369CA"/>
    <w:rsid w:val="00B36A17"/>
    <w:rsid w:val="00B36B4C"/>
    <w:rsid w:val="00B36BC5"/>
    <w:rsid w:val="00B36BCB"/>
    <w:rsid w:val="00B36C38"/>
    <w:rsid w:val="00B36C6F"/>
    <w:rsid w:val="00B36D87"/>
    <w:rsid w:val="00B36E33"/>
    <w:rsid w:val="00B36F25"/>
    <w:rsid w:val="00B36FFF"/>
    <w:rsid w:val="00B37009"/>
    <w:rsid w:val="00B3700C"/>
    <w:rsid w:val="00B3708E"/>
    <w:rsid w:val="00B371DB"/>
    <w:rsid w:val="00B3741A"/>
    <w:rsid w:val="00B37455"/>
    <w:rsid w:val="00B3746C"/>
    <w:rsid w:val="00B37474"/>
    <w:rsid w:val="00B374A1"/>
    <w:rsid w:val="00B37521"/>
    <w:rsid w:val="00B375D1"/>
    <w:rsid w:val="00B37673"/>
    <w:rsid w:val="00B376A7"/>
    <w:rsid w:val="00B3780A"/>
    <w:rsid w:val="00B37870"/>
    <w:rsid w:val="00B3789A"/>
    <w:rsid w:val="00B378DD"/>
    <w:rsid w:val="00B37970"/>
    <w:rsid w:val="00B37E38"/>
    <w:rsid w:val="00B37E3F"/>
    <w:rsid w:val="00B37E8E"/>
    <w:rsid w:val="00B400FF"/>
    <w:rsid w:val="00B40172"/>
    <w:rsid w:val="00B40173"/>
    <w:rsid w:val="00B401F7"/>
    <w:rsid w:val="00B403CC"/>
    <w:rsid w:val="00B4041E"/>
    <w:rsid w:val="00B40487"/>
    <w:rsid w:val="00B40678"/>
    <w:rsid w:val="00B406A6"/>
    <w:rsid w:val="00B406D9"/>
    <w:rsid w:val="00B40727"/>
    <w:rsid w:val="00B4072C"/>
    <w:rsid w:val="00B407A2"/>
    <w:rsid w:val="00B4089D"/>
    <w:rsid w:val="00B408AF"/>
    <w:rsid w:val="00B4099D"/>
    <w:rsid w:val="00B409D0"/>
    <w:rsid w:val="00B40A50"/>
    <w:rsid w:val="00B40AC1"/>
    <w:rsid w:val="00B40BFE"/>
    <w:rsid w:val="00B40C87"/>
    <w:rsid w:val="00B40CAC"/>
    <w:rsid w:val="00B40CFF"/>
    <w:rsid w:val="00B40D69"/>
    <w:rsid w:val="00B40DAA"/>
    <w:rsid w:val="00B40DB5"/>
    <w:rsid w:val="00B40F2A"/>
    <w:rsid w:val="00B41038"/>
    <w:rsid w:val="00B41140"/>
    <w:rsid w:val="00B411F8"/>
    <w:rsid w:val="00B41218"/>
    <w:rsid w:val="00B4124F"/>
    <w:rsid w:val="00B4139C"/>
    <w:rsid w:val="00B4145A"/>
    <w:rsid w:val="00B414A1"/>
    <w:rsid w:val="00B414AA"/>
    <w:rsid w:val="00B4155B"/>
    <w:rsid w:val="00B4171D"/>
    <w:rsid w:val="00B4178B"/>
    <w:rsid w:val="00B417F5"/>
    <w:rsid w:val="00B417F7"/>
    <w:rsid w:val="00B41905"/>
    <w:rsid w:val="00B419EF"/>
    <w:rsid w:val="00B41A33"/>
    <w:rsid w:val="00B41D17"/>
    <w:rsid w:val="00B42135"/>
    <w:rsid w:val="00B4229A"/>
    <w:rsid w:val="00B422C2"/>
    <w:rsid w:val="00B42352"/>
    <w:rsid w:val="00B42426"/>
    <w:rsid w:val="00B424FE"/>
    <w:rsid w:val="00B4255C"/>
    <w:rsid w:val="00B4274A"/>
    <w:rsid w:val="00B42829"/>
    <w:rsid w:val="00B4287C"/>
    <w:rsid w:val="00B42881"/>
    <w:rsid w:val="00B428DC"/>
    <w:rsid w:val="00B4294D"/>
    <w:rsid w:val="00B4295A"/>
    <w:rsid w:val="00B42987"/>
    <w:rsid w:val="00B42A0C"/>
    <w:rsid w:val="00B42A36"/>
    <w:rsid w:val="00B42AC4"/>
    <w:rsid w:val="00B42AF8"/>
    <w:rsid w:val="00B42C03"/>
    <w:rsid w:val="00B42C6C"/>
    <w:rsid w:val="00B42C7B"/>
    <w:rsid w:val="00B42CBC"/>
    <w:rsid w:val="00B42D4C"/>
    <w:rsid w:val="00B42D5E"/>
    <w:rsid w:val="00B42DC2"/>
    <w:rsid w:val="00B42E18"/>
    <w:rsid w:val="00B42EA8"/>
    <w:rsid w:val="00B42F5C"/>
    <w:rsid w:val="00B4302C"/>
    <w:rsid w:val="00B431AA"/>
    <w:rsid w:val="00B43222"/>
    <w:rsid w:val="00B4331C"/>
    <w:rsid w:val="00B43343"/>
    <w:rsid w:val="00B433EC"/>
    <w:rsid w:val="00B4341C"/>
    <w:rsid w:val="00B434C1"/>
    <w:rsid w:val="00B434F6"/>
    <w:rsid w:val="00B43699"/>
    <w:rsid w:val="00B4381D"/>
    <w:rsid w:val="00B4385C"/>
    <w:rsid w:val="00B43874"/>
    <w:rsid w:val="00B4389A"/>
    <w:rsid w:val="00B43924"/>
    <w:rsid w:val="00B43976"/>
    <w:rsid w:val="00B439C0"/>
    <w:rsid w:val="00B43A25"/>
    <w:rsid w:val="00B43AA7"/>
    <w:rsid w:val="00B43BE5"/>
    <w:rsid w:val="00B43C9E"/>
    <w:rsid w:val="00B43D05"/>
    <w:rsid w:val="00B43D70"/>
    <w:rsid w:val="00B43D87"/>
    <w:rsid w:val="00B43DFA"/>
    <w:rsid w:val="00B43E9E"/>
    <w:rsid w:val="00B43F5E"/>
    <w:rsid w:val="00B4410E"/>
    <w:rsid w:val="00B4429B"/>
    <w:rsid w:val="00B4446F"/>
    <w:rsid w:val="00B44487"/>
    <w:rsid w:val="00B44493"/>
    <w:rsid w:val="00B44514"/>
    <w:rsid w:val="00B44533"/>
    <w:rsid w:val="00B44542"/>
    <w:rsid w:val="00B4455D"/>
    <w:rsid w:val="00B4456F"/>
    <w:rsid w:val="00B44596"/>
    <w:rsid w:val="00B44667"/>
    <w:rsid w:val="00B4466A"/>
    <w:rsid w:val="00B44673"/>
    <w:rsid w:val="00B446BB"/>
    <w:rsid w:val="00B446EF"/>
    <w:rsid w:val="00B4477D"/>
    <w:rsid w:val="00B447B9"/>
    <w:rsid w:val="00B4480F"/>
    <w:rsid w:val="00B448A5"/>
    <w:rsid w:val="00B44A10"/>
    <w:rsid w:val="00B44A1A"/>
    <w:rsid w:val="00B44A20"/>
    <w:rsid w:val="00B44B50"/>
    <w:rsid w:val="00B44BB5"/>
    <w:rsid w:val="00B44C31"/>
    <w:rsid w:val="00B44E29"/>
    <w:rsid w:val="00B44E94"/>
    <w:rsid w:val="00B44FB1"/>
    <w:rsid w:val="00B45010"/>
    <w:rsid w:val="00B450DB"/>
    <w:rsid w:val="00B45379"/>
    <w:rsid w:val="00B4541F"/>
    <w:rsid w:val="00B454F1"/>
    <w:rsid w:val="00B4551A"/>
    <w:rsid w:val="00B45687"/>
    <w:rsid w:val="00B456B0"/>
    <w:rsid w:val="00B45742"/>
    <w:rsid w:val="00B4574D"/>
    <w:rsid w:val="00B45872"/>
    <w:rsid w:val="00B45889"/>
    <w:rsid w:val="00B45899"/>
    <w:rsid w:val="00B45968"/>
    <w:rsid w:val="00B45ABC"/>
    <w:rsid w:val="00B45ACF"/>
    <w:rsid w:val="00B45C31"/>
    <w:rsid w:val="00B45CC3"/>
    <w:rsid w:val="00B45D82"/>
    <w:rsid w:val="00B45DEA"/>
    <w:rsid w:val="00B45EAD"/>
    <w:rsid w:val="00B45EBC"/>
    <w:rsid w:val="00B4610A"/>
    <w:rsid w:val="00B4611C"/>
    <w:rsid w:val="00B4614E"/>
    <w:rsid w:val="00B46155"/>
    <w:rsid w:val="00B462A2"/>
    <w:rsid w:val="00B462A6"/>
    <w:rsid w:val="00B463B8"/>
    <w:rsid w:val="00B46453"/>
    <w:rsid w:val="00B464FE"/>
    <w:rsid w:val="00B4668A"/>
    <w:rsid w:val="00B4668C"/>
    <w:rsid w:val="00B46812"/>
    <w:rsid w:val="00B46984"/>
    <w:rsid w:val="00B46A3F"/>
    <w:rsid w:val="00B46BFA"/>
    <w:rsid w:val="00B46D12"/>
    <w:rsid w:val="00B46D45"/>
    <w:rsid w:val="00B46DF4"/>
    <w:rsid w:val="00B46E68"/>
    <w:rsid w:val="00B46EB4"/>
    <w:rsid w:val="00B46EDE"/>
    <w:rsid w:val="00B46F09"/>
    <w:rsid w:val="00B46F0E"/>
    <w:rsid w:val="00B46FBB"/>
    <w:rsid w:val="00B46FD1"/>
    <w:rsid w:val="00B4708E"/>
    <w:rsid w:val="00B470B7"/>
    <w:rsid w:val="00B470F0"/>
    <w:rsid w:val="00B47103"/>
    <w:rsid w:val="00B47141"/>
    <w:rsid w:val="00B4714F"/>
    <w:rsid w:val="00B4717F"/>
    <w:rsid w:val="00B47531"/>
    <w:rsid w:val="00B47622"/>
    <w:rsid w:val="00B47707"/>
    <w:rsid w:val="00B4770C"/>
    <w:rsid w:val="00B47776"/>
    <w:rsid w:val="00B4782E"/>
    <w:rsid w:val="00B478F0"/>
    <w:rsid w:val="00B47994"/>
    <w:rsid w:val="00B47A3F"/>
    <w:rsid w:val="00B47B60"/>
    <w:rsid w:val="00B47BD8"/>
    <w:rsid w:val="00B47C78"/>
    <w:rsid w:val="00B47D6D"/>
    <w:rsid w:val="00B47E94"/>
    <w:rsid w:val="00B47F38"/>
    <w:rsid w:val="00B500FA"/>
    <w:rsid w:val="00B501BE"/>
    <w:rsid w:val="00B50302"/>
    <w:rsid w:val="00B50414"/>
    <w:rsid w:val="00B50476"/>
    <w:rsid w:val="00B504AC"/>
    <w:rsid w:val="00B504CA"/>
    <w:rsid w:val="00B50537"/>
    <w:rsid w:val="00B506E5"/>
    <w:rsid w:val="00B506E9"/>
    <w:rsid w:val="00B506EA"/>
    <w:rsid w:val="00B507A6"/>
    <w:rsid w:val="00B507D5"/>
    <w:rsid w:val="00B507F4"/>
    <w:rsid w:val="00B50832"/>
    <w:rsid w:val="00B50980"/>
    <w:rsid w:val="00B50DB4"/>
    <w:rsid w:val="00B50EC2"/>
    <w:rsid w:val="00B51009"/>
    <w:rsid w:val="00B51213"/>
    <w:rsid w:val="00B5121F"/>
    <w:rsid w:val="00B51317"/>
    <w:rsid w:val="00B5133E"/>
    <w:rsid w:val="00B5133F"/>
    <w:rsid w:val="00B5149C"/>
    <w:rsid w:val="00B51502"/>
    <w:rsid w:val="00B516F9"/>
    <w:rsid w:val="00B5180F"/>
    <w:rsid w:val="00B51813"/>
    <w:rsid w:val="00B51977"/>
    <w:rsid w:val="00B519D8"/>
    <w:rsid w:val="00B51A49"/>
    <w:rsid w:val="00B51B87"/>
    <w:rsid w:val="00B51D6C"/>
    <w:rsid w:val="00B51DE6"/>
    <w:rsid w:val="00B51E0D"/>
    <w:rsid w:val="00B5207F"/>
    <w:rsid w:val="00B521C1"/>
    <w:rsid w:val="00B52297"/>
    <w:rsid w:val="00B52299"/>
    <w:rsid w:val="00B52300"/>
    <w:rsid w:val="00B524BB"/>
    <w:rsid w:val="00B5253C"/>
    <w:rsid w:val="00B5253E"/>
    <w:rsid w:val="00B5258A"/>
    <w:rsid w:val="00B52617"/>
    <w:rsid w:val="00B52768"/>
    <w:rsid w:val="00B5285F"/>
    <w:rsid w:val="00B52897"/>
    <w:rsid w:val="00B528A5"/>
    <w:rsid w:val="00B528B2"/>
    <w:rsid w:val="00B52B57"/>
    <w:rsid w:val="00B52D2B"/>
    <w:rsid w:val="00B52F01"/>
    <w:rsid w:val="00B52FD8"/>
    <w:rsid w:val="00B5307E"/>
    <w:rsid w:val="00B5309F"/>
    <w:rsid w:val="00B532AC"/>
    <w:rsid w:val="00B5335E"/>
    <w:rsid w:val="00B5343A"/>
    <w:rsid w:val="00B53470"/>
    <w:rsid w:val="00B5364C"/>
    <w:rsid w:val="00B537D3"/>
    <w:rsid w:val="00B53827"/>
    <w:rsid w:val="00B5383E"/>
    <w:rsid w:val="00B53843"/>
    <w:rsid w:val="00B5388C"/>
    <w:rsid w:val="00B53A5C"/>
    <w:rsid w:val="00B53A6A"/>
    <w:rsid w:val="00B53A8C"/>
    <w:rsid w:val="00B53C1D"/>
    <w:rsid w:val="00B53C40"/>
    <w:rsid w:val="00B53CBA"/>
    <w:rsid w:val="00B53D75"/>
    <w:rsid w:val="00B53D8F"/>
    <w:rsid w:val="00B53E10"/>
    <w:rsid w:val="00B53F3F"/>
    <w:rsid w:val="00B53FAA"/>
    <w:rsid w:val="00B54020"/>
    <w:rsid w:val="00B54063"/>
    <w:rsid w:val="00B540C7"/>
    <w:rsid w:val="00B54131"/>
    <w:rsid w:val="00B541F8"/>
    <w:rsid w:val="00B54351"/>
    <w:rsid w:val="00B5435D"/>
    <w:rsid w:val="00B5435F"/>
    <w:rsid w:val="00B543E1"/>
    <w:rsid w:val="00B54406"/>
    <w:rsid w:val="00B54438"/>
    <w:rsid w:val="00B5454F"/>
    <w:rsid w:val="00B545B1"/>
    <w:rsid w:val="00B5474F"/>
    <w:rsid w:val="00B54915"/>
    <w:rsid w:val="00B54B98"/>
    <w:rsid w:val="00B54C4B"/>
    <w:rsid w:val="00B54CA6"/>
    <w:rsid w:val="00B54EF3"/>
    <w:rsid w:val="00B54F17"/>
    <w:rsid w:val="00B54FCA"/>
    <w:rsid w:val="00B55042"/>
    <w:rsid w:val="00B550F1"/>
    <w:rsid w:val="00B55249"/>
    <w:rsid w:val="00B552A1"/>
    <w:rsid w:val="00B5530C"/>
    <w:rsid w:val="00B5535B"/>
    <w:rsid w:val="00B5542F"/>
    <w:rsid w:val="00B55455"/>
    <w:rsid w:val="00B55456"/>
    <w:rsid w:val="00B554E1"/>
    <w:rsid w:val="00B555E9"/>
    <w:rsid w:val="00B55745"/>
    <w:rsid w:val="00B5577F"/>
    <w:rsid w:val="00B55864"/>
    <w:rsid w:val="00B5588E"/>
    <w:rsid w:val="00B558B1"/>
    <w:rsid w:val="00B55AF8"/>
    <w:rsid w:val="00B55B6F"/>
    <w:rsid w:val="00B55C0E"/>
    <w:rsid w:val="00B55C77"/>
    <w:rsid w:val="00B55C79"/>
    <w:rsid w:val="00B55E5F"/>
    <w:rsid w:val="00B55F00"/>
    <w:rsid w:val="00B55F9C"/>
    <w:rsid w:val="00B56099"/>
    <w:rsid w:val="00B560B6"/>
    <w:rsid w:val="00B56167"/>
    <w:rsid w:val="00B5618E"/>
    <w:rsid w:val="00B56199"/>
    <w:rsid w:val="00B561CF"/>
    <w:rsid w:val="00B5626D"/>
    <w:rsid w:val="00B562DC"/>
    <w:rsid w:val="00B563BE"/>
    <w:rsid w:val="00B563C5"/>
    <w:rsid w:val="00B5641F"/>
    <w:rsid w:val="00B564AB"/>
    <w:rsid w:val="00B564C8"/>
    <w:rsid w:val="00B56551"/>
    <w:rsid w:val="00B5660D"/>
    <w:rsid w:val="00B56781"/>
    <w:rsid w:val="00B567BB"/>
    <w:rsid w:val="00B567DB"/>
    <w:rsid w:val="00B569F1"/>
    <w:rsid w:val="00B569F3"/>
    <w:rsid w:val="00B56BA0"/>
    <w:rsid w:val="00B56C7E"/>
    <w:rsid w:val="00B56CE0"/>
    <w:rsid w:val="00B56CF0"/>
    <w:rsid w:val="00B56D1F"/>
    <w:rsid w:val="00B56D75"/>
    <w:rsid w:val="00B56E11"/>
    <w:rsid w:val="00B56E19"/>
    <w:rsid w:val="00B56E32"/>
    <w:rsid w:val="00B56F94"/>
    <w:rsid w:val="00B57093"/>
    <w:rsid w:val="00B57410"/>
    <w:rsid w:val="00B574D2"/>
    <w:rsid w:val="00B574FD"/>
    <w:rsid w:val="00B577BF"/>
    <w:rsid w:val="00B57A11"/>
    <w:rsid w:val="00B57AC2"/>
    <w:rsid w:val="00B57AC8"/>
    <w:rsid w:val="00B57B52"/>
    <w:rsid w:val="00B57B59"/>
    <w:rsid w:val="00B57C5D"/>
    <w:rsid w:val="00B57D5B"/>
    <w:rsid w:val="00B57DF8"/>
    <w:rsid w:val="00B57E31"/>
    <w:rsid w:val="00B57E3B"/>
    <w:rsid w:val="00B57E90"/>
    <w:rsid w:val="00B57F42"/>
    <w:rsid w:val="00B6018A"/>
    <w:rsid w:val="00B6021C"/>
    <w:rsid w:val="00B60297"/>
    <w:rsid w:val="00B60305"/>
    <w:rsid w:val="00B603D9"/>
    <w:rsid w:val="00B6048B"/>
    <w:rsid w:val="00B60702"/>
    <w:rsid w:val="00B60780"/>
    <w:rsid w:val="00B60897"/>
    <w:rsid w:val="00B608BE"/>
    <w:rsid w:val="00B6092D"/>
    <w:rsid w:val="00B609D1"/>
    <w:rsid w:val="00B60C04"/>
    <w:rsid w:val="00B60E14"/>
    <w:rsid w:val="00B60EA4"/>
    <w:rsid w:val="00B60F52"/>
    <w:rsid w:val="00B6113D"/>
    <w:rsid w:val="00B611B8"/>
    <w:rsid w:val="00B611F2"/>
    <w:rsid w:val="00B61333"/>
    <w:rsid w:val="00B6134A"/>
    <w:rsid w:val="00B61391"/>
    <w:rsid w:val="00B6146E"/>
    <w:rsid w:val="00B615B1"/>
    <w:rsid w:val="00B615D8"/>
    <w:rsid w:val="00B619C2"/>
    <w:rsid w:val="00B619DC"/>
    <w:rsid w:val="00B61B65"/>
    <w:rsid w:val="00B61BC0"/>
    <w:rsid w:val="00B61CD2"/>
    <w:rsid w:val="00B61CEF"/>
    <w:rsid w:val="00B61DA5"/>
    <w:rsid w:val="00B61DF1"/>
    <w:rsid w:val="00B61F22"/>
    <w:rsid w:val="00B61FA4"/>
    <w:rsid w:val="00B62055"/>
    <w:rsid w:val="00B6213D"/>
    <w:rsid w:val="00B6218D"/>
    <w:rsid w:val="00B621BD"/>
    <w:rsid w:val="00B623F1"/>
    <w:rsid w:val="00B624D3"/>
    <w:rsid w:val="00B624D8"/>
    <w:rsid w:val="00B62588"/>
    <w:rsid w:val="00B6263C"/>
    <w:rsid w:val="00B626CB"/>
    <w:rsid w:val="00B6270E"/>
    <w:rsid w:val="00B6283E"/>
    <w:rsid w:val="00B628E8"/>
    <w:rsid w:val="00B62900"/>
    <w:rsid w:val="00B62945"/>
    <w:rsid w:val="00B629AD"/>
    <w:rsid w:val="00B62A3E"/>
    <w:rsid w:val="00B62A8C"/>
    <w:rsid w:val="00B62AAC"/>
    <w:rsid w:val="00B62BB1"/>
    <w:rsid w:val="00B62BD0"/>
    <w:rsid w:val="00B62CA3"/>
    <w:rsid w:val="00B62D20"/>
    <w:rsid w:val="00B62D32"/>
    <w:rsid w:val="00B62DC1"/>
    <w:rsid w:val="00B62E56"/>
    <w:rsid w:val="00B62ED5"/>
    <w:rsid w:val="00B62F64"/>
    <w:rsid w:val="00B62FBB"/>
    <w:rsid w:val="00B630B4"/>
    <w:rsid w:val="00B6321B"/>
    <w:rsid w:val="00B6338D"/>
    <w:rsid w:val="00B634F2"/>
    <w:rsid w:val="00B6355C"/>
    <w:rsid w:val="00B6369D"/>
    <w:rsid w:val="00B6389D"/>
    <w:rsid w:val="00B638D0"/>
    <w:rsid w:val="00B6391A"/>
    <w:rsid w:val="00B63962"/>
    <w:rsid w:val="00B63A51"/>
    <w:rsid w:val="00B63BF9"/>
    <w:rsid w:val="00B63D36"/>
    <w:rsid w:val="00B63D5E"/>
    <w:rsid w:val="00B63DF7"/>
    <w:rsid w:val="00B63DF8"/>
    <w:rsid w:val="00B63E06"/>
    <w:rsid w:val="00B63E10"/>
    <w:rsid w:val="00B63E49"/>
    <w:rsid w:val="00B64000"/>
    <w:rsid w:val="00B64063"/>
    <w:rsid w:val="00B640CF"/>
    <w:rsid w:val="00B641B2"/>
    <w:rsid w:val="00B642DD"/>
    <w:rsid w:val="00B64309"/>
    <w:rsid w:val="00B644EC"/>
    <w:rsid w:val="00B64699"/>
    <w:rsid w:val="00B64721"/>
    <w:rsid w:val="00B64795"/>
    <w:rsid w:val="00B649DF"/>
    <w:rsid w:val="00B64A45"/>
    <w:rsid w:val="00B64A70"/>
    <w:rsid w:val="00B64BDC"/>
    <w:rsid w:val="00B64CE9"/>
    <w:rsid w:val="00B64D6D"/>
    <w:rsid w:val="00B64D92"/>
    <w:rsid w:val="00B64D9A"/>
    <w:rsid w:val="00B64DFB"/>
    <w:rsid w:val="00B64E72"/>
    <w:rsid w:val="00B64EA4"/>
    <w:rsid w:val="00B64F42"/>
    <w:rsid w:val="00B64F4E"/>
    <w:rsid w:val="00B650C7"/>
    <w:rsid w:val="00B6519A"/>
    <w:rsid w:val="00B6535E"/>
    <w:rsid w:val="00B653A7"/>
    <w:rsid w:val="00B6545C"/>
    <w:rsid w:val="00B6547F"/>
    <w:rsid w:val="00B65600"/>
    <w:rsid w:val="00B65662"/>
    <w:rsid w:val="00B65690"/>
    <w:rsid w:val="00B656A5"/>
    <w:rsid w:val="00B658CD"/>
    <w:rsid w:val="00B659BC"/>
    <w:rsid w:val="00B659D9"/>
    <w:rsid w:val="00B65B1E"/>
    <w:rsid w:val="00B65BF7"/>
    <w:rsid w:val="00B65D96"/>
    <w:rsid w:val="00B65DB5"/>
    <w:rsid w:val="00B65E0D"/>
    <w:rsid w:val="00B6610D"/>
    <w:rsid w:val="00B661BF"/>
    <w:rsid w:val="00B66263"/>
    <w:rsid w:val="00B6627D"/>
    <w:rsid w:val="00B662B9"/>
    <w:rsid w:val="00B66478"/>
    <w:rsid w:val="00B664CF"/>
    <w:rsid w:val="00B664FD"/>
    <w:rsid w:val="00B66516"/>
    <w:rsid w:val="00B666C5"/>
    <w:rsid w:val="00B66724"/>
    <w:rsid w:val="00B66839"/>
    <w:rsid w:val="00B66862"/>
    <w:rsid w:val="00B66873"/>
    <w:rsid w:val="00B668A1"/>
    <w:rsid w:val="00B66B3E"/>
    <w:rsid w:val="00B66B8E"/>
    <w:rsid w:val="00B66D59"/>
    <w:rsid w:val="00B6702A"/>
    <w:rsid w:val="00B670CA"/>
    <w:rsid w:val="00B6718A"/>
    <w:rsid w:val="00B671EF"/>
    <w:rsid w:val="00B67264"/>
    <w:rsid w:val="00B672E7"/>
    <w:rsid w:val="00B6742E"/>
    <w:rsid w:val="00B6743B"/>
    <w:rsid w:val="00B674A4"/>
    <w:rsid w:val="00B674B6"/>
    <w:rsid w:val="00B67526"/>
    <w:rsid w:val="00B675F6"/>
    <w:rsid w:val="00B6765D"/>
    <w:rsid w:val="00B67851"/>
    <w:rsid w:val="00B67955"/>
    <w:rsid w:val="00B6797E"/>
    <w:rsid w:val="00B67999"/>
    <w:rsid w:val="00B679CF"/>
    <w:rsid w:val="00B67BB6"/>
    <w:rsid w:val="00B67C89"/>
    <w:rsid w:val="00B67CB8"/>
    <w:rsid w:val="00B67E93"/>
    <w:rsid w:val="00B7003E"/>
    <w:rsid w:val="00B700AA"/>
    <w:rsid w:val="00B70163"/>
    <w:rsid w:val="00B7017D"/>
    <w:rsid w:val="00B701A0"/>
    <w:rsid w:val="00B70243"/>
    <w:rsid w:val="00B70266"/>
    <w:rsid w:val="00B70424"/>
    <w:rsid w:val="00B70426"/>
    <w:rsid w:val="00B70428"/>
    <w:rsid w:val="00B70484"/>
    <w:rsid w:val="00B70514"/>
    <w:rsid w:val="00B707FA"/>
    <w:rsid w:val="00B7081A"/>
    <w:rsid w:val="00B7093C"/>
    <w:rsid w:val="00B70948"/>
    <w:rsid w:val="00B70959"/>
    <w:rsid w:val="00B70982"/>
    <w:rsid w:val="00B709C4"/>
    <w:rsid w:val="00B709EB"/>
    <w:rsid w:val="00B70A6D"/>
    <w:rsid w:val="00B70A6E"/>
    <w:rsid w:val="00B70B95"/>
    <w:rsid w:val="00B70CD5"/>
    <w:rsid w:val="00B70DA4"/>
    <w:rsid w:val="00B70E56"/>
    <w:rsid w:val="00B70EE3"/>
    <w:rsid w:val="00B70EF8"/>
    <w:rsid w:val="00B70F89"/>
    <w:rsid w:val="00B710C0"/>
    <w:rsid w:val="00B710C3"/>
    <w:rsid w:val="00B71157"/>
    <w:rsid w:val="00B71290"/>
    <w:rsid w:val="00B715FD"/>
    <w:rsid w:val="00B716B4"/>
    <w:rsid w:val="00B716B7"/>
    <w:rsid w:val="00B718E7"/>
    <w:rsid w:val="00B71A4F"/>
    <w:rsid w:val="00B71B12"/>
    <w:rsid w:val="00B71C9D"/>
    <w:rsid w:val="00B71D7F"/>
    <w:rsid w:val="00B71EDA"/>
    <w:rsid w:val="00B71F0C"/>
    <w:rsid w:val="00B71F8C"/>
    <w:rsid w:val="00B71FC9"/>
    <w:rsid w:val="00B71FF4"/>
    <w:rsid w:val="00B7201D"/>
    <w:rsid w:val="00B7209D"/>
    <w:rsid w:val="00B720F5"/>
    <w:rsid w:val="00B72266"/>
    <w:rsid w:val="00B723A9"/>
    <w:rsid w:val="00B723FA"/>
    <w:rsid w:val="00B7240C"/>
    <w:rsid w:val="00B724D9"/>
    <w:rsid w:val="00B72570"/>
    <w:rsid w:val="00B72594"/>
    <w:rsid w:val="00B726AE"/>
    <w:rsid w:val="00B7275B"/>
    <w:rsid w:val="00B7276B"/>
    <w:rsid w:val="00B727DA"/>
    <w:rsid w:val="00B7281D"/>
    <w:rsid w:val="00B72893"/>
    <w:rsid w:val="00B72937"/>
    <w:rsid w:val="00B72A62"/>
    <w:rsid w:val="00B72A75"/>
    <w:rsid w:val="00B72AE2"/>
    <w:rsid w:val="00B72AEA"/>
    <w:rsid w:val="00B72B76"/>
    <w:rsid w:val="00B72BA1"/>
    <w:rsid w:val="00B72C7D"/>
    <w:rsid w:val="00B72D9D"/>
    <w:rsid w:val="00B72E2A"/>
    <w:rsid w:val="00B72EB1"/>
    <w:rsid w:val="00B72F37"/>
    <w:rsid w:val="00B72FEE"/>
    <w:rsid w:val="00B73123"/>
    <w:rsid w:val="00B73139"/>
    <w:rsid w:val="00B732C2"/>
    <w:rsid w:val="00B732E1"/>
    <w:rsid w:val="00B73477"/>
    <w:rsid w:val="00B7349B"/>
    <w:rsid w:val="00B7349D"/>
    <w:rsid w:val="00B734F4"/>
    <w:rsid w:val="00B7351D"/>
    <w:rsid w:val="00B73742"/>
    <w:rsid w:val="00B7388E"/>
    <w:rsid w:val="00B7393A"/>
    <w:rsid w:val="00B73B1C"/>
    <w:rsid w:val="00B73B35"/>
    <w:rsid w:val="00B73BC4"/>
    <w:rsid w:val="00B73C83"/>
    <w:rsid w:val="00B73CEE"/>
    <w:rsid w:val="00B73E42"/>
    <w:rsid w:val="00B73F0D"/>
    <w:rsid w:val="00B73F3B"/>
    <w:rsid w:val="00B73F8A"/>
    <w:rsid w:val="00B74056"/>
    <w:rsid w:val="00B74420"/>
    <w:rsid w:val="00B744CF"/>
    <w:rsid w:val="00B74524"/>
    <w:rsid w:val="00B74544"/>
    <w:rsid w:val="00B745AE"/>
    <w:rsid w:val="00B74608"/>
    <w:rsid w:val="00B74635"/>
    <w:rsid w:val="00B746FE"/>
    <w:rsid w:val="00B74700"/>
    <w:rsid w:val="00B7480F"/>
    <w:rsid w:val="00B74913"/>
    <w:rsid w:val="00B74A20"/>
    <w:rsid w:val="00B74A67"/>
    <w:rsid w:val="00B74D3B"/>
    <w:rsid w:val="00B74E0B"/>
    <w:rsid w:val="00B74E47"/>
    <w:rsid w:val="00B74EDC"/>
    <w:rsid w:val="00B74F8E"/>
    <w:rsid w:val="00B74FAA"/>
    <w:rsid w:val="00B75064"/>
    <w:rsid w:val="00B75225"/>
    <w:rsid w:val="00B75319"/>
    <w:rsid w:val="00B755B3"/>
    <w:rsid w:val="00B756B3"/>
    <w:rsid w:val="00B756FE"/>
    <w:rsid w:val="00B757AC"/>
    <w:rsid w:val="00B7590D"/>
    <w:rsid w:val="00B75936"/>
    <w:rsid w:val="00B75A19"/>
    <w:rsid w:val="00B75ADA"/>
    <w:rsid w:val="00B75D32"/>
    <w:rsid w:val="00B75D54"/>
    <w:rsid w:val="00B75DD6"/>
    <w:rsid w:val="00B75EEB"/>
    <w:rsid w:val="00B75EFA"/>
    <w:rsid w:val="00B75EFD"/>
    <w:rsid w:val="00B7608F"/>
    <w:rsid w:val="00B760A9"/>
    <w:rsid w:val="00B76104"/>
    <w:rsid w:val="00B7614D"/>
    <w:rsid w:val="00B761FA"/>
    <w:rsid w:val="00B767E7"/>
    <w:rsid w:val="00B768E3"/>
    <w:rsid w:val="00B7698C"/>
    <w:rsid w:val="00B76A02"/>
    <w:rsid w:val="00B76AF7"/>
    <w:rsid w:val="00B76C9A"/>
    <w:rsid w:val="00B76DB2"/>
    <w:rsid w:val="00B76E16"/>
    <w:rsid w:val="00B76F56"/>
    <w:rsid w:val="00B7709C"/>
    <w:rsid w:val="00B77397"/>
    <w:rsid w:val="00B7739B"/>
    <w:rsid w:val="00B773CA"/>
    <w:rsid w:val="00B7744A"/>
    <w:rsid w:val="00B774F4"/>
    <w:rsid w:val="00B7755B"/>
    <w:rsid w:val="00B77566"/>
    <w:rsid w:val="00B775E7"/>
    <w:rsid w:val="00B7767A"/>
    <w:rsid w:val="00B777A4"/>
    <w:rsid w:val="00B77803"/>
    <w:rsid w:val="00B77873"/>
    <w:rsid w:val="00B778F3"/>
    <w:rsid w:val="00B779EA"/>
    <w:rsid w:val="00B77B1F"/>
    <w:rsid w:val="00B77C55"/>
    <w:rsid w:val="00B77CE4"/>
    <w:rsid w:val="00B77D67"/>
    <w:rsid w:val="00B77D77"/>
    <w:rsid w:val="00B77E5F"/>
    <w:rsid w:val="00B77EC5"/>
    <w:rsid w:val="00B80012"/>
    <w:rsid w:val="00B80117"/>
    <w:rsid w:val="00B8019B"/>
    <w:rsid w:val="00B801AE"/>
    <w:rsid w:val="00B801D4"/>
    <w:rsid w:val="00B80222"/>
    <w:rsid w:val="00B80324"/>
    <w:rsid w:val="00B8037B"/>
    <w:rsid w:val="00B804C4"/>
    <w:rsid w:val="00B804CE"/>
    <w:rsid w:val="00B80625"/>
    <w:rsid w:val="00B80647"/>
    <w:rsid w:val="00B8070E"/>
    <w:rsid w:val="00B8076B"/>
    <w:rsid w:val="00B80899"/>
    <w:rsid w:val="00B808ED"/>
    <w:rsid w:val="00B808FC"/>
    <w:rsid w:val="00B809A6"/>
    <w:rsid w:val="00B80B21"/>
    <w:rsid w:val="00B80B5F"/>
    <w:rsid w:val="00B80C1F"/>
    <w:rsid w:val="00B80CDE"/>
    <w:rsid w:val="00B80DF0"/>
    <w:rsid w:val="00B80E0F"/>
    <w:rsid w:val="00B80FE0"/>
    <w:rsid w:val="00B81000"/>
    <w:rsid w:val="00B81032"/>
    <w:rsid w:val="00B8106E"/>
    <w:rsid w:val="00B8109C"/>
    <w:rsid w:val="00B810CC"/>
    <w:rsid w:val="00B811A9"/>
    <w:rsid w:val="00B81258"/>
    <w:rsid w:val="00B812BE"/>
    <w:rsid w:val="00B81400"/>
    <w:rsid w:val="00B81630"/>
    <w:rsid w:val="00B8185E"/>
    <w:rsid w:val="00B819C6"/>
    <w:rsid w:val="00B81B08"/>
    <w:rsid w:val="00B81B55"/>
    <w:rsid w:val="00B81B8F"/>
    <w:rsid w:val="00B81BFC"/>
    <w:rsid w:val="00B81C7B"/>
    <w:rsid w:val="00B81D91"/>
    <w:rsid w:val="00B81E16"/>
    <w:rsid w:val="00B81EC1"/>
    <w:rsid w:val="00B81FD3"/>
    <w:rsid w:val="00B81FEC"/>
    <w:rsid w:val="00B81FF1"/>
    <w:rsid w:val="00B8207D"/>
    <w:rsid w:val="00B82399"/>
    <w:rsid w:val="00B82432"/>
    <w:rsid w:val="00B82508"/>
    <w:rsid w:val="00B82534"/>
    <w:rsid w:val="00B8270D"/>
    <w:rsid w:val="00B828EE"/>
    <w:rsid w:val="00B8295E"/>
    <w:rsid w:val="00B829EF"/>
    <w:rsid w:val="00B829FA"/>
    <w:rsid w:val="00B82A7D"/>
    <w:rsid w:val="00B82AF6"/>
    <w:rsid w:val="00B82B14"/>
    <w:rsid w:val="00B82E37"/>
    <w:rsid w:val="00B82E50"/>
    <w:rsid w:val="00B82E54"/>
    <w:rsid w:val="00B82F3D"/>
    <w:rsid w:val="00B82FB8"/>
    <w:rsid w:val="00B82FBA"/>
    <w:rsid w:val="00B82FC2"/>
    <w:rsid w:val="00B82FE4"/>
    <w:rsid w:val="00B83097"/>
    <w:rsid w:val="00B8315C"/>
    <w:rsid w:val="00B83177"/>
    <w:rsid w:val="00B831B3"/>
    <w:rsid w:val="00B8323B"/>
    <w:rsid w:val="00B832CE"/>
    <w:rsid w:val="00B832FF"/>
    <w:rsid w:val="00B83331"/>
    <w:rsid w:val="00B8341D"/>
    <w:rsid w:val="00B83499"/>
    <w:rsid w:val="00B8366B"/>
    <w:rsid w:val="00B83718"/>
    <w:rsid w:val="00B83760"/>
    <w:rsid w:val="00B83765"/>
    <w:rsid w:val="00B83943"/>
    <w:rsid w:val="00B8394E"/>
    <w:rsid w:val="00B839B6"/>
    <w:rsid w:val="00B83B00"/>
    <w:rsid w:val="00B83C06"/>
    <w:rsid w:val="00B83D8C"/>
    <w:rsid w:val="00B83DBD"/>
    <w:rsid w:val="00B83EA9"/>
    <w:rsid w:val="00B83FA6"/>
    <w:rsid w:val="00B83FCC"/>
    <w:rsid w:val="00B84022"/>
    <w:rsid w:val="00B84137"/>
    <w:rsid w:val="00B8433E"/>
    <w:rsid w:val="00B84372"/>
    <w:rsid w:val="00B843CF"/>
    <w:rsid w:val="00B843D9"/>
    <w:rsid w:val="00B844AC"/>
    <w:rsid w:val="00B84583"/>
    <w:rsid w:val="00B8469C"/>
    <w:rsid w:val="00B846FE"/>
    <w:rsid w:val="00B84797"/>
    <w:rsid w:val="00B847D4"/>
    <w:rsid w:val="00B84800"/>
    <w:rsid w:val="00B8481C"/>
    <w:rsid w:val="00B84872"/>
    <w:rsid w:val="00B848BF"/>
    <w:rsid w:val="00B84AA4"/>
    <w:rsid w:val="00B84AA8"/>
    <w:rsid w:val="00B84B56"/>
    <w:rsid w:val="00B84DFD"/>
    <w:rsid w:val="00B84EE7"/>
    <w:rsid w:val="00B84EF2"/>
    <w:rsid w:val="00B84F98"/>
    <w:rsid w:val="00B84FF6"/>
    <w:rsid w:val="00B8507B"/>
    <w:rsid w:val="00B85098"/>
    <w:rsid w:val="00B850B3"/>
    <w:rsid w:val="00B85132"/>
    <w:rsid w:val="00B85217"/>
    <w:rsid w:val="00B85228"/>
    <w:rsid w:val="00B85342"/>
    <w:rsid w:val="00B853D3"/>
    <w:rsid w:val="00B85413"/>
    <w:rsid w:val="00B856E7"/>
    <w:rsid w:val="00B85790"/>
    <w:rsid w:val="00B857AE"/>
    <w:rsid w:val="00B8582A"/>
    <w:rsid w:val="00B858F3"/>
    <w:rsid w:val="00B859B8"/>
    <w:rsid w:val="00B859DD"/>
    <w:rsid w:val="00B85AA9"/>
    <w:rsid w:val="00B85B80"/>
    <w:rsid w:val="00B85B94"/>
    <w:rsid w:val="00B85C39"/>
    <w:rsid w:val="00B85DB1"/>
    <w:rsid w:val="00B85DF8"/>
    <w:rsid w:val="00B85EC2"/>
    <w:rsid w:val="00B86066"/>
    <w:rsid w:val="00B86118"/>
    <w:rsid w:val="00B8612E"/>
    <w:rsid w:val="00B861AF"/>
    <w:rsid w:val="00B862B2"/>
    <w:rsid w:val="00B86381"/>
    <w:rsid w:val="00B86403"/>
    <w:rsid w:val="00B86482"/>
    <w:rsid w:val="00B865AD"/>
    <w:rsid w:val="00B86628"/>
    <w:rsid w:val="00B867BA"/>
    <w:rsid w:val="00B86903"/>
    <w:rsid w:val="00B869BC"/>
    <w:rsid w:val="00B869F1"/>
    <w:rsid w:val="00B86A2F"/>
    <w:rsid w:val="00B86BA3"/>
    <w:rsid w:val="00B86C20"/>
    <w:rsid w:val="00B86C60"/>
    <w:rsid w:val="00B86D42"/>
    <w:rsid w:val="00B86FAE"/>
    <w:rsid w:val="00B870D0"/>
    <w:rsid w:val="00B8727E"/>
    <w:rsid w:val="00B873FB"/>
    <w:rsid w:val="00B874D5"/>
    <w:rsid w:val="00B8757F"/>
    <w:rsid w:val="00B876F8"/>
    <w:rsid w:val="00B87767"/>
    <w:rsid w:val="00B8779E"/>
    <w:rsid w:val="00B877F2"/>
    <w:rsid w:val="00B8792B"/>
    <w:rsid w:val="00B87949"/>
    <w:rsid w:val="00B879B0"/>
    <w:rsid w:val="00B879C3"/>
    <w:rsid w:val="00B87A27"/>
    <w:rsid w:val="00B87AC0"/>
    <w:rsid w:val="00B87B7E"/>
    <w:rsid w:val="00B87C5C"/>
    <w:rsid w:val="00B87D3E"/>
    <w:rsid w:val="00B87D4D"/>
    <w:rsid w:val="00B87E14"/>
    <w:rsid w:val="00B901C0"/>
    <w:rsid w:val="00B901F1"/>
    <w:rsid w:val="00B90272"/>
    <w:rsid w:val="00B903CB"/>
    <w:rsid w:val="00B905FB"/>
    <w:rsid w:val="00B90649"/>
    <w:rsid w:val="00B90694"/>
    <w:rsid w:val="00B906CB"/>
    <w:rsid w:val="00B90723"/>
    <w:rsid w:val="00B9073F"/>
    <w:rsid w:val="00B907D9"/>
    <w:rsid w:val="00B90839"/>
    <w:rsid w:val="00B9090A"/>
    <w:rsid w:val="00B9097B"/>
    <w:rsid w:val="00B90B5F"/>
    <w:rsid w:val="00B90C2C"/>
    <w:rsid w:val="00B90CA4"/>
    <w:rsid w:val="00B90E7C"/>
    <w:rsid w:val="00B90F44"/>
    <w:rsid w:val="00B91003"/>
    <w:rsid w:val="00B91144"/>
    <w:rsid w:val="00B91170"/>
    <w:rsid w:val="00B91270"/>
    <w:rsid w:val="00B91304"/>
    <w:rsid w:val="00B913FF"/>
    <w:rsid w:val="00B9147E"/>
    <w:rsid w:val="00B91758"/>
    <w:rsid w:val="00B917A9"/>
    <w:rsid w:val="00B9185E"/>
    <w:rsid w:val="00B918AA"/>
    <w:rsid w:val="00B918B2"/>
    <w:rsid w:val="00B919A7"/>
    <w:rsid w:val="00B91BD0"/>
    <w:rsid w:val="00B91C1E"/>
    <w:rsid w:val="00B91C5A"/>
    <w:rsid w:val="00B91CF4"/>
    <w:rsid w:val="00B91D63"/>
    <w:rsid w:val="00B91D74"/>
    <w:rsid w:val="00B91D77"/>
    <w:rsid w:val="00B91DBF"/>
    <w:rsid w:val="00B91E39"/>
    <w:rsid w:val="00B91FA8"/>
    <w:rsid w:val="00B9201B"/>
    <w:rsid w:val="00B920E8"/>
    <w:rsid w:val="00B921A9"/>
    <w:rsid w:val="00B922DC"/>
    <w:rsid w:val="00B9230F"/>
    <w:rsid w:val="00B9232C"/>
    <w:rsid w:val="00B923EE"/>
    <w:rsid w:val="00B9248A"/>
    <w:rsid w:val="00B924DB"/>
    <w:rsid w:val="00B9256D"/>
    <w:rsid w:val="00B925A7"/>
    <w:rsid w:val="00B92634"/>
    <w:rsid w:val="00B927CB"/>
    <w:rsid w:val="00B928B5"/>
    <w:rsid w:val="00B92922"/>
    <w:rsid w:val="00B92976"/>
    <w:rsid w:val="00B929B3"/>
    <w:rsid w:val="00B929D6"/>
    <w:rsid w:val="00B92A73"/>
    <w:rsid w:val="00B92AAC"/>
    <w:rsid w:val="00B92B35"/>
    <w:rsid w:val="00B92D25"/>
    <w:rsid w:val="00B92D94"/>
    <w:rsid w:val="00B92E26"/>
    <w:rsid w:val="00B92E84"/>
    <w:rsid w:val="00B93023"/>
    <w:rsid w:val="00B930C9"/>
    <w:rsid w:val="00B930E1"/>
    <w:rsid w:val="00B93264"/>
    <w:rsid w:val="00B9330D"/>
    <w:rsid w:val="00B9331F"/>
    <w:rsid w:val="00B93357"/>
    <w:rsid w:val="00B934CE"/>
    <w:rsid w:val="00B93542"/>
    <w:rsid w:val="00B935A9"/>
    <w:rsid w:val="00B9365F"/>
    <w:rsid w:val="00B937BF"/>
    <w:rsid w:val="00B93819"/>
    <w:rsid w:val="00B9383C"/>
    <w:rsid w:val="00B93930"/>
    <w:rsid w:val="00B93A9F"/>
    <w:rsid w:val="00B93B82"/>
    <w:rsid w:val="00B93E5B"/>
    <w:rsid w:val="00B93EAC"/>
    <w:rsid w:val="00B93EFF"/>
    <w:rsid w:val="00B93F70"/>
    <w:rsid w:val="00B93F88"/>
    <w:rsid w:val="00B93F89"/>
    <w:rsid w:val="00B940CF"/>
    <w:rsid w:val="00B9411B"/>
    <w:rsid w:val="00B94168"/>
    <w:rsid w:val="00B94194"/>
    <w:rsid w:val="00B94252"/>
    <w:rsid w:val="00B94271"/>
    <w:rsid w:val="00B942FF"/>
    <w:rsid w:val="00B94394"/>
    <w:rsid w:val="00B943AE"/>
    <w:rsid w:val="00B94560"/>
    <w:rsid w:val="00B945A7"/>
    <w:rsid w:val="00B945A8"/>
    <w:rsid w:val="00B94630"/>
    <w:rsid w:val="00B946ED"/>
    <w:rsid w:val="00B94754"/>
    <w:rsid w:val="00B94811"/>
    <w:rsid w:val="00B948BA"/>
    <w:rsid w:val="00B94918"/>
    <w:rsid w:val="00B9491A"/>
    <w:rsid w:val="00B94A6F"/>
    <w:rsid w:val="00B94B7D"/>
    <w:rsid w:val="00B94B99"/>
    <w:rsid w:val="00B94ECE"/>
    <w:rsid w:val="00B94EDC"/>
    <w:rsid w:val="00B94F3A"/>
    <w:rsid w:val="00B95170"/>
    <w:rsid w:val="00B951CA"/>
    <w:rsid w:val="00B95416"/>
    <w:rsid w:val="00B95688"/>
    <w:rsid w:val="00B9569F"/>
    <w:rsid w:val="00B9573A"/>
    <w:rsid w:val="00B95761"/>
    <w:rsid w:val="00B95866"/>
    <w:rsid w:val="00B95878"/>
    <w:rsid w:val="00B95A86"/>
    <w:rsid w:val="00B95AF2"/>
    <w:rsid w:val="00B95BF3"/>
    <w:rsid w:val="00B95EF1"/>
    <w:rsid w:val="00B9620E"/>
    <w:rsid w:val="00B96418"/>
    <w:rsid w:val="00B96419"/>
    <w:rsid w:val="00B965EE"/>
    <w:rsid w:val="00B9687C"/>
    <w:rsid w:val="00B968D7"/>
    <w:rsid w:val="00B96A75"/>
    <w:rsid w:val="00B96B01"/>
    <w:rsid w:val="00B96C8E"/>
    <w:rsid w:val="00B96D49"/>
    <w:rsid w:val="00B96F04"/>
    <w:rsid w:val="00B97031"/>
    <w:rsid w:val="00B97118"/>
    <w:rsid w:val="00B97152"/>
    <w:rsid w:val="00B971AF"/>
    <w:rsid w:val="00B972DF"/>
    <w:rsid w:val="00B9736D"/>
    <w:rsid w:val="00B973EA"/>
    <w:rsid w:val="00B9745A"/>
    <w:rsid w:val="00B974C0"/>
    <w:rsid w:val="00B974FF"/>
    <w:rsid w:val="00B975BA"/>
    <w:rsid w:val="00B977E6"/>
    <w:rsid w:val="00B9784D"/>
    <w:rsid w:val="00B978F1"/>
    <w:rsid w:val="00B9794B"/>
    <w:rsid w:val="00B97A53"/>
    <w:rsid w:val="00B97A65"/>
    <w:rsid w:val="00B97B90"/>
    <w:rsid w:val="00B97BEA"/>
    <w:rsid w:val="00B97BEC"/>
    <w:rsid w:val="00B97DC7"/>
    <w:rsid w:val="00B97E1A"/>
    <w:rsid w:val="00B97E8B"/>
    <w:rsid w:val="00B97F93"/>
    <w:rsid w:val="00B97FC2"/>
    <w:rsid w:val="00BA00A0"/>
    <w:rsid w:val="00BA00C4"/>
    <w:rsid w:val="00BA00DD"/>
    <w:rsid w:val="00BA0240"/>
    <w:rsid w:val="00BA02D3"/>
    <w:rsid w:val="00BA0391"/>
    <w:rsid w:val="00BA03A5"/>
    <w:rsid w:val="00BA0476"/>
    <w:rsid w:val="00BA0616"/>
    <w:rsid w:val="00BA062D"/>
    <w:rsid w:val="00BA06A0"/>
    <w:rsid w:val="00BA06C3"/>
    <w:rsid w:val="00BA06F0"/>
    <w:rsid w:val="00BA07F3"/>
    <w:rsid w:val="00BA080E"/>
    <w:rsid w:val="00BA0AB7"/>
    <w:rsid w:val="00BA0B18"/>
    <w:rsid w:val="00BA0C13"/>
    <w:rsid w:val="00BA0C4D"/>
    <w:rsid w:val="00BA0DA5"/>
    <w:rsid w:val="00BA0DC1"/>
    <w:rsid w:val="00BA0F03"/>
    <w:rsid w:val="00BA1071"/>
    <w:rsid w:val="00BA10B1"/>
    <w:rsid w:val="00BA10C8"/>
    <w:rsid w:val="00BA1123"/>
    <w:rsid w:val="00BA1329"/>
    <w:rsid w:val="00BA1347"/>
    <w:rsid w:val="00BA149B"/>
    <w:rsid w:val="00BA151F"/>
    <w:rsid w:val="00BA15A1"/>
    <w:rsid w:val="00BA1613"/>
    <w:rsid w:val="00BA1632"/>
    <w:rsid w:val="00BA1640"/>
    <w:rsid w:val="00BA1646"/>
    <w:rsid w:val="00BA1AB0"/>
    <w:rsid w:val="00BA1B1B"/>
    <w:rsid w:val="00BA1BED"/>
    <w:rsid w:val="00BA1DCF"/>
    <w:rsid w:val="00BA1F85"/>
    <w:rsid w:val="00BA1FA8"/>
    <w:rsid w:val="00BA2307"/>
    <w:rsid w:val="00BA232D"/>
    <w:rsid w:val="00BA23C6"/>
    <w:rsid w:val="00BA23CC"/>
    <w:rsid w:val="00BA2428"/>
    <w:rsid w:val="00BA2483"/>
    <w:rsid w:val="00BA2492"/>
    <w:rsid w:val="00BA2497"/>
    <w:rsid w:val="00BA269E"/>
    <w:rsid w:val="00BA26F2"/>
    <w:rsid w:val="00BA27DB"/>
    <w:rsid w:val="00BA29CB"/>
    <w:rsid w:val="00BA2A86"/>
    <w:rsid w:val="00BA2C48"/>
    <w:rsid w:val="00BA2CF4"/>
    <w:rsid w:val="00BA2DE0"/>
    <w:rsid w:val="00BA2E98"/>
    <w:rsid w:val="00BA2FA5"/>
    <w:rsid w:val="00BA30FC"/>
    <w:rsid w:val="00BA31F6"/>
    <w:rsid w:val="00BA325A"/>
    <w:rsid w:val="00BA3313"/>
    <w:rsid w:val="00BA33A0"/>
    <w:rsid w:val="00BA3599"/>
    <w:rsid w:val="00BA35DD"/>
    <w:rsid w:val="00BA3637"/>
    <w:rsid w:val="00BA3646"/>
    <w:rsid w:val="00BA37BE"/>
    <w:rsid w:val="00BA37C7"/>
    <w:rsid w:val="00BA37E1"/>
    <w:rsid w:val="00BA3805"/>
    <w:rsid w:val="00BA391A"/>
    <w:rsid w:val="00BA3920"/>
    <w:rsid w:val="00BA3B1E"/>
    <w:rsid w:val="00BA3BD2"/>
    <w:rsid w:val="00BA3C0F"/>
    <w:rsid w:val="00BA3DC2"/>
    <w:rsid w:val="00BA3E52"/>
    <w:rsid w:val="00BA3E84"/>
    <w:rsid w:val="00BA3F09"/>
    <w:rsid w:val="00BA3F9B"/>
    <w:rsid w:val="00BA3FE4"/>
    <w:rsid w:val="00BA41CE"/>
    <w:rsid w:val="00BA41EE"/>
    <w:rsid w:val="00BA420C"/>
    <w:rsid w:val="00BA43CD"/>
    <w:rsid w:val="00BA43F4"/>
    <w:rsid w:val="00BA44F9"/>
    <w:rsid w:val="00BA452E"/>
    <w:rsid w:val="00BA4587"/>
    <w:rsid w:val="00BA45CA"/>
    <w:rsid w:val="00BA4637"/>
    <w:rsid w:val="00BA489C"/>
    <w:rsid w:val="00BA4B4F"/>
    <w:rsid w:val="00BA4D5E"/>
    <w:rsid w:val="00BA4DCD"/>
    <w:rsid w:val="00BA4EDF"/>
    <w:rsid w:val="00BA4F94"/>
    <w:rsid w:val="00BA500C"/>
    <w:rsid w:val="00BA501E"/>
    <w:rsid w:val="00BA5122"/>
    <w:rsid w:val="00BA534E"/>
    <w:rsid w:val="00BA5402"/>
    <w:rsid w:val="00BA55BA"/>
    <w:rsid w:val="00BA55C6"/>
    <w:rsid w:val="00BA55F9"/>
    <w:rsid w:val="00BA562A"/>
    <w:rsid w:val="00BA5671"/>
    <w:rsid w:val="00BA56A2"/>
    <w:rsid w:val="00BA5852"/>
    <w:rsid w:val="00BA585B"/>
    <w:rsid w:val="00BA5A1C"/>
    <w:rsid w:val="00BA5C57"/>
    <w:rsid w:val="00BA5EDC"/>
    <w:rsid w:val="00BA5F46"/>
    <w:rsid w:val="00BA5FA6"/>
    <w:rsid w:val="00BA6092"/>
    <w:rsid w:val="00BA60DD"/>
    <w:rsid w:val="00BA6304"/>
    <w:rsid w:val="00BA630E"/>
    <w:rsid w:val="00BA633D"/>
    <w:rsid w:val="00BA6459"/>
    <w:rsid w:val="00BA64E0"/>
    <w:rsid w:val="00BA65D9"/>
    <w:rsid w:val="00BA6633"/>
    <w:rsid w:val="00BA66B1"/>
    <w:rsid w:val="00BA66D6"/>
    <w:rsid w:val="00BA6769"/>
    <w:rsid w:val="00BA6800"/>
    <w:rsid w:val="00BA689E"/>
    <w:rsid w:val="00BA6916"/>
    <w:rsid w:val="00BA6943"/>
    <w:rsid w:val="00BA695B"/>
    <w:rsid w:val="00BA69B8"/>
    <w:rsid w:val="00BA6A4F"/>
    <w:rsid w:val="00BA6AC5"/>
    <w:rsid w:val="00BA6BFC"/>
    <w:rsid w:val="00BA6CB0"/>
    <w:rsid w:val="00BA6EC5"/>
    <w:rsid w:val="00BA6F7C"/>
    <w:rsid w:val="00BA705C"/>
    <w:rsid w:val="00BA7156"/>
    <w:rsid w:val="00BA71EC"/>
    <w:rsid w:val="00BA72EB"/>
    <w:rsid w:val="00BA74C6"/>
    <w:rsid w:val="00BA75CC"/>
    <w:rsid w:val="00BA762A"/>
    <w:rsid w:val="00BA7633"/>
    <w:rsid w:val="00BA76D4"/>
    <w:rsid w:val="00BA76EC"/>
    <w:rsid w:val="00BA779A"/>
    <w:rsid w:val="00BA77C9"/>
    <w:rsid w:val="00BA77FC"/>
    <w:rsid w:val="00BA7843"/>
    <w:rsid w:val="00BA7973"/>
    <w:rsid w:val="00BA7999"/>
    <w:rsid w:val="00BA799F"/>
    <w:rsid w:val="00BA79CE"/>
    <w:rsid w:val="00BA7A2B"/>
    <w:rsid w:val="00BA7B17"/>
    <w:rsid w:val="00BA7B32"/>
    <w:rsid w:val="00BA7B48"/>
    <w:rsid w:val="00BA7BFD"/>
    <w:rsid w:val="00BA7C43"/>
    <w:rsid w:val="00BA7CD5"/>
    <w:rsid w:val="00BA7EE6"/>
    <w:rsid w:val="00BB0018"/>
    <w:rsid w:val="00BB00D8"/>
    <w:rsid w:val="00BB01B4"/>
    <w:rsid w:val="00BB08F3"/>
    <w:rsid w:val="00BB0925"/>
    <w:rsid w:val="00BB0B12"/>
    <w:rsid w:val="00BB0BB6"/>
    <w:rsid w:val="00BB0BC5"/>
    <w:rsid w:val="00BB0CB6"/>
    <w:rsid w:val="00BB0CCB"/>
    <w:rsid w:val="00BB0D32"/>
    <w:rsid w:val="00BB0DFF"/>
    <w:rsid w:val="00BB0E53"/>
    <w:rsid w:val="00BB0F35"/>
    <w:rsid w:val="00BB1051"/>
    <w:rsid w:val="00BB10D1"/>
    <w:rsid w:val="00BB1100"/>
    <w:rsid w:val="00BB1169"/>
    <w:rsid w:val="00BB1177"/>
    <w:rsid w:val="00BB1192"/>
    <w:rsid w:val="00BB1210"/>
    <w:rsid w:val="00BB1262"/>
    <w:rsid w:val="00BB12E8"/>
    <w:rsid w:val="00BB14D0"/>
    <w:rsid w:val="00BB15D0"/>
    <w:rsid w:val="00BB17DC"/>
    <w:rsid w:val="00BB18BF"/>
    <w:rsid w:val="00BB1A16"/>
    <w:rsid w:val="00BB1A79"/>
    <w:rsid w:val="00BB1B8C"/>
    <w:rsid w:val="00BB1BF5"/>
    <w:rsid w:val="00BB1C20"/>
    <w:rsid w:val="00BB1CA0"/>
    <w:rsid w:val="00BB1DB7"/>
    <w:rsid w:val="00BB1E08"/>
    <w:rsid w:val="00BB201E"/>
    <w:rsid w:val="00BB2030"/>
    <w:rsid w:val="00BB2084"/>
    <w:rsid w:val="00BB20E2"/>
    <w:rsid w:val="00BB21F9"/>
    <w:rsid w:val="00BB230E"/>
    <w:rsid w:val="00BB2402"/>
    <w:rsid w:val="00BB2439"/>
    <w:rsid w:val="00BB2442"/>
    <w:rsid w:val="00BB24DE"/>
    <w:rsid w:val="00BB255A"/>
    <w:rsid w:val="00BB25AB"/>
    <w:rsid w:val="00BB25D9"/>
    <w:rsid w:val="00BB26A6"/>
    <w:rsid w:val="00BB27EE"/>
    <w:rsid w:val="00BB2825"/>
    <w:rsid w:val="00BB2857"/>
    <w:rsid w:val="00BB2881"/>
    <w:rsid w:val="00BB28ED"/>
    <w:rsid w:val="00BB2971"/>
    <w:rsid w:val="00BB29C2"/>
    <w:rsid w:val="00BB29FD"/>
    <w:rsid w:val="00BB2A4C"/>
    <w:rsid w:val="00BB2B5B"/>
    <w:rsid w:val="00BB2B86"/>
    <w:rsid w:val="00BB2BBB"/>
    <w:rsid w:val="00BB3090"/>
    <w:rsid w:val="00BB314C"/>
    <w:rsid w:val="00BB31F8"/>
    <w:rsid w:val="00BB3328"/>
    <w:rsid w:val="00BB335F"/>
    <w:rsid w:val="00BB3380"/>
    <w:rsid w:val="00BB33F3"/>
    <w:rsid w:val="00BB3437"/>
    <w:rsid w:val="00BB3452"/>
    <w:rsid w:val="00BB3529"/>
    <w:rsid w:val="00BB35E9"/>
    <w:rsid w:val="00BB36BA"/>
    <w:rsid w:val="00BB3712"/>
    <w:rsid w:val="00BB3776"/>
    <w:rsid w:val="00BB37B6"/>
    <w:rsid w:val="00BB3858"/>
    <w:rsid w:val="00BB393C"/>
    <w:rsid w:val="00BB39A7"/>
    <w:rsid w:val="00BB3A1A"/>
    <w:rsid w:val="00BB3B23"/>
    <w:rsid w:val="00BB3BC0"/>
    <w:rsid w:val="00BB3BC7"/>
    <w:rsid w:val="00BB3BCF"/>
    <w:rsid w:val="00BB3D0B"/>
    <w:rsid w:val="00BB3E77"/>
    <w:rsid w:val="00BB4017"/>
    <w:rsid w:val="00BB406E"/>
    <w:rsid w:val="00BB4173"/>
    <w:rsid w:val="00BB434E"/>
    <w:rsid w:val="00BB45C9"/>
    <w:rsid w:val="00BB4862"/>
    <w:rsid w:val="00BB4886"/>
    <w:rsid w:val="00BB48BD"/>
    <w:rsid w:val="00BB495B"/>
    <w:rsid w:val="00BB495F"/>
    <w:rsid w:val="00BB499F"/>
    <w:rsid w:val="00BB49C5"/>
    <w:rsid w:val="00BB49F2"/>
    <w:rsid w:val="00BB4A1C"/>
    <w:rsid w:val="00BB4A46"/>
    <w:rsid w:val="00BB4A4B"/>
    <w:rsid w:val="00BB4A60"/>
    <w:rsid w:val="00BB4B34"/>
    <w:rsid w:val="00BB4B56"/>
    <w:rsid w:val="00BB4BAE"/>
    <w:rsid w:val="00BB4C81"/>
    <w:rsid w:val="00BB4CE8"/>
    <w:rsid w:val="00BB4D2A"/>
    <w:rsid w:val="00BB4D4E"/>
    <w:rsid w:val="00BB4D82"/>
    <w:rsid w:val="00BB4DB6"/>
    <w:rsid w:val="00BB4DC9"/>
    <w:rsid w:val="00BB4DD7"/>
    <w:rsid w:val="00BB4E8F"/>
    <w:rsid w:val="00BB4EBF"/>
    <w:rsid w:val="00BB4F66"/>
    <w:rsid w:val="00BB4F9A"/>
    <w:rsid w:val="00BB503C"/>
    <w:rsid w:val="00BB5080"/>
    <w:rsid w:val="00BB5107"/>
    <w:rsid w:val="00BB514A"/>
    <w:rsid w:val="00BB5154"/>
    <w:rsid w:val="00BB531B"/>
    <w:rsid w:val="00BB53BA"/>
    <w:rsid w:val="00BB5479"/>
    <w:rsid w:val="00BB5483"/>
    <w:rsid w:val="00BB5509"/>
    <w:rsid w:val="00BB550B"/>
    <w:rsid w:val="00BB5534"/>
    <w:rsid w:val="00BB56B1"/>
    <w:rsid w:val="00BB56E0"/>
    <w:rsid w:val="00BB56E7"/>
    <w:rsid w:val="00BB5714"/>
    <w:rsid w:val="00BB5799"/>
    <w:rsid w:val="00BB5843"/>
    <w:rsid w:val="00BB59BB"/>
    <w:rsid w:val="00BB59E5"/>
    <w:rsid w:val="00BB5B35"/>
    <w:rsid w:val="00BB5D61"/>
    <w:rsid w:val="00BB5F43"/>
    <w:rsid w:val="00BB605D"/>
    <w:rsid w:val="00BB617A"/>
    <w:rsid w:val="00BB617B"/>
    <w:rsid w:val="00BB6194"/>
    <w:rsid w:val="00BB621E"/>
    <w:rsid w:val="00BB6234"/>
    <w:rsid w:val="00BB6265"/>
    <w:rsid w:val="00BB62AD"/>
    <w:rsid w:val="00BB62CF"/>
    <w:rsid w:val="00BB640B"/>
    <w:rsid w:val="00BB64E4"/>
    <w:rsid w:val="00BB6544"/>
    <w:rsid w:val="00BB6554"/>
    <w:rsid w:val="00BB65CC"/>
    <w:rsid w:val="00BB660D"/>
    <w:rsid w:val="00BB6999"/>
    <w:rsid w:val="00BB69E8"/>
    <w:rsid w:val="00BB6A9D"/>
    <w:rsid w:val="00BB6B4B"/>
    <w:rsid w:val="00BB6B90"/>
    <w:rsid w:val="00BB6BD1"/>
    <w:rsid w:val="00BB6C6A"/>
    <w:rsid w:val="00BB6D95"/>
    <w:rsid w:val="00BB6DBA"/>
    <w:rsid w:val="00BB6E5B"/>
    <w:rsid w:val="00BB6EDC"/>
    <w:rsid w:val="00BB6F64"/>
    <w:rsid w:val="00BB6FF3"/>
    <w:rsid w:val="00BB7024"/>
    <w:rsid w:val="00BB70B7"/>
    <w:rsid w:val="00BB7257"/>
    <w:rsid w:val="00BB72A2"/>
    <w:rsid w:val="00BB7329"/>
    <w:rsid w:val="00BB7388"/>
    <w:rsid w:val="00BB73E6"/>
    <w:rsid w:val="00BB7526"/>
    <w:rsid w:val="00BB7578"/>
    <w:rsid w:val="00BB75A5"/>
    <w:rsid w:val="00BB779B"/>
    <w:rsid w:val="00BB7889"/>
    <w:rsid w:val="00BB788E"/>
    <w:rsid w:val="00BB78AC"/>
    <w:rsid w:val="00BB790F"/>
    <w:rsid w:val="00BB7994"/>
    <w:rsid w:val="00BB7A16"/>
    <w:rsid w:val="00BB7B39"/>
    <w:rsid w:val="00BB7B9D"/>
    <w:rsid w:val="00BB7C0E"/>
    <w:rsid w:val="00BB7C71"/>
    <w:rsid w:val="00BB7CF4"/>
    <w:rsid w:val="00BB7DCF"/>
    <w:rsid w:val="00BB7E0E"/>
    <w:rsid w:val="00BB7E61"/>
    <w:rsid w:val="00BB7E76"/>
    <w:rsid w:val="00BC0098"/>
    <w:rsid w:val="00BC00E1"/>
    <w:rsid w:val="00BC0222"/>
    <w:rsid w:val="00BC0230"/>
    <w:rsid w:val="00BC02B0"/>
    <w:rsid w:val="00BC02C3"/>
    <w:rsid w:val="00BC0318"/>
    <w:rsid w:val="00BC0391"/>
    <w:rsid w:val="00BC03D4"/>
    <w:rsid w:val="00BC03E7"/>
    <w:rsid w:val="00BC0493"/>
    <w:rsid w:val="00BC061A"/>
    <w:rsid w:val="00BC0697"/>
    <w:rsid w:val="00BC072E"/>
    <w:rsid w:val="00BC07F9"/>
    <w:rsid w:val="00BC08ED"/>
    <w:rsid w:val="00BC08F9"/>
    <w:rsid w:val="00BC0900"/>
    <w:rsid w:val="00BC09B3"/>
    <w:rsid w:val="00BC0A89"/>
    <w:rsid w:val="00BC0B8D"/>
    <w:rsid w:val="00BC0C2A"/>
    <w:rsid w:val="00BC0D75"/>
    <w:rsid w:val="00BC0D9F"/>
    <w:rsid w:val="00BC0DF6"/>
    <w:rsid w:val="00BC0DFB"/>
    <w:rsid w:val="00BC0E51"/>
    <w:rsid w:val="00BC0F06"/>
    <w:rsid w:val="00BC0F62"/>
    <w:rsid w:val="00BC104F"/>
    <w:rsid w:val="00BC1074"/>
    <w:rsid w:val="00BC11A4"/>
    <w:rsid w:val="00BC1348"/>
    <w:rsid w:val="00BC136D"/>
    <w:rsid w:val="00BC149E"/>
    <w:rsid w:val="00BC1545"/>
    <w:rsid w:val="00BC1577"/>
    <w:rsid w:val="00BC15BF"/>
    <w:rsid w:val="00BC1673"/>
    <w:rsid w:val="00BC1846"/>
    <w:rsid w:val="00BC187B"/>
    <w:rsid w:val="00BC19B5"/>
    <w:rsid w:val="00BC19D0"/>
    <w:rsid w:val="00BC1AB8"/>
    <w:rsid w:val="00BC1B6D"/>
    <w:rsid w:val="00BC1D30"/>
    <w:rsid w:val="00BC1DB2"/>
    <w:rsid w:val="00BC1DC7"/>
    <w:rsid w:val="00BC1DEA"/>
    <w:rsid w:val="00BC1F4A"/>
    <w:rsid w:val="00BC205F"/>
    <w:rsid w:val="00BC2093"/>
    <w:rsid w:val="00BC223B"/>
    <w:rsid w:val="00BC22FC"/>
    <w:rsid w:val="00BC232E"/>
    <w:rsid w:val="00BC2392"/>
    <w:rsid w:val="00BC24A5"/>
    <w:rsid w:val="00BC24D3"/>
    <w:rsid w:val="00BC2585"/>
    <w:rsid w:val="00BC279A"/>
    <w:rsid w:val="00BC27A9"/>
    <w:rsid w:val="00BC2935"/>
    <w:rsid w:val="00BC2945"/>
    <w:rsid w:val="00BC2A64"/>
    <w:rsid w:val="00BC2C03"/>
    <w:rsid w:val="00BC2C7B"/>
    <w:rsid w:val="00BC2CE0"/>
    <w:rsid w:val="00BC2E37"/>
    <w:rsid w:val="00BC300C"/>
    <w:rsid w:val="00BC3136"/>
    <w:rsid w:val="00BC3187"/>
    <w:rsid w:val="00BC3198"/>
    <w:rsid w:val="00BC322E"/>
    <w:rsid w:val="00BC3346"/>
    <w:rsid w:val="00BC33A6"/>
    <w:rsid w:val="00BC354C"/>
    <w:rsid w:val="00BC35D1"/>
    <w:rsid w:val="00BC372A"/>
    <w:rsid w:val="00BC38A2"/>
    <w:rsid w:val="00BC38AE"/>
    <w:rsid w:val="00BC38E1"/>
    <w:rsid w:val="00BC3B2D"/>
    <w:rsid w:val="00BC3BE2"/>
    <w:rsid w:val="00BC3C08"/>
    <w:rsid w:val="00BC3C5F"/>
    <w:rsid w:val="00BC3C8D"/>
    <w:rsid w:val="00BC3D55"/>
    <w:rsid w:val="00BC3DF2"/>
    <w:rsid w:val="00BC3F49"/>
    <w:rsid w:val="00BC3F98"/>
    <w:rsid w:val="00BC400E"/>
    <w:rsid w:val="00BC4056"/>
    <w:rsid w:val="00BC40D3"/>
    <w:rsid w:val="00BC410F"/>
    <w:rsid w:val="00BC4647"/>
    <w:rsid w:val="00BC4675"/>
    <w:rsid w:val="00BC472E"/>
    <w:rsid w:val="00BC4777"/>
    <w:rsid w:val="00BC48BA"/>
    <w:rsid w:val="00BC48E7"/>
    <w:rsid w:val="00BC4A19"/>
    <w:rsid w:val="00BC4A3E"/>
    <w:rsid w:val="00BC4AA6"/>
    <w:rsid w:val="00BC4B20"/>
    <w:rsid w:val="00BC4B3A"/>
    <w:rsid w:val="00BC4FC8"/>
    <w:rsid w:val="00BC5045"/>
    <w:rsid w:val="00BC5208"/>
    <w:rsid w:val="00BC5209"/>
    <w:rsid w:val="00BC52B4"/>
    <w:rsid w:val="00BC541D"/>
    <w:rsid w:val="00BC54EF"/>
    <w:rsid w:val="00BC5544"/>
    <w:rsid w:val="00BC5645"/>
    <w:rsid w:val="00BC5741"/>
    <w:rsid w:val="00BC5775"/>
    <w:rsid w:val="00BC579B"/>
    <w:rsid w:val="00BC589F"/>
    <w:rsid w:val="00BC5917"/>
    <w:rsid w:val="00BC5A94"/>
    <w:rsid w:val="00BC5BB8"/>
    <w:rsid w:val="00BC5BDA"/>
    <w:rsid w:val="00BC5BE9"/>
    <w:rsid w:val="00BC5BF8"/>
    <w:rsid w:val="00BC5C70"/>
    <w:rsid w:val="00BC5C71"/>
    <w:rsid w:val="00BC5DDD"/>
    <w:rsid w:val="00BC5DED"/>
    <w:rsid w:val="00BC5E3B"/>
    <w:rsid w:val="00BC5EC6"/>
    <w:rsid w:val="00BC601A"/>
    <w:rsid w:val="00BC612C"/>
    <w:rsid w:val="00BC61CF"/>
    <w:rsid w:val="00BC61FA"/>
    <w:rsid w:val="00BC62B6"/>
    <w:rsid w:val="00BC6353"/>
    <w:rsid w:val="00BC6397"/>
    <w:rsid w:val="00BC6453"/>
    <w:rsid w:val="00BC660E"/>
    <w:rsid w:val="00BC661E"/>
    <w:rsid w:val="00BC665A"/>
    <w:rsid w:val="00BC6668"/>
    <w:rsid w:val="00BC672A"/>
    <w:rsid w:val="00BC68A5"/>
    <w:rsid w:val="00BC6C42"/>
    <w:rsid w:val="00BC6F12"/>
    <w:rsid w:val="00BC6F9C"/>
    <w:rsid w:val="00BC7030"/>
    <w:rsid w:val="00BC70D8"/>
    <w:rsid w:val="00BC7124"/>
    <w:rsid w:val="00BC7141"/>
    <w:rsid w:val="00BC72F5"/>
    <w:rsid w:val="00BC74D8"/>
    <w:rsid w:val="00BC75C7"/>
    <w:rsid w:val="00BC765F"/>
    <w:rsid w:val="00BC7784"/>
    <w:rsid w:val="00BC78C1"/>
    <w:rsid w:val="00BC7949"/>
    <w:rsid w:val="00BC7A0B"/>
    <w:rsid w:val="00BC7A1B"/>
    <w:rsid w:val="00BC7B69"/>
    <w:rsid w:val="00BC7BFD"/>
    <w:rsid w:val="00BC7C92"/>
    <w:rsid w:val="00BC7CDB"/>
    <w:rsid w:val="00BC7D3D"/>
    <w:rsid w:val="00BC7D8F"/>
    <w:rsid w:val="00BC7E21"/>
    <w:rsid w:val="00BC7E96"/>
    <w:rsid w:val="00BC7F3B"/>
    <w:rsid w:val="00BC7F47"/>
    <w:rsid w:val="00BC7F72"/>
    <w:rsid w:val="00BD00A9"/>
    <w:rsid w:val="00BD01CC"/>
    <w:rsid w:val="00BD0257"/>
    <w:rsid w:val="00BD028B"/>
    <w:rsid w:val="00BD0393"/>
    <w:rsid w:val="00BD03C3"/>
    <w:rsid w:val="00BD03E0"/>
    <w:rsid w:val="00BD04F7"/>
    <w:rsid w:val="00BD0512"/>
    <w:rsid w:val="00BD0514"/>
    <w:rsid w:val="00BD055F"/>
    <w:rsid w:val="00BD0775"/>
    <w:rsid w:val="00BD0776"/>
    <w:rsid w:val="00BD0869"/>
    <w:rsid w:val="00BD0AB4"/>
    <w:rsid w:val="00BD0F36"/>
    <w:rsid w:val="00BD104A"/>
    <w:rsid w:val="00BD1220"/>
    <w:rsid w:val="00BD1303"/>
    <w:rsid w:val="00BD131B"/>
    <w:rsid w:val="00BD1332"/>
    <w:rsid w:val="00BD1657"/>
    <w:rsid w:val="00BD16EA"/>
    <w:rsid w:val="00BD1765"/>
    <w:rsid w:val="00BD1B25"/>
    <w:rsid w:val="00BD1BA7"/>
    <w:rsid w:val="00BD1C6C"/>
    <w:rsid w:val="00BD1C6F"/>
    <w:rsid w:val="00BD1CB2"/>
    <w:rsid w:val="00BD1EE6"/>
    <w:rsid w:val="00BD1F1C"/>
    <w:rsid w:val="00BD20C1"/>
    <w:rsid w:val="00BD20F2"/>
    <w:rsid w:val="00BD21EF"/>
    <w:rsid w:val="00BD224B"/>
    <w:rsid w:val="00BD23DB"/>
    <w:rsid w:val="00BD23EE"/>
    <w:rsid w:val="00BD23F2"/>
    <w:rsid w:val="00BD241C"/>
    <w:rsid w:val="00BD24DD"/>
    <w:rsid w:val="00BD24F9"/>
    <w:rsid w:val="00BD2750"/>
    <w:rsid w:val="00BD2980"/>
    <w:rsid w:val="00BD2A9C"/>
    <w:rsid w:val="00BD2B45"/>
    <w:rsid w:val="00BD2B51"/>
    <w:rsid w:val="00BD2C41"/>
    <w:rsid w:val="00BD2D33"/>
    <w:rsid w:val="00BD2EB8"/>
    <w:rsid w:val="00BD3040"/>
    <w:rsid w:val="00BD3060"/>
    <w:rsid w:val="00BD31F1"/>
    <w:rsid w:val="00BD3277"/>
    <w:rsid w:val="00BD3403"/>
    <w:rsid w:val="00BD3406"/>
    <w:rsid w:val="00BD3489"/>
    <w:rsid w:val="00BD3496"/>
    <w:rsid w:val="00BD3538"/>
    <w:rsid w:val="00BD356A"/>
    <w:rsid w:val="00BD356C"/>
    <w:rsid w:val="00BD35F5"/>
    <w:rsid w:val="00BD35FC"/>
    <w:rsid w:val="00BD365D"/>
    <w:rsid w:val="00BD3711"/>
    <w:rsid w:val="00BD394C"/>
    <w:rsid w:val="00BD3AEA"/>
    <w:rsid w:val="00BD3B5B"/>
    <w:rsid w:val="00BD3BD8"/>
    <w:rsid w:val="00BD3CF0"/>
    <w:rsid w:val="00BD3D91"/>
    <w:rsid w:val="00BD3D94"/>
    <w:rsid w:val="00BD3DEF"/>
    <w:rsid w:val="00BD3E73"/>
    <w:rsid w:val="00BD3E8D"/>
    <w:rsid w:val="00BD3E9E"/>
    <w:rsid w:val="00BD3EE9"/>
    <w:rsid w:val="00BD3FAB"/>
    <w:rsid w:val="00BD42D7"/>
    <w:rsid w:val="00BD455B"/>
    <w:rsid w:val="00BD4563"/>
    <w:rsid w:val="00BD4619"/>
    <w:rsid w:val="00BD46A4"/>
    <w:rsid w:val="00BD47F5"/>
    <w:rsid w:val="00BD484C"/>
    <w:rsid w:val="00BD493E"/>
    <w:rsid w:val="00BD4B14"/>
    <w:rsid w:val="00BD4E74"/>
    <w:rsid w:val="00BD4FEB"/>
    <w:rsid w:val="00BD4FF8"/>
    <w:rsid w:val="00BD5003"/>
    <w:rsid w:val="00BD50AD"/>
    <w:rsid w:val="00BD50ED"/>
    <w:rsid w:val="00BD5151"/>
    <w:rsid w:val="00BD5187"/>
    <w:rsid w:val="00BD51DC"/>
    <w:rsid w:val="00BD52BB"/>
    <w:rsid w:val="00BD5309"/>
    <w:rsid w:val="00BD54B7"/>
    <w:rsid w:val="00BD575F"/>
    <w:rsid w:val="00BD576B"/>
    <w:rsid w:val="00BD581C"/>
    <w:rsid w:val="00BD58BA"/>
    <w:rsid w:val="00BD5BEC"/>
    <w:rsid w:val="00BD5C2C"/>
    <w:rsid w:val="00BD5C8E"/>
    <w:rsid w:val="00BD60D1"/>
    <w:rsid w:val="00BD6191"/>
    <w:rsid w:val="00BD61F0"/>
    <w:rsid w:val="00BD6236"/>
    <w:rsid w:val="00BD62C0"/>
    <w:rsid w:val="00BD631C"/>
    <w:rsid w:val="00BD6372"/>
    <w:rsid w:val="00BD64D9"/>
    <w:rsid w:val="00BD64EE"/>
    <w:rsid w:val="00BD6568"/>
    <w:rsid w:val="00BD65F0"/>
    <w:rsid w:val="00BD68DF"/>
    <w:rsid w:val="00BD68EF"/>
    <w:rsid w:val="00BD6902"/>
    <w:rsid w:val="00BD6996"/>
    <w:rsid w:val="00BD69EB"/>
    <w:rsid w:val="00BD6B3C"/>
    <w:rsid w:val="00BD6B42"/>
    <w:rsid w:val="00BD6CBC"/>
    <w:rsid w:val="00BD6CE5"/>
    <w:rsid w:val="00BD6CED"/>
    <w:rsid w:val="00BD6D19"/>
    <w:rsid w:val="00BD6DDC"/>
    <w:rsid w:val="00BD6DFF"/>
    <w:rsid w:val="00BD6EBD"/>
    <w:rsid w:val="00BD6F12"/>
    <w:rsid w:val="00BD6F22"/>
    <w:rsid w:val="00BD6F32"/>
    <w:rsid w:val="00BD6F63"/>
    <w:rsid w:val="00BD6F7D"/>
    <w:rsid w:val="00BD7099"/>
    <w:rsid w:val="00BD7401"/>
    <w:rsid w:val="00BD745E"/>
    <w:rsid w:val="00BD7470"/>
    <w:rsid w:val="00BD749A"/>
    <w:rsid w:val="00BD74D1"/>
    <w:rsid w:val="00BD75A7"/>
    <w:rsid w:val="00BD77D4"/>
    <w:rsid w:val="00BD7837"/>
    <w:rsid w:val="00BD7890"/>
    <w:rsid w:val="00BD7973"/>
    <w:rsid w:val="00BD7A31"/>
    <w:rsid w:val="00BD7BA0"/>
    <w:rsid w:val="00BD7C99"/>
    <w:rsid w:val="00BD7CD1"/>
    <w:rsid w:val="00BD7E30"/>
    <w:rsid w:val="00BD7E36"/>
    <w:rsid w:val="00BD7E5C"/>
    <w:rsid w:val="00BE009D"/>
    <w:rsid w:val="00BE00DF"/>
    <w:rsid w:val="00BE00EB"/>
    <w:rsid w:val="00BE016B"/>
    <w:rsid w:val="00BE01F9"/>
    <w:rsid w:val="00BE0207"/>
    <w:rsid w:val="00BE0228"/>
    <w:rsid w:val="00BE0232"/>
    <w:rsid w:val="00BE03A1"/>
    <w:rsid w:val="00BE0423"/>
    <w:rsid w:val="00BE0429"/>
    <w:rsid w:val="00BE044B"/>
    <w:rsid w:val="00BE048B"/>
    <w:rsid w:val="00BE0559"/>
    <w:rsid w:val="00BE05E5"/>
    <w:rsid w:val="00BE0694"/>
    <w:rsid w:val="00BE073E"/>
    <w:rsid w:val="00BE076E"/>
    <w:rsid w:val="00BE0937"/>
    <w:rsid w:val="00BE0B65"/>
    <w:rsid w:val="00BE0D4A"/>
    <w:rsid w:val="00BE0E2D"/>
    <w:rsid w:val="00BE0EE2"/>
    <w:rsid w:val="00BE0F57"/>
    <w:rsid w:val="00BE10D5"/>
    <w:rsid w:val="00BE112F"/>
    <w:rsid w:val="00BE1194"/>
    <w:rsid w:val="00BE12B7"/>
    <w:rsid w:val="00BE148D"/>
    <w:rsid w:val="00BE1552"/>
    <w:rsid w:val="00BE15A1"/>
    <w:rsid w:val="00BE1716"/>
    <w:rsid w:val="00BE1753"/>
    <w:rsid w:val="00BE1875"/>
    <w:rsid w:val="00BE187D"/>
    <w:rsid w:val="00BE1901"/>
    <w:rsid w:val="00BE197E"/>
    <w:rsid w:val="00BE1CC5"/>
    <w:rsid w:val="00BE1CDE"/>
    <w:rsid w:val="00BE1D28"/>
    <w:rsid w:val="00BE1DFC"/>
    <w:rsid w:val="00BE1E2D"/>
    <w:rsid w:val="00BE1E42"/>
    <w:rsid w:val="00BE1E64"/>
    <w:rsid w:val="00BE1F6B"/>
    <w:rsid w:val="00BE1F74"/>
    <w:rsid w:val="00BE21E5"/>
    <w:rsid w:val="00BE2286"/>
    <w:rsid w:val="00BE228B"/>
    <w:rsid w:val="00BE2351"/>
    <w:rsid w:val="00BE237A"/>
    <w:rsid w:val="00BE23A6"/>
    <w:rsid w:val="00BE23B7"/>
    <w:rsid w:val="00BE2688"/>
    <w:rsid w:val="00BE27C6"/>
    <w:rsid w:val="00BE2A13"/>
    <w:rsid w:val="00BE2AD2"/>
    <w:rsid w:val="00BE2AF5"/>
    <w:rsid w:val="00BE2B98"/>
    <w:rsid w:val="00BE2B9B"/>
    <w:rsid w:val="00BE2BF7"/>
    <w:rsid w:val="00BE2C1C"/>
    <w:rsid w:val="00BE2C26"/>
    <w:rsid w:val="00BE2CD7"/>
    <w:rsid w:val="00BE2D2C"/>
    <w:rsid w:val="00BE2ECD"/>
    <w:rsid w:val="00BE2EFC"/>
    <w:rsid w:val="00BE2F36"/>
    <w:rsid w:val="00BE317A"/>
    <w:rsid w:val="00BE3211"/>
    <w:rsid w:val="00BE3220"/>
    <w:rsid w:val="00BE3388"/>
    <w:rsid w:val="00BE3501"/>
    <w:rsid w:val="00BE36E8"/>
    <w:rsid w:val="00BE396C"/>
    <w:rsid w:val="00BE3A0E"/>
    <w:rsid w:val="00BE3A6F"/>
    <w:rsid w:val="00BE3B18"/>
    <w:rsid w:val="00BE3BA8"/>
    <w:rsid w:val="00BE3BD0"/>
    <w:rsid w:val="00BE3C58"/>
    <w:rsid w:val="00BE3D75"/>
    <w:rsid w:val="00BE3E3A"/>
    <w:rsid w:val="00BE3E85"/>
    <w:rsid w:val="00BE3F0C"/>
    <w:rsid w:val="00BE3F30"/>
    <w:rsid w:val="00BE3F8D"/>
    <w:rsid w:val="00BE3FD8"/>
    <w:rsid w:val="00BE407A"/>
    <w:rsid w:val="00BE412F"/>
    <w:rsid w:val="00BE41BB"/>
    <w:rsid w:val="00BE41C8"/>
    <w:rsid w:val="00BE4259"/>
    <w:rsid w:val="00BE432E"/>
    <w:rsid w:val="00BE43C8"/>
    <w:rsid w:val="00BE4434"/>
    <w:rsid w:val="00BE4523"/>
    <w:rsid w:val="00BE45F4"/>
    <w:rsid w:val="00BE4870"/>
    <w:rsid w:val="00BE48D0"/>
    <w:rsid w:val="00BE4959"/>
    <w:rsid w:val="00BE4A1F"/>
    <w:rsid w:val="00BE4A24"/>
    <w:rsid w:val="00BE4A46"/>
    <w:rsid w:val="00BE4A82"/>
    <w:rsid w:val="00BE4B08"/>
    <w:rsid w:val="00BE4B3E"/>
    <w:rsid w:val="00BE4D6F"/>
    <w:rsid w:val="00BE4D9C"/>
    <w:rsid w:val="00BE4DA6"/>
    <w:rsid w:val="00BE4E6C"/>
    <w:rsid w:val="00BE5034"/>
    <w:rsid w:val="00BE5087"/>
    <w:rsid w:val="00BE50EA"/>
    <w:rsid w:val="00BE5127"/>
    <w:rsid w:val="00BE5171"/>
    <w:rsid w:val="00BE51B6"/>
    <w:rsid w:val="00BE51C5"/>
    <w:rsid w:val="00BE5209"/>
    <w:rsid w:val="00BE5304"/>
    <w:rsid w:val="00BE537D"/>
    <w:rsid w:val="00BE53C7"/>
    <w:rsid w:val="00BE541A"/>
    <w:rsid w:val="00BE545F"/>
    <w:rsid w:val="00BE5494"/>
    <w:rsid w:val="00BE5552"/>
    <w:rsid w:val="00BE5694"/>
    <w:rsid w:val="00BE56D1"/>
    <w:rsid w:val="00BE5794"/>
    <w:rsid w:val="00BE5881"/>
    <w:rsid w:val="00BE5976"/>
    <w:rsid w:val="00BE59D9"/>
    <w:rsid w:val="00BE5A14"/>
    <w:rsid w:val="00BE5B68"/>
    <w:rsid w:val="00BE5BB9"/>
    <w:rsid w:val="00BE5BE1"/>
    <w:rsid w:val="00BE5C34"/>
    <w:rsid w:val="00BE5DB2"/>
    <w:rsid w:val="00BE61D2"/>
    <w:rsid w:val="00BE61D5"/>
    <w:rsid w:val="00BE62DF"/>
    <w:rsid w:val="00BE6349"/>
    <w:rsid w:val="00BE637C"/>
    <w:rsid w:val="00BE642B"/>
    <w:rsid w:val="00BE6534"/>
    <w:rsid w:val="00BE6631"/>
    <w:rsid w:val="00BE677F"/>
    <w:rsid w:val="00BE6933"/>
    <w:rsid w:val="00BE6950"/>
    <w:rsid w:val="00BE69AC"/>
    <w:rsid w:val="00BE69D5"/>
    <w:rsid w:val="00BE69FD"/>
    <w:rsid w:val="00BE6AB1"/>
    <w:rsid w:val="00BE6AE9"/>
    <w:rsid w:val="00BE6B93"/>
    <w:rsid w:val="00BE6C62"/>
    <w:rsid w:val="00BE6E25"/>
    <w:rsid w:val="00BE6E8D"/>
    <w:rsid w:val="00BE6F17"/>
    <w:rsid w:val="00BE6F4B"/>
    <w:rsid w:val="00BE7078"/>
    <w:rsid w:val="00BE70CB"/>
    <w:rsid w:val="00BE71EF"/>
    <w:rsid w:val="00BE7206"/>
    <w:rsid w:val="00BE7264"/>
    <w:rsid w:val="00BE74FB"/>
    <w:rsid w:val="00BE75DB"/>
    <w:rsid w:val="00BE75F7"/>
    <w:rsid w:val="00BE771E"/>
    <w:rsid w:val="00BE7790"/>
    <w:rsid w:val="00BE779A"/>
    <w:rsid w:val="00BE79F5"/>
    <w:rsid w:val="00BE7B96"/>
    <w:rsid w:val="00BE7BB9"/>
    <w:rsid w:val="00BE7D15"/>
    <w:rsid w:val="00BE7D95"/>
    <w:rsid w:val="00BE7DE2"/>
    <w:rsid w:val="00BE7E9F"/>
    <w:rsid w:val="00BE7ED8"/>
    <w:rsid w:val="00BE7F09"/>
    <w:rsid w:val="00BE7F40"/>
    <w:rsid w:val="00BE7FB0"/>
    <w:rsid w:val="00BF01EC"/>
    <w:rsid w:val="00BF025A"/>
    <w:rsid w:val="00BF02A6"/>
    <w:rsid w:val="00BF0319"/>
    <w:rsid w:val="00BF0386"/>
    <w:rsid w:val="00BF0423"/>
    <w:rsid w:val="00BF044A"/>
    <w:rsid w:val="00BF04E5"/>
    <w:rsid w:val="00BF04F5"/>
    <w:rsid w:val="00BF05FE"/>
    <w:rsid w:val="00BF060F"/>
    <w:rsid w:val="00BF0636"/>
    <w:rsid w:val="00BF065C"/>
    <w:rsid w:val="00BF0666"/>
    <w:rsid w:val="00BF0718"/>
    <w:rsid w:val="00BF076B"/>
    <w:rsid w:val="00BF0A25"/>
    <w:rsid w:val="00BF0A73"/>
    <w:rsid w:val="00BF0A7B"/>
    <w:rsid w:val="00BF0A9D"/>
    <w:rsid w:val="00BF0BC3"/>
    <w:rsid w:val="00BF0BD5"/>
    <w:rsid w:val="00BF0BEC"/>
    <w:rsid w:val="00BF0DAD"/>
    <w:rsid w:val="00BF0F33"/>
    <w:rsid w:val="00BF10A4"/>
    <w:rsid w:val="00BF10B1"/>
    <w:rsid w:val="00BF10FC"/>
    <w:rsid w:val="00BF136D"/>
    <w:rsid w:val="00BF1517"/>
    <w:rsid w:val="00BF16AA"/>
    <w:rsid w:val="00BF172B"/>
    <w:rsid w:val="00BF19CC"/>
    <w:rsid w:val="00BF1A35"/>
    <w:rsid w:val="00BF1B7D"/>
    <w:rsid w:val="00BF1C33"/>
    <w:rsid w:val="00BF1CE0"/>
    <w:rsid w:val="00BF1E15"/>
    <w:rsid w:val="00BF1E90"/>
    <w:rsid w:val="00BF1F70"/>
    <w:rsid w:val="00BF1FA8"/>
    <w:rsid w:val="00BF1FBC"/>
    <w:rsid w:val="00BF2037"/>
    <w:rsid w:val="00BF2073"/>
    <w:rsid w:val="00BF20C8"/>
    <w:rsid w:val="00BF20FA"/>
    <w:rsid w:val="00BF222E"/>
    <w:rsid w:val="00BF22BF"/>
    <w:rsid w:val="00BF2463"/>
    <w:rsid w:val="00BF298E"/>
    <w:rsid w:val="00BF2A15"/>
    <w:rsid w:val="00BF2A85"/>
    <w:rsid w:val="00BF2B01"/>
    <w:rsid w:val="00BF2B08"/>
    <w:rsid w:val="00BF2B65"/>
    <w:rsid w:val="00BF2C28"/>
    <w:rsid w:val="00BF2D61"/>
    <w:rsid w:val="00BF2DBB"/>
    <w:rsid w:val="00BF2E7F"/>
    <w:rsid w:val="00BF2F78"/>
    <w:rsid w:val="00BF3020"/>
    <w:rsid w:val="00BF310D"/>
    <w:rsid w:val="00BF3198"/>
    <w:rsid w:val="00BF31F2"/>
    <w:rsid w:val="00BF3261"/>
    <w:rsid w:val="00BF3423"/>
    <w:rsid w:val="00BF34F1"/>
    <w:rsid w:val="00BF34F2"/>
    <w:rsid w:val="00BF37B3"/>
    <w:rsid w:val="00BF3808"/>
    <w:rsid w:val="00BF381E"/>
    <w:rsid w:val="00BF3897"/>
    <w:rsid w:val="00BF3A15"/>
    <w:rsid w:val="00BF3B32"/>
    <w:rsid w:val="00BF3CE4"/>
    <w:rsid w:val="00BF4005"/>
    <w:rsid w:val="00BF40B5"/>
    <w:rsid w:val="00BF4143"/>
    <w:rsid w:val="00BF4306"/>
    <w:rsid w:val="00BF43D8"/>
    <w:rsid w:val="00BF44A1"/>
    <w:rsid w:val="00BF44DD"/>
    <w:rsid w:val="00BF4504"/>
    <w:rsid w:val="00BF4531"/>
    <w:rsid w:val="00BF458A"/>
    <w:rsid w:val="00BF4639"/>
    <w:rsid w:val="00BF46B3"/>
    <w:rsid w:val="00BF46C6"/>
    <w:rsid w:val="00BF4777"/>
    <w:rsid w:val="00BF4976"/>
    <w:rsid w:val="00BF49BA"/>
    <w:rsid w:val="00BF4B12"/>
    <w:rsid w:val="00BF4BFD"/>
    <w:rsid w:val="00BF4C31"/>
    <w:rsid w:val="00BF4D23"/>
    <w:rsid w:val="00BF4DC1"/>
    <w:rsid w:val="00BF4E04"/>
    <w:rsid w:val="00BF4F10"/>
    <w:rsid w:val="00BF4FC8"/>
    <w:rsid w:val="00BF505D"/>
    <w:rsid w:val="00BF52CF"/>
    <w:rsid w:val="00BF5478"/>
    <w:rsid w:val="00BF551A"/>
    <w:rsid w:val="00BF56D0"/>
    <w:rsid w:val="00BF56E2"/>
    <w:rsid w:val="00BF572A"/>
    <w:rsid w:val="00BF576C"/>
    <w:rsid w:val="00BF5775"/>
    <w:rsid w:val="00BF582B"/>
    <w:rsid w:val="00BF58B7"/>
    <w:rsid w:val="00BF58EE"/>
    <w:rsid w:val="00BF58F8"/>
    <w:rsid w:val="00BF5AA2"/>
    <w:rsid w:val="00BF5AC6"/>
    <w:rsid w:val="00BF5B16"/>
    <w:rsid w:val="00BF5B42"/>
    <w:rsid w:val="00BF5B68"/>
    <w:rsid w:val="00BF5B83"/>
    <w:rsid w:val="00BF5E7A"/>
    <w:rsid w:val="00BF5EF2"/>
    <w:rsid w:val="00BF5F45"/>
    <w:rsid w:val="00BF6044"/>
    <w:rsid w:val="00BF60C1"/>
    <w:rsid w:val="00BF6155"/>
    <w:rsid w:val="00BF6262"/>
    <w:rsid w:val="00BF62AD"/>
    <w:rsid w:val="00BF635D"/>
    <w:rsid w:val="00BF6397"/>
    <w:rsid w:val="00BF63EC"/>
    <w:rsid w:val="00BF64A7"/>
    <w:rsid w:val="00BF64E0"/>
    <w:rsid w:val="00BF65EA"/>
    <w:rsid w:val="00BF65EC"/>
    <w:rsid w:val="00BF66ED"/>
    <w:rsid w:val="00BF6709"/>
    <w:rsid w:val="00BF6723"/>
    <w:rsid w:val="00BF6787"/>
    <w:rsid w:val="00BF6803"/>
    <w:rsid w:val="00BF6877"/>
    <w:rsid w:val="00BF69A5"/>
    <w:rsid w:val="00BF6AD1"/>
    <w:rsid w:val="00BF6BDB"/>
    <w:rsid w:val="00BF6F82"/>
    <w:rsid w:val="00BF6FDE"/>
    <w:rsid w:val="00BF70B5"/>
    <w:rsid w:val="00BF70E2"/>
    <w:rsid w:val="00BF71DB"/>
    <w:rsid w:val="00BF72C1"/>
    <w:rsid w:val="00BF7396"/>
    <w:rsid w:val="00BF73D2"/>
    <w:rsid w:val="00BF7863"/>
    <w:rsid w:val="00BF7A28"/>
    <w:rsid w:val="00BF7B37"/>
    <w:rsid w:val="00BF7B7C"/>
    <w:rsid w:val="00BF7CB7"/>
    <w:rsid w:val="00BF7DD0"/>
    <w:rsid w:val="00BF7E37"/>
    <w:rsid w:val="00BF7FEC"/>
    <w:rsid w:val="00BF7FFD"/>
    <w:rsid w:val="00C000B6"/>
    <w:rsid w:val="00C00354"/>
    <w:rsid w:val="00C00371"/>
    <w:rsid w:val="00C003D9"/>
    <w:rsid w:val="00C00509"/>
    <w:rsid w:val="00C0051A"/>
    <w:rsid w:val="00C005C3"/>
    <w:rsid w:val="00C005F7"/>
    <w:rsid w:val="00C0065F"/>
    <w:rsid w:val="00C0093B"/>
    <w:rsid w:val="00C00A04"/>
    <w:rsid w:val="00C00A29"/>
    <w:rsid w:val="00C00B70"/>
    <w:rsid w:val="00C00C6E"/>
    <w:rsid w:val="00C00D6B"/>
    <w:rsid w:val="00C00DCF"/>
    <w:rsid w:val="00C00E01"/>
    <w:rsid w:val="00C00E80"/>
    <w:rsid w:val="00C00F0E"/>
    <w:rsid w:val="00C00F93"/>
    <w:rsid w:val="00C01002"/>
    <w:rsid w:val="00C01084"/>
    <w:rsid w:val="00C011AF"/>
    <w:rsid w:val="00C014BE"/>
    <w:rsid w:val="00C014F5"/>
    <w:rsid w:val="00C015CD"/>
    <w:rsid w:val="00C016D8"/>
    <w:rsid w:val="00C01744"/>
    <w:rsid w:val="00C017E1"/>
    <w:rsid w:val="00C01AA6"/>
    <w:rsid w:val="00C01AD8"/>
    <w:rsid w:val="00C01AF0"/>
    <w:rsid w:val="00C01C5B"/>
    <w:rsid w:val="00C01C8D"/>
    <w:rsid w:val="00C01DCA"/>
    <w:rsid w:val="00C01F47"/>
    <w:rsid w:val="00C01F61"/>
    <w:rsid w:val="00C01FBB"/>
    <w:rsid w:val="00C01FC8"/>
    <w:rsid w:val="00C02023"/>
    <w:rsid w:val="00C020FC"/>
    <w:rsid w:val="00C02146"/>
    <w:rsid w:val="00C0217C"/>
    <w:rsid w:val="00C02217"/>
    <w:rsid w:val="00C0222B"/>
    <w:rsid w:val="00C022C0"/>
    <w:rsid w:val="00C0235D"/>
    <w:rsid w:val="00C0237F"/>
    <w:rsid w:val="00C023B5"/>
    <w:rsid w:val="00C024A0"/>
    <w:rsid w:val="00C02638"/>
    <w:rsid w:val="00C027BD"/>
    <w:rsid w:val="00C02811"/>
    <w:rsid w:val="00C0288F"/>
    <w:rsid w:val="00C028DC"/>
    <w:rsid w:val="00C02958"/>
    <w:rsid w:val="00C02992"/>
    <w:rsid w:val="00C02A2E"/>
    <w:rsid w:val="00C02B0D"/>
    <w:rsid w:val="00C02B86"/>
    <w:rsid w:val="00C02B87"/>
    <w:rsid w:val="00C02BE9"/>
    <w:rsid w:val="00C02C64"/>
    <w:rsid w:val="00C02EBB"/>
    <w:rsid w:val="00C02F2D"/>
    <w:rsid w:val="00C02FBA"/>
    <w:rsid w:val="00C03034"/>
    <w:rsid w:val="00C032F8"/>
    <w:rsid w:val="00C0332C"/>
    <w:rsid w:val="00C03439"/>
    <w:rsid w:val="00C03462"/>
    <w:rsid w:val="00C0350E"/>
    <w:rsid w:val="00C03619"/>
    <w:rsid w:val="00C036CB"/>
    <w:rsid w:val="00C03740"/>
    <w:rsid w:val="00C0378F"/>
    <w:rsid w:val="00C037CA"/>
    <w:rsid w:val="00C037D0"/>
    <w:rsid w:val="00C03853"/>
    <w:rsid w:val="00C038FF"/>
    <w:rsid w:val="00C0397E"/>
    <w:rsid w:val="00C03B27"/>
    <w:rsid w:val="00C03B2B"/>
    <w:rsid w:val="00C03C1F"/>
    <w:rsid w:val="00C03CCC"/>
    <w:rsid w:val="00C03E7D"/>
    <w:rsid w:val="00C03ED2"/>
    <w:rsid w:val="00C03F8C"/>
    <w:rsid w:val="00C0400F"/>
    <w:rsid w:val="00C04083"/>
    <w:rsid w:val="00C04175"/>
    <w:rsid w:val="00C0430C"/>
    <w:rsid w:val="00C04354"/>
    <w:rsid w:val="00C0438E"/>
    <w:rsid w:val="00C04413"/>
    <w:rsid w:val="00C045D8"/>
    <w:rsid w:val="00C045E2"/>
    <w:rsid w:val="00C045F9"/>
    <w:rsid w:val="00C04638"/>
    <w:rsid w:val="00C046B0"/>
    <w:rsid w:val="00C04790"/>
    <w:rsid w:val="00C048A9"/>
    <w:rsid w:val="00C04911"/>
    <w:rsid w:val="00C04B91"/>
    <w:rsid w:val="00C04C21"/>
    <w:rsid w:val="00C04C2D"/>
    <w:rsid w:val="00C04C60"/>
    <w:rsid w:val="00C04DB5"/>
    <w:rsid w:val="00C04E68"/>
    <w:rsid w:val="00C04E84"/>
    <w:rsid w:val="00C05001"/>
    <w:rsid w:val="00C05057"/>
    <w:rsid w:val="00C05121"/>
    <w:rsid w:val="00C051D8"/>
    <w:rsid w:val="00C05249"/>
    <w:rsid w:val="00C05450"/>
    <w:rsid w:val="00C054BD"/>
    <w:rsid w:val="00C0560D"/>
    <w:rsid w:val="00C0572E"/>
    <w:rsid w:val="00C0587A"/>
    <w:rsid w:val="00C05952"/>
    <w:rsid w:val="00C059C7"/>
    <w:rsid w:val="00C05ACD"/>
    <w:rsid w:val="00C05AE0"/>
    <w:rsid w:val="00C05B5C"/>
    <w:rsid w:val="00C05C1C"/>
    <w:rsid w:val="00C05C26"/>
    <w:rsid w:val="00C05CD5"/>
    <w:rsid w:val="00C05D4B"/>
    <w:rsid w:val="00C05DFC"/>
    <w:rsid w:val="00C0609E"/>
    <w:rsid w:val="00C0626B"/>
    <w:rsid w:val="00C062F5"/>
    <w:rsid w:val="00C0636D"/>
    <w:rsid w:val="00C063E0"/>
    <w:rsid w:val="00C06609"/>
    <w:rsid w:val="00C066BC"/>
    <w:rsid w:val="00C0676C"/>
    <w:rsid w:val="00C0680C"/>
    <w:rsid w:val="00C068F8"/>
    <w:rsid w:val="00C0693F"/>
    <w:rsid w:val="00C06A25"/>
    <w:rsid w:val="00C06FB9"/>
    <w:rsid w:val="00C07111"/>
    <w:rsid w:val="00C07241"/>
    <w:rsid w:val="00C072E7"/>
    <w:rsid w:val="00C0741D"/>
    <w:rsid w:val="00C0745E"/>
    <w:rsid w:val="00C07493"/>
    <w:rsid w:val="00C075EA"/>
    <w:rsid w:val="00C0769E"/>
    <w:rsid w:val="00C077D5"/>
    <w:rsid w:val="00C077E1"/>
    <w:rsid w:val="00C07857"/>
    <w:rsid w:val="00C07962"/>
    <w:rsid w:val="00C079A6"/>
    <w:rsid w:val="00C07D38"/>
    <w:rsid w:val="00C07D43"/>
    <w:rsid w:val="00C07D79"/>
    <w:rsid w:val="00C07DE6"/>
    <w:rsid w:val="00C07DFB"/>
    <w:rsid w:val="00C1007C"/>
    <w:rsid w:val="00C100B9"/>
    <w:rsid w:val="00C10154"/>
    <w:rsid w:val="00C101DE"/>
    <w:rsid w:val="00C1027D"/>
    <w:rsid w:val="00C10422"/>
    <w:rsid w:val="00C10581"/>
    <w:rsid w:val="00C105DB"/>
    <w:rsid w:val="00C10692"/>
    <w:rsid w:val="00C1075F"/>
    <w:rsid w:val="00C107EF"/>
    <w:rsid w:val="00C10920"/>
    <w:rsid w:val="00C10922"/>
    <w:rsid w:val="00C10954"/>
    <w:rsid w:val="00C109C7"/>
    <w:rsid w:val="00C10A06"/>
    <w:rsid w:val="00C10C37"/>
    <w:rsid w:val="00C10C57"/>
    <w:rsid w:val="00C10D07"/>
    <w:rsid w:val="00C10E1A"/>
    <w:rsid w:val="00C10E28"/>
    <w:rsid w:val="00C10E87"/>
    <w:rsid w:val="00C10EBF"/>
    <w:rsid w:val="00C10EE7"/>
    <w:rsid w:val="00C1100E"/>
    <w:rsid w:val="00C11146"/>
    <w:rsid w:val="00C1134A"/>
    <w:rsid w:val="00C1134D"/>
    <w:rsid w:val="00C113F7"/>
    <w:rsid w:val="00C1146C"/>
    <w:rsid w:val="00C1148F"/>
    <w:rsid w:val="00C11619"/>
    <w:rsid w:val="00C116AD"/>
    <w:rsid w:val="00C11762"/>
    <w:rsid w:val="00C11804"/>
    <w:rsid w:val="00C11835"/>
    <w:rsid w:val="00C1188A"/>
    <w:rsid w:val="00C11966"/>
    <w:rsid w:val="00C11B1F"/>
    <w:rsid w:val="00C11C74"/>
    <w:rsid w:val="00C11D58"/>
    <w:rsid w:val="00C11F3F"/>
    <w:rsid w:val="00C11F81"/>
    <w:rsid w:val="00C1217E"/>
    <w:rsid w:val="00C12210"/>
    <w:rsid w:val="00C1228D"/>
    <w:rsid w:val="00C12381"/>
    <w:rsid w:val="00C1254B"/>
    <w:rsid w:val="00C1256A"/>
    <w:rsid w:val="00C125D7"/>
    <w:rsid w:val="00C1263C"/>
    <w:rsid w:val="00C12642"/>
    <w:rsid w:val="00C126C8"/>
    <w:rsid w:val="00C12719"/>
    <w:rsid w:val="00C128D2"/>
    <w:rsid w:val="00C12920"/>
    <w:rsid w:val="00C129E8"/>
    <w:rsid w:val="00C12ACC"/>
    <w:rsid w:val="00C12B8C"/>
    <w:rsid w:val="00C12D12"/>
    <w:rsid w:val="00C12DA5"/>
    <w:rsid w:val="00C12E8D"/>
    <w:rsid w:val="00C12FFC"/>
    <w:rsid w:val="00C1312F"/>
    <w:rsid w:val="00C1315B"/>
    <w:rsid w:val="00C13254"/>
    <w:rsid w:val="00C134F8"/>
    <w:rsid w:val="00C136D4"/>
    <w:rsid w:val="00C13712"/>
    <w:rsid w:val="00C13793"/>
    <w:rsid w:val="00C137D9"/>
    <w:rsid w:val="00C137F6"/>
    <w:rsid w:val="00C1398D"/>
    <w:rsid w:val="00C13AC6"/>
    <w:rsid w:val="00C13B0A"/>
    <w:rsid w:val="00C13D67"/>
    <w:rsid w:val="00C13D9B"/>
    <w:rsid w:val="00C13D9C"/>
    <w:rsid w:val="00C13E17"/>
    <w:rsid w:val="00C13E25"/>
    <w:rsid w:val="00C13E61"/>
    <w:rsid w:val="00C1403A"/>
    <w:rsid w:val="00C140B0"/>
    <w:rsid w:val="00C14115"/>
    <w:rsid w:val="00C14183"/>
    <w:rsid w:val="00C14299"/>
    <w:rsid w:val="00C1429F"/>
    <w:rsid w:val="00C142E4"/>
    <w:rsid w:val="00C14331"/>
    <w:rsid w:val="00C1453B"/>
    <w:rsid w:val="00C147FA"/>
    <w:rsid w:val="00C148E7"/>
    <w:rsid w:val="00C14951"/>
    <w:rsid w:val="00C14C24"/>
    <w:rsid w:val="00C14D1C"/>
    <w:rsid w:val="00C14E61"/>
    <w:rsid w:val="00C14E8B"/>
    <w:rsid w:val="00C14EEC"/>
    <w:rsid w:val="00C14F67"/>
    <w:rsid w:val="00C14FA1"/>
    <w:rsid w:val="00C15045"/>
    <w:rsid w:val="00C150D9"/>
    <w:rsid w:val="00C15129"/>
    <w:rsid w:val="00C15208"/>
    <w:rsid w:val="00C1520C"/>
    <w:rsid w:val="00C15322"/>
    <w:rsid w:val="00C15467"/>
    <w:rsid w:val="00C154BB"/>
    <w:rsid w:val="00C154C8"/>
    <w:rsid w:val="00C154E3"/>
    <w:rsid w:val="00C1555C"/>
    <w:rsid w:val="00C15564"/>
    <w:rsid w:val="00C15576"/>
    <w:rsid w:val="00C1567A"/>
    <w:rsid w:val="00C1569A"/>
    <w:rsid w:val="00C156E5"/>
    <w:rsid w:val="00C15859"/>
    <w:rsid w:val="00C158B4"/>
    <w:rsid w:val="00C159EF"/>
    <w:rsid w:val="00C159F0"/>
    <w:rsid w:val="00C15D9F"/>
    <w:rsid w:val="00C15E16"/>
    <w:rsid w:val="00C15E38"/>
    <w:rsid w:val="00C15F4E"/>
    <w:rsid w:val="00C15FD5"/>
    <w:rsid w:val="00C15FF0"/>
    <w:rsid w:val="00C1606E"/>
    <w:rsid w:val="00C160D7"/>
    <w:rsid w:val="00C16113"/>
    <w:rsid w:val="00C161F8"/>
    <w:rsid w:val="00C1638C"/>
    <w:rsid w:val="00C1639D"/>
    <w:rsid w:val="00C16447"/>
    <w:rsid w:val="00C165E8"/>
    <w:rsid w:val="00C16649"/>
    <w:rsid w:val="00C16662"/>
    <w:rsid w:val="00C1669A"/>
    <w:rsid w:val="00C166B7"/>
    <w:rsid w:val="00C167EB"/>
    <w:rsid w:val="00C16856"/>
    <w:rsid w:val="00C16902"/>
    <w:rsid w:val="00C169EB"/>
    <w:rsid w:val="00C16B3A"/>
    <w:rsid w:val="00C16B84"/>
    <w:rsid w:val="00C16BAD"/>
    <w:rsid w:val="00C16BED"/>
    <w:rsid w:val="00C16C30"/>
    <w:rsid w:val="00C16C62"/>
    <w:rsid w:val="00C16D2F"/>
    <w:rsid w:val="00C16D50"/>
    <w:rsid w:val="00C16D86"/>
    <w:rsid w:val="00C16D95"/>
    <w:rsid w:val="00C16E13"/>
    <w:rsid w:val="00C16E65"/>
    <w:rsid w:val="00C16E71"/>
    <w:rsid w:val="00C16E94"/>
    <w:rsid w:val="00C16F02"/>
    <w:rsid w:val="00C16F20"/>
    <w:rsid w:val="00C16F2C"/>
    <w:rsid w:val="00C172C2"/>
    <w:rsid w:val="00C1739E"/>
    <w:rsid w:val="00C174B9"/>
    <w:rsid w:val="00C175B7"/>
    <w:rsid w:val="00C1769D"/>
    <w:rsid w:val="00C17702"/>
    <w:rsid w:val="00C177B2"/>
    <w:rsid w:val="00C177DE"/>
    <w:rsid w:val="00C17912"/>
    <w:rsid w:val="00C179CC"/>
    <w:rsid w:val="00C17A94"/>
    <w:rsid w:val="00C17C20"/>
    <w:rsid w:val="00C17C26"/>
    <w:rsid w:val="00C17C6D"/>
    <w:rsid w:val="00C17C75"/>
    <w:rsid w:val="00C17CD3"/>
    <w:rsid w:val="00C17CDD"/>
    <w:rsid w:val="00C17D3A"/>
    <w:rsid w:val="00C17DA5"/>
    <w:rsid w:val="00C17F1D"/>
    <w:rsid w:val="00C2004D"/>
    <w:rsid w:val="00C20110"/>
    <w:rsid w:val="00C2019E"/>
    <w:rsid w:val="00C2025A"/>
    <w:rsid w:val="00C20382"/>
    <w:rsid w:val="00C20406"/>
    <w:rsid w:val="00C20625"/>
    <w:rsid w:val="00C20655"/>
    <w:rsid w:val="00C206A4"/>
    <w:rsid w:val="00C208EE"/>
    <w:rsid w:val="00C20B56"/>
    <w:rsid w:val="00C20B80"/>
    <w:rsid w:val="00C20BB5"/>
    <w:rsid w:val="00C20E3C"/>
    <w:rsid w:val="00C20EF3"/>
    <w:rsid w:val="00C20F3A"/>
    <w:rsid w:val="00C20F94"/>
    <w:rsid w:val="00C21032"/>
    <w:rsid w:val="00C21093"/>
    <w:rsid w:val="00C210E0"/>
    <w:rsid w:val="00C210F0"/>
    <w:rsid w:val="00C2131C"/>
    <w:rsid w:val="00C214BF"/>
    <w:rsid w:val="00C21735"/>
    <w:rsid w:val="00C21736"/>
    <w:rsid w:val="00C21902"/>
    <w:rsid w:val="00C21BA7"/>
    <w:rsid w:val="00C21BB7"/>
    <w:rsid w:val="00C21CE4"/>
    <w:rsid w:val="00C21D29"/>
    <w:rsid w:val="00C21D54"/>
    <w:rsid w:val="00C21DD8"/>
    <w:rsid w:val="00C21DFF"/>
    <w:rsid w:val="00C21F6B"/>
    <w:rsid w:val="00C2200B"/>
    <w:rsid w:val="00C22099"/>
    <w:rsid w:val="00C221D1"/>
    <w:rsid w:val="00C22234"/>
    <w:rsid w:val="00C2225D"/>
    <w:rsid w:val="00C22408"/>
    <w:rsid w:val="00C2248A"/>
    <w:rsid w:val="00C224C7"/>
    <w:rsid w:val="00C225D4"/>
    <w:rsid w:val="00C225F5"/>
    <w:rsid w:val="00C2272D"/>
    <w:rsid w:val="00C227C9"/>
    <w:rsid w:val="00C22802"/>
    <w:rsid w:val="00C22836"/>
    <w:rsid w:val="00C22875"/>
    <w:rsid w:val="00C22926"/>
    <w:rsid w:val="00C2296E"/>
    <w:rsid w:val="00C229CF"/>
    <w:rsid w:val="00C22B6A"/>
    <w:rsid w:val="00C22B7D"/>
    <w:rsid w:val="00C22BC5"/>
    <w:rsid w:val="00C22D5F"/>
    <w:rsid w:val="00C22FBB"/>
    <w:rsid w:val="00C2300A"/>
    <w:rsid w:val="00C23041"/>
    <w:rsid w:val="00C2304B"/>
    <w:rsid w:val="00C23084"/>
    <w:rsid w:val="00C23107"/>
    <w:rsid w:val="00C231AA"/>
    <w:rsid w:val="00C231F8"/>
    <w:rsid w:val="00C2328A"/>
    <w:rsid w:val="00C233A1"/>
    <w:rsid w:val="00C233BE"/>
    <w:rsid w:val="00C233D9"/>
    <w:rsid w:val="00C23448"/>
    <w:rsid w:val="00C234A4"/>
    <w:rsid w:val="00C23599"/>
    <w:rsid w:val="00C235AE"/>
    <w:rsid w:val="00C23645"/>
    <w:rsid w:val="00C2365B"/>
    <w:rsid w:val="00C236E5"/>
    <w:rsid w:val="00C23809"/>
    <w:rsid w:val="00C23869"/>
    <w:rsid w:val="00C23939"/>
    <w:rsid w:val="00C2394D"/>
    <w:rsid w:val="00C23955"/>
    <w:rsid w:val="00C239B1"/>
    <w:rsid w:val="00C239EC"/>
    <w:rsid w:val="00C23A87"/>
    <w:rsid w:val="00C23AA3"/>
    <w:rsid w:val="00C23AEF"/>
    <w:rsid w:val="00C23B0C"/>
    <w:rsid w:val="00C23B54"/>
    <w:rsid w:val="00C23BED"/>
    <w:rsid w:val="00C23D21"/>
    <w:rsid w:val="00C23E6D"/>
    <w:rsid w:val="00C23E7D"/>
    <w:rsid w:val="00C23F23"/>
    <w:rsid w:val="00C23F43"/>
    <w:rsid w:val="00C23F44"/>
    <w:rsid w:val="00C23FB6"/>
    <w:rsid w:val="00C24096"/>
    <w:rsid w:val="00C240D3"/>
    <w:rsid w:val="00C24269"/>
    <w:rsid w:val="00C2446D"/>
    <w:rsid w:val="00C24530"/>
    <w:rsid w:val="00C2456A"/>
    <w:rsid w:val="00C24585"/>
    <w:rsid w:val="00C245C8"/>
    <w:rsid w:val="00C246E0"/>
    <w:rsid w:val="00C246E1"/>
    <w:rsid w:val="00C24745"/>
    <w:rsid w:val="00C248B2"/>
    <w:rsid w:val="00C24906"/>
    <w:rsid w:val="00C249C4"/>
    <w:rsid w:val="00C249EA"/>
    <w:rsid w:val="00C24AA0"/>
    <w:rsid w:val="00C24AF3"/>
    <w:rsid w:val="00C24B20"/>
    <w:rsid w:val="00C24B81"/>
    <w:rsid w:val="00C24BA0"/>
    <w:rsid w:val="00C24C98"/>
    <w:rsid w:val="00C24CDF"/>
    <w:rsid w:val="00C24D4B"/>
    <w:rsid w:val="00C24DA9"/>
    <w:rsid w:val="00C24E28"/>
    <w:rsid w:val="00C24E3C"/>
    <w:rsid w:val="00C24E9A"/>
    <w:rsid w:val="00C24EB1"/>
    <w:rsid w:val="00C2519E"/>
    <w:rsid w:val="00C25237"/>
    <w:rsid w:val="00C25292"/>
    <w:rsid w:val="00C252D4"/>
    <w:rsid w:val="00C2531B"/>
    <w:rsid w:val="00C25396"/>
    <w:rsid w:val="00C25476"/>
    <w:rsid w:val="00C254B7"/>
    <w:rsid w:val="00C25547"/>
    <w:rsid w:val="00C2572D"/>
    <w:rsid w:val="00C259BC"/>
    <w:rsid w:val="00C25AB0"/>
    <w:rsid w:val="00C25AF3"/>
    <w:rsid w:val="00C25B24"/>
    <w:rsid w:val="00C25D15"/>
    <w:rsid w:val="00C25D45"/>
    <w:rsid w:val="00C25DD4"/>
    <w:rsid w:val="00C261D4"/>
    <w:rsid w:val="00C263BC"/>
    <w:rsid w:val="00C263DC"/>
    <w:rsid w:val="00C26460"/>
    <w:rsid w:val="00C264D3"/>
    <w:rsid w:val="00C26554"/>
    <w:rsid w:val="00C265C5"/>
    <w:rsid w:val="00C2666A"/>
    <w:rsid w:val="00C2666C"/>
    <w:rsid w:val="00C26794"/>
    <w:rsid w:val="00C26898"/>
    <w:rsid w:val="00C268A4"/>
    <w:rsid w:val="00C268C7"/>
    <w:rsid w:val="00C26907"/>
    <w:rsid w:val="00C26AD2"/>
    <w:rsid w:val="00C26C6C"/>
    <w:rsid w:val="00C26EE9"/>
    <w:rsid w:val="00C26EF7"/>
    <w:rsid w:val="00C26F26"/>
    <w:rsid w:val="00C26F4E"/>
    <w:rsid w:val="00C26FAA"/>
    <w:rsid w:val="00C27102"/>
    <w:rsid w:val="00C27332"/>
    <w:rsid w:val="00C274A5"/>
    <w:rsid w:val="00C27517"/>
    <w:rsid w:val="00C27593"/>
    <w:rsid w:val="00C2759B"/>
    <w:rsid w:val="00C275D3"/>
    <w:rsid w:val="00C275EF"/>
    <w:rsid w:val="00C27620"/>
    <w:rsid w:val="00C27682"/>
    <w:rsid w:val="00C27A2E"/>
    <w:rsid w:val="00C27A6D"/>
    <w:rsid w:val="00C27A74"/>
    <w:rsid w:val="00C27B43"/>
    <w:rsid w:val="00C27CB5"/>
    <w:rsid w:val="00C27D5D"/>
    <w:rsid w:val="00C27DD1"/>
    <w:rsid w:val="00C27E83"/>
    <w:rsid w:val="00C27EC7"/>
    <w:rsid w:val="00C27F70"/>
    <w:rsid w:val="00C3021C"/>
    <w:rsid w:val="00C30281"/>
    <w:rsid w:val="00C302AA"/>
    <w:rsid w:val="00C302AD"/>
    <w:rsid w:val="00C302CF"/>
    <w:rsid w:val="00C30386"/>
    <w:rsid w:val="00C303E1"/>
    <w:rsid w:val="00C3048E"/>
    <w:rsid w:val="00C304E5"/>
    <w:rsid w:val="00C305BE"/>
    <w:rsid w:val="00C307D4"/>
    <w:rsid w:val="00C30825"/>
    <w:rsid w:val="00C30830"/>
    <w:rsid w:val="00C309E4"/>
    <w:rsid w:val="00C30DA1"/>
    <w:rsid w:val="00C30DFE"/>
    <w:rsid w:val="00C30E03"/>
    <w:rsid w:val="00C30E63"/>
    <w:rsid w:val="00C30E9B"/>
    <w:rsid w:val="00C30F26"/>
    <w:rsid w:val="00C30F6E"/>
    <w:rsid w:val="00C30FF3"/>
    <w:rsid w:val="00C3108A"/>
    <w:rsid w:val="00C31261"/>
    <w:rsid w:val="00C3127C"/>
    <w:rsid w:val="00C3135A"/>
    <w:rsid w:val="00C31370"/>
    <w:rsid w:val="00C313E7"/>
    <w:rsid w:val="00C314C7"/>
    <w:rsid w:val="00C3155B"/>
    <w:rsid w:val="00C315F0"/>
    <w:rsid w:val="00C31692"/>
    <w:rsid w:val="00C3171E"/>
    <w:rsid w:val="00C31776"/>
    <w:rsid w:val="00C3178E"/>
    <w:rsid w:val="00C3187E"/>
    <w:rsid w:val="00C31B27"/>
    <w:rsid w:val="00C31C9D"/>
    <w:rsid w:val="00C31E59"/>
    <w:rsid w:val="00C31E60"/>
    <w:rsid w:val="00C31EE1"/>
    <w:rsid w:val="00C31FC2"/>
    <w:rsid w:val="00C322F1"/>
    <w:rsid w:val="00C323FC"/>
    <w:rsid w:val="00C32448"/>
    <w:rsid w:val="00C3246B"/>
    <w:rsid w:val="00C32582"/>
    <w:rsid w:val="00C325D2"/>
    <w:rsid w:val="00C32712"/>
    <w:rsid w:val="00C3276B"/>
    <w:rsid w:val="00C32783"/>
    <w:rsid w:val="00C327B7"/>
    <w:rsid w:val="00C32866"/>
    <w:rsid w:val="00C32878"/>
    <w:rsid w:val="00C32920"/>
    <w:rsid w:val="00C32A26"/>
    <w:rsid w:val="00C32A9C"/>
    <w:rsid w:val="00C32B7F"/>
    <w:rsid w:val="00C32C25"/>
    <w:rsid w:val="00C32CC3"/>
    <w:rsid w:val="00C32E9B"/>
    <w:rsid w:val="00C33053"/>
    <w:rsid w:val="00C331D6"/>
    <w:rsid w:val="00C332EF"/>
    <w:rsid w:val="00C333F4"/>
    <w:rsid w:val="00C33509"/>
    <w:rsid w:val="00C335AE"/>
    <w:rsid w:val="00C335B8"/>
    <w:rsid w:val="00C335C4"/>
    <w:rsid w:val="00C335DD"/>
    <w:rsid w:val="00C33695"/>
    <w:rsid w:val="00C336E3"/>
    <w:rsid w:val="00C33956"/>
    <w:rsid w:val="00C33A01"/>
    <w:rsid w:val="00C33BC8"/>
    <w:rsid w:val="00C33C23"/>
    <w:rsid w:val="00C33C66"/>
    <w:rsid w:val="00C33CC8"/>
    <w:rsid w:val="00C33CEE"/>
    <w:rsid w:val="00C33D8E"/>
    <w:rsid w:val="00C33F36"/>
    <w:rsid w:val="00C33F64"/>
    <w:rsid w:val="00C33FF5"/>
    <w:rsid w:val="00C34093"/>
    <w:rsid w:val="00C340B0"/>
    <w:rsid w:val="00C34168"/>
    <w:rsid w:val="00C34169"/>
    <w:rsid w:val="00C341A9"/>
    <w:rsid w:val="00C341B8"/>
    <w:rsid w:val="00C34238"/>
    <w:rsid w:val="00C34275"/>
    <w:rsid w:val="00C34323"/>
    <w:rsid w:val="00C3436C"/>
    <w:rsid w:val="00C344E7"/>
    <w:rsid w:val="00C34762"/>
    <w:rsid w:val="00C348ED"/>
    <w:rsid w:val="00C34941"/>
    <w:rsid w:val="00C349F6"/>
    <w:rsid w:val="00C34C25"/>
    <w:rsid w:val="00C34C57"/>
    <w:rsid w:val="00C34C62"/>
    <w:rsid w:val="00C34D1E"/>
    <w:rsid w:val="00C34DFD"/>
    <w:rsid w:val="00C34E8B"/>
    <w:rsid w:val="00C34EBB"/>
    <w:rsid w:val="00C34F1A"/>
    <w:rsid w:val="00C35014"/>
    <w:rsid w:val="00C35410"/>
    <w:rsid w:val="00C3546E"/>
    <w:rsid w:val="00C35497"/>
    <w:rsid w:val="00C35503"/>
    <w:rsid w:val="00C35813"/>
    <w:rsid w:val="00C35846"/>
    <w:rsid w:val="00C3585C"/>
    <w:rsid w:val="00C35BAE"/>
    <w:rsid w:val="00C35D9A"/>
    <w:rsid w:val="00C35DF9"/>
    <w:rsid w:val="00C35F94"/>
    <w:rsid w:val="00C3604C"/>
    <w:rsid w:val="00C3609A"/>
    <w:rsid w:val="00C36139"/>
    <w:rsid w:val="00C36153"/>
    <w:rsid w:val="00C361CD"/>
    <w:rsid w:val="00C3623D"/>
    <w:rsid w:val="00C3633A"/>
    <w:rsid w:val="00C3635A"/>
    <w:rsid w:val="00C3641C"/>
    <w:rsid w:val="00C3662C"/>
    <w:rsid w:val="00C36633"/>
    <w:rsid w:val="00C3666D"/>
    <w:rsid w:val="00C366D8"/>
    <w:rsid w:val="00C366E2"/>
    <w:rsid w:val="00C36795"/>
    <w:rsid w:val="00C367D5"/>
    <w:rsid w:val="00C36835"/>
    <w:rsid w:val="00C368B1"/>
    <w:rsid w:val="00C36920"/>
    <w:rsid w:val="00C369A1"/>
    <w:rsid w:val="00C369AC"/>
    <w:rsid w:val="00C36B7C"/>
    <w:rsid w:val="00C36B8B"/>
    <w:rsid w:val="00C36C18"/>
    <w:rsid w:val="00C36C31"/>
    <w:rsid w:val="00C36D13"/>
    <w:rsid w:val="00C36D54"/>
    <w:rsid w:val="00C36DBD"/>
    <w:rsid w:val="00C36DED"/>
    <w:rsid w:val="00C36FDC"/>
    <w:rsid w:val="00C3703B"/>
    <w:rsid w:val="00C371C7"/>
    <w:rsid w:val="00C3723F"/>
    <w:rsid w:val="00C37247"/>
    <w:rsid w:val="00C3730A"/>
    <w:rsid w:val="00C3739C"/>
    <w:rsid w:val="00C37409"/>
    <w:rsid w:val="00C3741B"/>
    <w:rsid w:val="00C37477"/>
    <w:rsid w:val="00C376A6"/>
    <w:rsid w:val="00C376C6"/>
    <w:rsid w:val="00C37985"/>
    <w:rsid w:val="00C37B63"/>
    <w:rsid w:val="00C37B8B"/>
    <w:rsid w:val="00C37D3B"/>
    <w:rsid w:val="00C401E5"/>
    <w:rsid w:val="00C4046D"/>
    <w:rsid w:val="00C4049C"/>
    <w:rsid w:val="00C406A8"/>
    <w:rsid w:val="00C407CC"/>
    <w:rsid w:val="00C407DA"/>
    <w:rsid w:val="00C407E5"/>
    <w:rsid w:val="00C4086A"/>
    <w:rsid w:val="00C408E0"/>
    <w:rsid w:val="00C40988"/>
    <w:rsid w:val="00C409CA"/>
    <w:rsid w:val="00C409E7"/>
    <w:rsid w:val="00C40A9B"/>
    <w:rsid w:val="00C40ABE"/>
    <w:rsid w:val="00C40B76"/>
    <w:rsid w:val="00C40B7C"/>
    <w:rsid w:val="00C40C1D"/>
    <w:rsid w:val="00C40CC7"/>
    <w:rsid w:val="00C40CDF"/>
    <w:rsid w:val="00C40E2C"/>
    <w:rsid w:val="00C40EAD"/>
    <w:rsid w:val="00C40EB7"/>
    <w:rsid w:val="00C40F89"/>
    <w:rsid w:val="00C4103E"/>
    <w:rsid w:val="00C41078"/>
    <w:rsid w:val="00C41135"/>
    <w:rsid w:val="00C41149"/>
    <w:rsid w:val="00C411A3"/>
    <w:rsid w:val="00C411F2"/>
    <w:rsid w:val="00C41217"/>
    <w:rsid w:val="00C41341"/>
    <w:rsid w:val="00C41369"/>
    <w:rsid w:val="00C4139E"/>
    <w:rsid w:val="00C41444"/>
    <w:rsid w:val="00C4144D"/>
    <w:rsid w:val="00C41462"/>
    <w:rsid w:val="00C41538"/>
    <w:rsid w:val="00C41687"/>
    <w:rsid w:val="00C41887"/>
    <w:rsid w:val="00C41962"/>
    <w:rsid w:val="00C4199A"/>
    <w:rsid w:val="00C419D3"/>
    <w:rsid w:val="00C41AD8"/>
    <w:rsid w:val="00C41BDA"/>
    <w:rsid w:val="00C41C75"/>
    <w:rsid w:val="00C41C82"/>
    <w:rsid w:val="00C41CE2"/>
    <w:rsid w:val="00C41D01"/>
    <w:rsid w:val="00C41D2C"/>
    <w:rsid w:val="00C41D76"/>
    <w:rsid w:val="00C41D81"/>
    <w:rsid w:val="00C41DF1"/>
    <w:rsid w:val="00C41E1D"/>
    <w:rsid w:val="00C41EE6"/>
    <w:rsid w:val="00C41EF8"/>
    <w:rsid w:val="00C41F96"/>
    <w:rsid w:val="00C41FA0"/>
    <w:rsid w:val="00C41FA3"/>
    <w:rsid w:val="00C42094"/>
    <w:rsid w:val="00C42103"/>
    <w:rsid w:val="00C42105"/>
    <w:rsid w:val="00C42183"/>
    <w:rsid w:val="00C42277"/>
    <w:rsid w:val="00C42285"/>
    <w:rsid w:val="00C4240B"/>
    <w:rsid w:val="00C4249E"/>
    <w:rsid w:val="00C424F2"/>
    <w:rsid w:val="00C42714"/>
    <w:rsid w:val="00C428CF"/>
    <w:rsid w:val="00C42929"/>
    <w:rsid w:val="00C429B7"/>
    <w:rsid w:val="00C42A39"/>
    <w:rsid w:val="00C42A88"/>
    <w:rsid w:val="00C42BAB"/>
    <w:rsid w:val="00C42BDB"/>
    <w:rsid w:val="00C42E59"/>
    <w:rsid w:val="00C42ED4"/>
    <w:rsid w:val="00C42FE9"/>
    <w:rsid w:val="00C43233"/>
    <w:rsid w:val="00C432D0"/>
    <w:rsid w:val="00C433D4"/>
    <w:rsid w:val="00C43450"/>
    <w:rsid w:val="00C43627"/>
    <w:rsid w:val="00C438C1"/>
    <w:rsid w:val="00C438C3"/>
    <w:rsid w:val="00C43928"/>
    <w:rsid w:val="00C439FB"/>
    <w:rsid w:val="00C43B38"/>
    <w:rsid w:val="00C43D07"/>
    <w:rsid w:val="00C43E06"/>
    <w:rsid w:val="00C43E2A"/>
    <w:rsid w:val="00C43EC9"/>
    <w:rsid w:val="00C43F23"/>
    <w:rsid w:val="00C43F6A"/>
    <w:rsid w:val="00C43FD5"/>
    <w:rsid w:val="00C4405C"/>
    <w:rsid w:val="00C4406F"/>
    <w:rsid w:val="00C4419A"/>
    <w:rsid w:val="00C44404"/>
    <w:rsid w:val="00C44428"/>
    <w:rsid w:val="00C4453C"/>
    <w:rsid w:val="00C44803"/>
    <w:rsid w:val="00C44941"/>
    <w:rsid w:val="00C4494E"/>
    <w:rsid w:val="00C44954"/>
    <w:rsid w:val="00C44A3D"/>
    <w:rsid w:val="00C44B1E"/>
    <w:rsid w:val="00C44C89"/>
    <w:rsid w:val="00C44DFC"/>
    <w:rsid w:val="00C44F4D"/>
    <w:rsid w:val="00C45009"/>
    <w:rsid w:val="00C45056"/>
    <w:rsid w:val="00C450F1"/>
    <w:rsid w:val="00C45169"/>
    <w:rsid w:val="00C451E7"/>
    <w:rsid w:val="00C4520F"/>
    <w:rsid w:val="00C452E2"/>
    <w:rsid w:val="00C45487"/>
    <w:rsid w:val="00C454B7"/>
    <w:rsid w:val="00C45516"/>
    <w:rsid w:val="00C455A7"/>
    <w:rsid w:val="00C45637"/>
    <w:rsid w:val="00C45720"/>
    <w:rsid w:val="00C458F8"/>
    <w:rsid w:val="00C4595F"/>
    <w:rsid w:val="00C45A69"/>
    <w:rsid w:val="00C45B1D"/>
    <w:rsid w:val="00C45B22"/>
    <w:rsid w:val="00C45CAC"/>
    <w:rsid w:val="00C45DBB"/>
    <w:rsid w:val="00C45DFB"/>
    <w:rsid w:val="00C45F17"/>
    <w:rsid w:val="00C45FC2"/>
    <w:rsid w:val="00C460A6"/>
    <w:rsid w:val="00C463CD"/>
    <w:rsid w:val="00C463EB"/>
    <w:rsid w:val="00C46495"/>
    <w:rsid w:val="00C46536"/>
    <w:rsid w:val="00C4654D"/>
    <w:rsid w:val="00C46574"/>
    <w:rsid w:val="00C46610"/>
    <w:rsid w:val="00C46900"/>
    <w:rsid w:val="00C46C44"/>
    <w:rsid w:val="00C46CBD"/>
    <w:rsid w:val="00C46E18"/>
    <w:rsid w:val="00C46ED6"/>
    <w:rsid w:val="00C46FA7"/>
    <w:rsid w:val="00C46FE1"/>
    <w:rsid w:val="00C47034"/>
    <w:rsid w:val="00C47096"/>
    <w:rsid w:val="00C4717A"/>
    <w:rsid w:val="00C471B1"/>
    <w:rsid w:val="00C473EC"/>
    <w:rsid w:val="00C4767F"/>
    <w:rsid w:val="00C478A5"/>
    <w:rsid w:val="00C478DA"/>
    <w:rsid w:val="00C47937"/>
    <w:rsid w:val="00C479D7"/>
    <w:rsid w:val="00C47B4B"/>
    <w:rsid w:val="00C47BA5"/>
    <w:rsid w:val="00C47CE7"/>
    <w:rsid w:val="00C47D13"/>
    <w:rsid w:val="00C47E34"/>
    <w:rsid w:val="00C47E5B"/>
    <w:rsid w:val="00C47EE9"/>
    <w:rsid w:val="00C5000B"/>
    <w:rsid w:val="00C5004C"/>
    <w:rsid w:val="00C50174"/>
    <w:rsid w:val="00C501A5"/>
    <w:rsid w:val="00C50250"/>
    <w:rsid w:val="00C5029E"/>
    <w:rsid w:val="00C50304"/>
    <w:rsid w:val="00C50362"/>
    <w:rsid w:val="00C503C7"/>
    <w:rsid w:val="00C5040D"/>
    <w:rsid w:val="00C505EF"/>
    <w:rsid w:val="00C5067F"/>
    <w:rsid w:val="00C50756"/>
    <w:rsid w:val="00C509DE"/>
    <w:rsid w:val="00C50A8D"/>
    <w:rsid w:val="00C50AAA"/>
    <w:rsid w:val="00C50B23"/>
    <w:rsid w:val="00C51003"/>
    <w:rsid w:val="00C510C6"/>
    <w:rsid w:val="00C513F8"/>
    <w:rsid w:val="00C5143B"/>
    <w:rsid w:val="00C5147B"/>
    <w:rsid w:val="00C51490"/>
    <w:rsid w:val="00C514A0"/>
    <w:rsid w:val="00C51571"/>
    <w:rsid w:val="00C51641"/>
    <w:rsid w:val="00C5168C"/>
    <w:rsid w:val="00C519D8"/>
    <w:rsid w:val="00C51AE3"/>
    <w:rsid w:val="00C51B19"/>
    <w:rsid w:val="00C51BCE"/>
    <w:rsid w:val="00C51C87"/>
    <w:rsid w:val="00C51CFE"/>
    <w:rsid w:val="00C51F5C"/>
    <w:rsid w:val="00C51F98"/>
    <w:rsid w:val="00C5202A"/>
    <w:rsid w:val="00C520E5"/>
    <w:rsid w:val="00C5213E"/>
    <w:rsid w:val="00C521AE"/>
    <w:rsid w:val="00C521DD"/>
    <w:rsid w:val="00C52270"/>
    <w:rsid w:val="00C52283"/>
    <w:rsid w:val="00C52332"/>
    <w:rsid w:val="00C5240A"/>
    <w:rsid w:val="00C52451"/>
    <w:rsid w:val="00C524B2"/>
    <w:rsid w:val="00C524C0"/>
    <w:rsid w:val="00C52696"/>
    <w:rsid w:val="00C52772"/>
    <w:rsid w:val="00C528C0"/>
    <w:rsid w:val="00C528F6"/>
    <w:rsid w:val="00C529AA"/>
    <w:rsid w:val="00C52A59"/>
    <w:rsid w:val="00C52A80"/>
    <w:rsid w:val="00C52AB9"/>
    <w:rsid w:val="00C52AD4"/>
    <w:rsid w:val="00C52B48"/>
    <w:rsid w:val="00C52BA2"/>
    <w:rsid w:val="00C52BD1"/>
    <w:rsid w:val="00C52EB5"/>
    <w:rsid w:val="00C52EBF"/>
    <w:rsid w:val="00C52EFD"/>
    <w:rsid w:val="00C52F03"/>
    <w:rsid w:val="00C52F63"/>
    <w:rsid w:val="00C52FB2"/>
    <w:rsid w:val="00C531D9"/>
    <w:rsid w:val="00C532BA"/>
    <w:rsid w:val="00C532D9"/>
    <w:rsid w:val="00C5331B"/>
    <w:rsid w:val="00C53385"/>
    <w:rsid w:val="00C534A1"/>
    <w:rsid w:val="00C534CF"/>
    <w:rsid w:val="00C536AF"/>
    <w:rsid w:val="00C53724"/>
    <w:rsid w:val="00C537DF"/>
    <w:rsid w:val="00C53874"/>
    <w:rsid w:val="00C53893"/>
    <w:rsid w:val="00C538BC"/>
    <w:rsid w:val="00C53918"/>
    <w:rsid w:val="00C53957"/>
    <w:rsid w:val="00C539EB"/>
    <w:rsid w:val="00C53AAE"/>
    <w:rsid w:val="00C53AC8"/>
    <w:rsid w:val="00C53B11"/>
    <w:rsid w:val="00C53B41"/>
    <w:rsid w:val="00C53B9C"/>
    <w:rsid w:val="00C53C78"/>
    <w:rsid w:val="00C53CAA"/>
    <w:rsid w:val="00C53CE4"/>
    <w:rsid w:val="00C53D45"/>
    <w:rsid w:val="00C53D86"/>
    <w:rsid w:val="00C53EB1"/>
    <w:rsid w:val="00C53F4A"/>
    <w:rsid w:val="00C54025"/>
    <w:rsid w:val="00C540B4"/>
    <w:rsid w:val="00C5412B"/>
    <w:rsid w:val="00C541DC"/>
    <w:rsid w:val="00C5421B"/>
    <w:rsid w:val="00C5430F"/>
    <w:rsid w:val="00C543A3"/>
    <w:rsid w:val="00C54408"/>
    <w:rsid w:val="00C54415"/>
    <w:rsid w:val="00C5441C"/>
    <w:rsid w:val="00C5449E"/>
    <w:rsid w:val="00C544BF"/>
    <w:rsid w:val="00C54515"/>
    <w:rsid w:val="00C5465B"/>
    <w:rsid w:val="00C547B2"/>
    <w:rsid w:val="00C547B4"/>
    <w:rsid w:val="00C548DC"/>
    <w:rsid w:val="00C54947"/>
    <w:rsid w:val="00C5494E"/>
    <w:rsid w:val="00C54990"/>
    <w:rsid w:val="00C54A26"/>
    <w:rsid w:val="00C54A97"/>
    <w:rsid w:val="00C54CF7"/>
    <w:rsid w:val="00C54E3E"/>
    <w:rsid w:val="00C55043"/>
    <w:rsid w:val="00C55069"/>
    <w:rsid w:val="00C550E9"/>
    <w:rsid w:val="00C5519D"/>
    <w:rsid w:val="00C551A2"/>
    <w:rsid w:val="00C551DD"/>
    <w:rsid w:val="00C55227"/>
    <w:rsid w:val="00C55250"/>
    <w:rsid w:val="00C55253"/>
    <w:rsid w:val="00C5530C"/>
    <w:rsid w:val="00C5549D"/>
    <w:rsid w:val="00C554A6"/>
    <w:rsid w:val="00C55562"/>
    <w:rsid w:val="00C5562C"/>
    <w:rsid w:val="00C55648"/>
    <w:rsid w:val="00C556A9"/>
    <w:rsid w:val="00C556D2"/>
    <w:rsid w:val="00C55785"/>
    <w:rsid w:val="00C557A1"/>
    <w:rsid w:val="00C557E3"/>
    <w:rsid w:val="00C55839"/>
    <w:rsid w:val="00C5590C"/>
    <w:rsid w:val="00C55A11"/>
    <w:rsid w:val="00C55BF9"/>
    <w:rsid w:val="00C55C19"/>
    <w:rsid w:val="00C55C4D"/>
    <w:rsid w:val="00C55D80"/>
    <w:rsid w:val="00C55F5C"/>
    <w:rsid w:val="00C56346"/>
    <w:rsid w:val="00C56546"/>
    <w:rsid w:val="00C565F9"/>
    <w:rsid w:val="00C5669C"/>
    <w:rsid w:val="00C566DD"/>
    <w:rsid w:val="00C56706"/>
    <w:rsid w:val="00C5672D"/>
    <w:rsid w:val="00C56777"/>
    <w:rsid w:val="00C567D0"/>
    <w:rsid w:val="00C567D9"/>
    <w:rsid w:val="00C56813"/>
    <w:rsid w:val="00C56831"/>
    <w:rsid w:val="00C56A14"/>
    <w:rsid w:val="00C56B6A"/>
    <w:rsid w:val="00C56BB6"/>
    <w:rsid w:val="00C56C2A"/>
    <w:rsid w:val="00C56C88"/>
    <w:rsid w:val="00C56D9D"/>
    <w:rsid w:val="00C56F3E"/>
    <w:rsid w:val="00C56F4D"/>
    <w:rsid w:val="00C56F9F"/>
    <w:rsid w:val="00C571CF"/>
    <w:rsid w:val="00C573FB"/>
    <w:rsid w:val="00C57405"/>
    <w:rsid w:val="00C5743F"/>
    <w:rsid w:val="00C57479"/>
    <w:rsid w:val="00C5747C"/>
    <w:rsid w:val="00C574F6"/>
    <w:rsid w:val="00C57599"/>
    <w:rsid w:val="00C575A2"/>
    <w:rsid w:val="00C575CC"/>
    <w:rsid w:val="00C57708"/>
    <w:rsid w:val="00C57792"/>
    <w:rsid w:val="00C577DF"/>
    <w:rsid w:val="00C57850"/>
    <w:rsid w:val="00C578CF"/>
    <w:rsid w:val="00C5790A"/>
    <w:rsid w:val="00C57937"/>
    <w:rsid w:val="00C57A1D"/>
    <w:rsid w:val="00C57C31"/>
    <w:rsid w:val="00C57CFE"/>
    <w:rsid w:val="00C57E4D"/>
    <w:rsid w:val="00C57F71"/>
    <w:rsid w:val="00C60110"/>
    <w:rsid w:val="00C60188"/>
    <w:rsid w:val="00C60284"/>
    <w:rsid w:val="00C602D8"/>
    <w:rsid w:val="00C60314"/>
    <w:rsid w:val="00C60353"/>
    <w:rsid w:val="00C603CA"/>
    <w:rsid w:val="00C603E7"/>
    <w:rsid w:val="00C604CB"/>
    <w:rsid w:val="00C60585"/>
    <w:rsid w:val="00C60D1E"/>
    <w:rsid w:val="00C60D89"/>
    <w:rsid w:val="00C60DE8"/>
    <w:rsid w:val="00C60DF0"/>
    <w:rsid w:val="00C60E9D"/>
    <w:rsid w:val="00C60FC3"/>
    <w:rsid w:val="00C6100E"/>
    <w:rsid w:val="00C61014"/>
    <w:rsid w:val="00C610A2"/>
    <w:rsid w:val="00C610F3"/>
    <w:rsid w:val="00C611C5"/>
    <w:rsid w:val="00C6151B"/>
    <w:rsid w:val="00C6153A"/>
    <w:rsid w:val="00C615E0"/>
    <w:rsid w:val="00C615EC"/>
    <w:rsid w:val="00C6165D"/>
    <w:rsid w:val="00C616E6"/>
    <w:rsid w:val="00C617DA"/>
    <w:rsid w:val="00C618B6"/>
    <w:rsid w:val="00C61916"/>
    <w:rsid w:val="00C61A09"/>
    <w:rsid w:val="00C61A8C"/>
    <w:rsid w:val="00C61AAC"/>
    <w:rsid w:val="00C61C1D"/>
    <w:rsid w:val="00C61C4B"/>
    <w:rsid w:val="00C61EE2"/>
    <w:rsid w:val="00C61F14"/>
    <w:rsid w:val="00C61F81"/>
    <w:rsid w:val="00C620E2"/>
    <w:rsid w:val="00C6210F"/>
    <w:rsid w:val="00C6216B"/>
    <w:rsid w:val="00C623EB"/>
    <w:rsid w:val="00C624C4"/>
    <w:rsid w:val="00C62538"/>
    <w:rsid w:val="00C62658"/>
    <w:rsid w:val="00C626A0"/>
    <w:rsid w:val="00C627A7"/>
    <w:rsid w:val="00C627AD"/>
    <w:rsid w:val="00C627B0"/>
    <w:rsid w:val="00C628C2"/>
    <w:rsid w:val="00C62959"/>
    <w:rsid w:val="00C62B2C"/>
    <w:rsid w:val="00C62B49"/>
    <w:rsid w:val="00C62BE4"/>
    <w:rsid w:val="00C62C8D"/>
    <w:rsid w:val="00C62D28"/>
    <w:rsid w:val="00C62D30"/>
    <w:rsid w:val="00C62D37"/>
    <w:rsid w:val="00C62F51"/>
    <w:rsid w:val="00C62F64"/>
    <w:rsid w:val="00C62FDD"/>
    <w:rsid w:val="00C63129"/>
    <w:rsid w:val="00C6318A"/>
    <w:rsid w:val="00C6322F"/>
    <w:rsid w:val="00C6329B"/>
    <w:rsid w:val="00C632CC"/>
    <w:rsid w:val="00C633D6"/>
    <w:rsid w:val="00C6341E"/>
    <w:rsid w:val="00C6344A"/>
    <w:rsid w:val="00C634BC"/>
    <w:rsid w:val="00C634CD"/>
    <w:rsid w:val="00C634E9"/>
    <w:rsid w:val="00C63579"/>
    <w:rsid w:val="00C6359C"/>
    <w:rsid w:val="00C635FC"/>
    <w:rsid w:val="00C6368F"/>
    <w:rsid w:val="00C636DC"/>
    <w:rsid w:val="00C636E6"/>
    <w:rsid w:val="00C636EA"/>
    <w:rsid w:val="00C63748"/>
    <w:rsid w:val="00C63A0A"/>
    <w:rsid w:val="00C63C88"/>
    <w:rsid w:val="00C63E25"/>
    <w:rsid w:val="00C63E69"/>
    <w:rsid w:val="00C63F33"/>
    <w:rsid w:val="00C64015"/>
    <w:rsid w:val="00C64154"/>
    <w:rsid w:val="00C64256"/>
    <w:rsid w:val="00C6430D"/>
    <w:rsid w:val="00C643A8"/>
    <w:rsid w:val="00C643F0"/>
    <w:rsid w:val="00C6476D"/>
    <w:rsid w:val="00C647CB"/>
    <w:rsid w:val="00C647ED"/>
    <w:rsid w:val="00C64ABF"/>
    <w:rsid w:val="00C64B7E"/>
    <w:rsid w:val="00C64CEC"/>
    <w:rsid w:val="00C64DEA"/>
    <w:rsid w:val="00C64E2E"/>
    <w:rsid w:val="00C64E94"/>
    <w:rsid w:val="00C64FC6"/>
    <w:rsid w:val="00C65020"/>
    <w:rsid w:val="00C6502A"/>
    <w:rsid w:val="00C6511A"/>
    <w:rsid w:val="00C6521A"/>
    <w:rsid w:val="00C652E5"/>
    <w:rsid w:val="00C65323"/>
    <w:rsid w:val="00C6534D"/>
    <w:rsid w:val="00C6536E"/>
    <w:rsid w:val="00C655C8"/>
    <w:rsid w:val="00C65765"/>
    <w:rsid w:val="00C65795"/>
    <w:rsid w:val="00C65853"/>
    <w:rsid w:val="00C658E0"/>
    <w:rsid w:val="00C65A13"/>
    <w:rsid w:val="00C65B45"/>
    <w:rsid w:val="00C65B8D"/>
    <w:rsid w:val="00C65C58"/>
    <w:rsid w:val="00C65D71"/>
    <w:rsid w:val="00C65DAC"/>
    <w:rsid w:val="00C65E03"/>
    <w:rsid w:val="00C65E42"/>
    <w:rsid w:val="00C66009"/>
    <w:rsid w:val="00C66209"/>
    <w:rsid w:val="00C66252"/>
    <w:rsid w:val="00C6632F"/>
    <w:rsid w:val="00C6634E"/>
    <w:rsid w:val="00C66404"/>
    <w:rsid w:val="00C6679C"/>
    <w:rsid w:val="00C66848"/>
    <w:rsid w:val="00C66887"/>
    <w:rsid w:val="00C669E4"/>
    <w:rsid w:val="00C66AAF"/>
    <w:rsid w:val="00C66AB2"/>
    <w:rsid w:val="00C66AE3"/>
    <w:rsid w:val="00C66B60"/>
    <w:rsid w:val="00C66B62"/>
    <w:rsid w:val="00C66B8C"/>
    <w:rsid w:val="00C66C7D"/>
    <w:rsid w:val="00C66CDD"/>
    <w:rsid w:val="00C66D64"/>
    <w:rsid w:val="00C66DD2"/>
    <w:rsid w:val="00C66EBA"/>
    <w:rsid w:val="00C66EF7"/>
    <w:rsid w:val="00C66F9A"/>
    <w:rsid w:val="00C67118"/>
    <w:rsid w:val="00C67133"/>
    <w:rsid w:val="00C6714D"/>
    <w:rsid w:val="00C6737D"/>
    <w:rsid w:val="00C674A7"/>
    <w:rsid w:val="00C67588"/>
    <w:rsid w:val="00C67665"/>
    <w:rsid w:val="00C676B9"/>
    <w:rsid w:val="00C676DA"/>
    <w:rsid w:val="00C67777"/>
    <w:rsid w:val="00C6777E"/>
    <w:rsid w:val="00C6791F"/>
    <w:rsid w:val="00C67988"/>
    <w:rsid w:val="00C679A3"/>
    <w:rsid w:val="00C679B4"/>
    <w:rsid w:val="00C67AB2"/>
    <w:rsid w:val="00C67AC4"/>
    <w:rsid w:val="00C67C87"/>
    <w:rsid w:val="00C67CB4"/>
    <w:rsid w:val="00C67EE2"/>
    <w:rsid w:val="00C67F91"/>
    <w:rsid w:val="00C70020"/>
    <w:rsid w:val="00C700E9"/>
    <w:rsid w:val="00C701BA"/>
    <w:rsid w:val="00C70314"/>
    <w:rsid w:val="00C7033B"/>
    <w:rsid w:val="00C70471"/>
    <w:rsid w:val="00C704C4"/>
    <w:rsid w:val="00C704D8"/>
    <w:rsid w:val="00C704E7"/>
    <w:rsid w:val="00C705B6"/>
    <w:rsid w:val="00C707B6"/>
    <w:rsid w:val="00C707FE"/>
    <w:rsid w:val="00C70899"/>
    <w:rsid w:val="00C708C7"/>
    <w:rsid w:val="00C7095D"/>
    <w:rsid w:val="00C70B46"/>
    <w:rsid w:val="00C70EB5"/>
    <w:rsid w:val="00C70ED0"/>
    <w:rsid w:val="00C70FFC"/>
    <w:rsid w:val="00C710C5"/>
    <w:rsid w:val="00C711B0"/>
    <w:rsid w:val="00C71496"/>
    <w:rsid w:val="00C7160A"/>
    <w:rsid w:val="00C7162F"/>
    <w:rsid w:val="00C717B0"/>
    <w:rsid w:val="00C71821"/>
    <w:rsid w:val="00C7185D"/>
    <w:rsid w:val="00C71980"/>
    <w:rsid w:val="00C7199D"/>
    <w:rsid w:val="00C71AD2"/>
    <w:rsid w:val="00C71B29"/>
    <w:rsid w:val="00C71B34"/>
    <w:rsid w:val="00C71B6C"/>
    <w:rsid w:val="00C71D41"/>
    <w:rsid w:val="00C71D6B"/>
    <w:rsid w:val="00C71D9A"/>
    <w:rsid w:val="00C71E9C"/>
    <w:rsid w:val="00C72020"/>
    <w:rsid w:val="00C7203F"/>
    <w:rsid w:val="00C721D4"/>
    <w:rsid w:val="00C7239C"/>
    <w:rsid w:val="00C723D4"/>
    <w:rsid w:val="00C723E3"/>
    <w:rsid w:val="00C724F8"/>
    <w:rsid w:val="00C7274C"/>
    <w:rsid w:val="00C7276A"/>
    <w:rsid w:val="00C727A5"/>
    <w:rsid w:val="00C72985"/>
    <w:rsid w:val="00C7299F"/>
    <w:rsid w:val="00C72A0C"/>
    <w:rsid w:val="00C72A99"/>
    <w:rsid w:val="00C72AA6"/>
    <w:rsid w:val="00C72B62"/>
    <w:rsid w:val="00C72B9E"/>
    <w:rsid w:val="00C72C2A"/>
    <w:rsid w:val="00C72EB0"/>
    <w:rsid w:val="00C7300D"/>
    <w:rsid w:val="00C7323D"/>
    <w:rsid w:val="00C7331D"/>
    <w:rsid w:val="00C7333C"/>
    <w:rsid w:val="00C73398"/>
    <w:rsid w:val="00C73599"/>
    <w:rsid w:val="00C735D4"/>
    <w:rsid w:val="00C736AA"/>
    <w:rsid w:val="00C736AF"/>
    <w:rsid w:val="00C736F7"/>
    <w:rsid w:val="00C7373B"/>
    <w:rsid w:val="00C737F3"/>
    <w:rsid w:val="00C737FB"/>
    <w:rsid w:val="00C739DA"/>
    <w:rsid w:val="00C73AB7"/>
    <w:rsid w:val="00C73B1B"/>
    <w:rsid w:val="00C73BBA"/>
    <w:rsid w:val="00C73C27"/>
    <w:rsid w:val="00C73D88"/>
    <w:rsid w:val="00C73E0C"/>
    <w:rsid w:val="00C73E81"/>
    <w:rsid w:val="00C73F3E"/>
    <w:rsid w:val="00C73F4A"/>
    <w:rsid w:val="00C74066"/>
    <w:rsid w:val="00C7409E"/>
    <w:rsid w:val="00C740D0"/>
    <w:rsid w:val="00C740FC"/>
    <w:rsid w:val="00C74286"/>
    <w:rsid w:val="00C7434F"/>
    <w:rsid w:val="00C7439E"/>
    <w:rsid w:val="00C7479E"/>
    <w:rsid w:val="00C74963"/>
    <w:rsid w:val="00C74A40"/>
    <w:rsid w:val="00C74A7F"/>
    <w:rsid w:val="00C74AB2"/>
    <w:rsid w:val="00C74BC7"/>
    <w:rsid w:val="00C74D07"/>
    <w:rsid w:val="00C74FB8"/>
    <w:rsid w:val="00C75065"/>
    <w:rsid w:val="00C750E9"/>
    <w:rsid w:val="00C75248"/>
    <w:rsid w:val="00C7531B"/>
    <w:rsid w:val="00C75351"/>
    <w:rsid w:val="00C75380"/>
    <w:rsid w:val="00C7552B"/>
    <w:rsid w:val="00C755C1"/>
    <w:rsid w:val="00C7565A"/>
    <w:rsid w:val="00C75711"/>
    <w:rsid w:val="00C7571C"/>
    <w:rsid w:val="00C75978"/>
    <w:rsid w:val="00C75CC0"/>
    <w:rsid w:val="00C75D6D"/>
    <w:rsid w:val="00C75E00"/>
    <w:rsid w:val="00C75F6E"/>
    <w:rsid w:val="00C75FBE"/>
    <w:rsid w:val="00C76040"/>
    <w:rsid w:val="00C761D9"/>
    <w:rsid w:val="00C76203"/>
    <w:rsid w:val="00C7627E"/>
    <w:rsid w:val="00C7639D"/>
    <w:rsid w:val="00C764D0"/>
    <w:rsid w:val="00C765A2"/>
    <w:rsid w:val="00C765D8"/>
    <w:rsid w:val="00C767B6"/>
    <w:rsid w:val="00C768ED"/>
    <w:rsid w:val="00C76942"/>
    <w:rsid w:val="00C769A6"/>
    <w:rsid w:val="00C76A4B"/>
    <w:rsid w:val="00C76C94"/>
    <w:rsid w:val="00C76CE0"/>
    <w:rsid w:val="00C76DB2"/>
    <w:rsid w:val="00C76DC4"/>
    <w:rsid w:val="00C76DEE"/>
    <w:rsid w:val="00C76DF8"/>
    <w:rsid w:val="00C76F4B"/>
    <w:rsid w:val="00C77014"/>
    <w:rsid w:val="00C770AD"/>
    <w:rsid w:val="00C77127"/>
    <w:rsid w:val="00C7717E"/>
    <w:rsid w:val="00C771FD"/>
    <w:rsid w:val="00C77277"/>
    <w:rsid w:val="00C772E6"/>
    <w:rsid w:val="00C77334"/>
    <w:rsid w:val="00C7740C"/>
    <w:rsid w:val="00C775E7"/>
    <w:rsid w:val="00C77630"/>
    <w:rsid w:val="00C776B6"/>
    <w:rsid w:val="00C77725"/>
    <w:rsid w:val="00C77768"/>
    <w:rsid w:val="00C7783D"/>
    <w:rsid w:val="00C778FC"/>
    <w:rsid w:val="00C779CD"/>
    <w:rsid w:val="00C779D0"/>
    <w:rsid w:val="00C779D1"/>
    <w:rsid w:val="00C77A52"/>
    <w:rsid w:val="00C77AE3"/>
    <w:rsid w:val="00C77B67"/>
    <w:rsid w:val="00C77BE6"/>
    <w:rsid w:val="00C77C03"/>
    <w:rsid w:val="00C77C94"/>
    <w:rsid w:val="00C77CB7"/>
    <w:rsid w:val="00C77D0C"/>
    <w:rsid w:val="00C77D6F"/>
    <w:rsid w:val="00C77E2F"/>
    <w:rsid w:val="00C77F25"/>
    <w:rsid w:val="00C80094"/>
    <w:rsid w:val="00C80500"/>
    <w:rsid w:val="00C80759"/>
    <w:rsid w:val="00C80819"/>
    <w:rsid w:val="00C8081F"/>
    <w:rsid w:val="00C80857"/>
    <w:rsid w:val="00C8089B"/>
    <w:rsid w:val="00C808C6"/>
    <w:rsid w:val="00C80953"/>
    <w:rsid w:val="00C80968"/>
    <w:rsid w:val="00C80A0A"/>
    <w:rsid w:val="00C80A42"/>
    <w:rsid w:val="00C80B28"/>
    <w:rsid w:val="00C80C85"/>
    <w:rsid w:val="00C80CEA"/>
    <w:rsid w:val="00C80E26"/>
    <w:rsid w:val="00C80E7B"/>
    <w:rsid w:val="00C80EA2"/>
    <w:rsid w:val="00C80F5A"/>
    <w:rsid w:val="00C81097"/>
    <w:rsid w:val="00C810C6"/>
    <w:rsid w:val="00C8113E"/>
    <w:rsid w:val="00C8149D"/>
    <w:rsid w:val="00C814D4"/>
    <w:rsid w:val="00C81516"/>
    <w:rsid w:val="00C81530"/>
    <w:rsid w:val="00C8166C"/>
    <w:rsid w:val="00C816C6"/>
    <w:rsid w:val="00C81727"/>
    <w:rsid w:val="00C817CC"/>
    <w:rsid w:val="00C81843"/>
    <w:rsid w:val="00C819D6"/>
    <w:rsid w:val="00C81C71"/>
    <w:rsid w:val="00C81CC8"/>
    <w:rsid w:val="00C81CF3"/>
    <w:rsid w:val="00C81EAA"/>
    <w:rsid w:val="00C8206E"/>
    <w:rsid w:val="00C8211E"/>
    <w:rsid w:val="00C821F3"/>
    <w:rsid w:val="00C8223F"/>
    <w:rsid w:val="00C823AF"/>
    <w:rsid w:val="00C8245C"/>
    <w:rsid w:val="00C8247F"/>
    <w:rsid w:val="00C824B8"/>
    <w:rsid w:val="00C824F2"/>
    <w:rsid w:val="00C824FB"/>
    <w:rsid w:val="00C82553"/>
    <w:rsid w:val="00C82604"/>
    <w:rsid w:val="00C8261E"/>
    <w:rsid w:val="00C82729"/>
    <w:rsid w:val="00C82938"/>
    <w:rsid w:val="00C82B39"/>
    <w:rsid w:val="00C82B7B"/>
    <w:rsid w:val="00C82B81"/>
    <w:rsid w:val="00C82BAF"/>
    <w:rsid w:val="00C82BCC"/>
    <w:rsid w:val="00C82CC7"/>
    <w:rsid w:val="00C82CCA"/>
    <w:rsid w:val="00C82DD4"/>
    <w:rsid w:val="00C82F58"/>
    <w:rsid w:val="00C82F70"/>
    <w:rsid w:val="00C8305F"/>
    <w:rsid w:val="00C83113"/>
    <w:rsid w:val="00C8321F"/>
    <w:rsid w:val="00C83255"/>
    <w:rsid w:val="00C832E2"/>
    <w:rsid w:val="00C83381"/>
    <w:rsid w:val="00C833D6"/>
    <w:rsid w:val="00C833F3"/>
    <w:rsid w:val="00C8348F"/>
    <w:rsid w:val="00C83795"/>
    <w:rsid w:val="00C8385C"/>
    <w:rsid w:val="00C83896"/>
    <w:rsid w:val="00C838B2"/>
    <w:rsid w:val="00C838FA"/>
    <w:rsid w:val="00C839C8"/>
    <w:rsid w:val="00C839DB"/>
    <w:rsid w:val="00C83A4D"/>
    <w:rsid w:val="00C83A96"/>
    <w:rsid w:val="00C83AA0"/>
    <w:rsid w:val="00C83CCC"/>
    <w:rsid w:val="00C83D5A"/>
    <w:rsid w:val="00C83E77"/>
    <w:rsid w:val="00C83F57"/>
    <w:rsid w:val="00C83F60"/>
    <w:rsid w:val="00C83FBA"/>
    <w:rsid w:val="00C83FFD"/>
    <w:rsid w:val="00C84066"/>
    <w:rsid w:val="00C840D2"/>
    <w:rsid w:val="00C841BF"/>
    <w:rsid w:val="00C842C8"/>
    <w:rsid w:val="00C84328"/>
    <w:rsid w:val="00C8444B"/>
    <w:rsid w:val="00C8445B"/>
    <w:rsid w:val="00C845D1"/>
    <w:rsid w:val="00C845DD"/>
    <w:rsid w:val="00C84624"/>
    <w:rsid w:val="00C8467C"/>
    <w:rsid w:val="00C84685"/>
    <w:rsid w:val="00C84688"/>
    <w:rsid w:val="00C846C2"/>
    <w:rsid w:val="00C84714"/>
    <w:rsid w:val="00C84779"/>
    <w:rsid w:val="00C847C1"/>
    <w:rsid w:val="00C84877"/>
    <w:rsid w:val="00C848AE"/>
    <w:rsid w:val="00C8490B"/>
    <w:rsid w:val="00C849D6"/>
    <w:rsid w:val="00C84A2B"/>
    <w:rsid w:val="00C84A4B"/>
    <w:rsid w:val="00C84A5E"/>
    <w:rsid w:val="00C84A87"/>
    <w:rsid w:val="00C84B9C"/>
    <w:rsid w:val="00C84CD8"/>
    <w:rsid w:val="00C84DC8"/>
    <w:rsid w:val="00C84E8C"/>
    <w:rsid w:val="00C84EF8"/>
    <w:rsid w:val="00C85046"/>
    <w:rsid w:val="00C850B2"/>
    <w:rsid w:val="00C8516D"/>
    <w:rsid w:val="00C851CE"/>
    <w:rsid w:val="00C853A8"/>
    <w:rsid w:val="00C854DB"/>
    <w:rsid w:val="00C8558E"/>
    <w:rsid w:val="00C85599"/>
    <w:rsid w:val="00C855D9"/>
    <w:rsid w:val="00C8571B"/>
    <w:rsid w:val="00C85866"/>
    <w:rsid w:val="00C858D1"/>
    <w:rsid w:val="00C85B24"/>
    <w:rsid w:val="00C85D5D"/>
    <w:rsid w:val="00C85D81"/>
    <w:rsid w:val="00C85D91"/>
    <w:rsid w:val="00C8635A"/>
    <w:rsid w:val="00C86558"/>
    <w:rsid w:val="00C86582"/>
    <w:rsid w:val="00C86638"/>
    <w:rsid w:val="00C86730"/>
    <w:rsid w:val="00C86753"/>
    <w:rsid w:val="00C8676F"/>
    <w:rsid w:val="00C86814"/>
    <w:rsid w:val="00C86959"/>
    <w:rsid w:val="00C86B86"/>
    <w:rsid w:val="00C86D8C"/>
    <w:rsid w:val="00C86ECA"/>
    <w:rsid w:val="00C86F0F"/>
    <w:rsid w:val="00C86F36"/>
    <w:rsid w:val="00C86F91"/>
    <w:rsid w:val="00C87001"/>
    <w:rsid w:val="00C87014"/>
    <w:rsid w:val="00C87198"/>
    <w:rsid w:val="00C871AA"/>
    <w:rsid w:val="00C871B3"/>
    <w:rsid w:val="00C87200"/>
    <w:rsid w:val="00C87250"/>
    <w:rsid w:val="00C87288"/>
    <w:rsid w:val="00C87348"/>
    <w:rsid w:val="00C873F1"/>
    <w:rsid w:val="00C8743C"/>
    <w:rsid w:val="00C874F2"/>
    <w:rsid w:val="00C8750F"/>
    <w:rsid w:val="00C8764F"/>
    <w:rsid w:val="00C8767A"/>
    <w:rsid w:val="00C8776A"/>
    <w:rsid w:val="00C8785F"/>
    <w:rsid w:val="00C8794D"/>
    <w:rsid w:val="00C87A4A"/>
    <w:rsid w:val="00C87B6D"/>
    <w:rsid w:val="00C87C7D"/>
    <w:rsid w:val="00C87D68"/>
    <w:rsid w:val="00C87DCC"/>
    <w:rsid w:val="00C87EBD"/>
    <w:rsid w:val="00C87F03"/>
    <w:rsid w:val="00C87F82"/>
    <w:rsid w:val="00C87F9B"/>
    <w:rsid w:val="00C87FE4"/>
    <w:rsid w:val="00C9006D"/>
    <w:rsid w:val="00C901C6"/>
    <w:rsid w:val="00C90258"/>
    <w:rsid w:val="00C903F9"/>
    <w:rsid w:val="00C90621"/>
    <w:rsid w:val="00C9065A"/>
    <w:rsid w:val="00C9066D"/>
    <w:rsid w:val="00C90682"/>
    <w:rsid w:val="00C90690"/>
    <w:rsid w:val="00C907AC"/>
    <w:rsid w:val="00C90838"/>
    <w:rsid w:val="00C90884"/>
    <w:rsid w:val="00C9095C"/>
    <w:rsid w:val="00C90A2E"/>
    <w:rsid w:val="00C90AC2"/>
    <w:rsid w:val="00C90CC4"/>
    <w:rsid w:val="00C90CFE"/>
    <w:rsid w:val="00C90D2E"/>
    <w:rsid w:val="00C90DE1"/>
    <w:rsid w:val="00C90EF0"/>
    <w:rsid w:val="00C90F0F"/>
    <w:rsid w:val="00C90FF8"/>
    <w:rsid w:val="00C9101A"/>
    <w:rsid w:val="00C910EE"/>
    <w:rsid w:val="00C911D8"/>
    <w:rsid w:val="00C912CD"/>
    <w:rsid w:val="00C912D2"/>
    <w:rsid w:val="00C91371"/>
    <w:rsid w:val="00C91479"/>
    <w:rsid w:val="00C9148A"/>
    <w:rsid w:val="00C91547"/>
    <w:rsid w:val="00C9157B"/>
    <w:rsid w:val="00C917FE"/>
    <w:rsid w:val="00C91A77"/>
    <w:rsid w:val="00C91A9B"/>
    <w:rsid w:val="00C91B76"/>
    <w:rsid w:val="00C91B82"/>
    <w:rsid w:val="00C91B99"/>
    <w:rsid w:val="00C91C8C"/>
    <w:rsid w:val="00C91D9E"/>
    <w:rsid w:val="00C91DBE"/>
    <w:rsid w:val="00C91E67"/>
    <w:rsid w:val="00C91EB4"/>
    <w:rsid w:val="00C920A7"/>
    <w:rsid w:val="00C920AC"/>
    <w:rsid w:val="00C9216D"/>
    <w:rsid w:val="00C9239F"/>
    <w:rsid w:val="00C923E2"/>
    <w:rsid w:val="00C924BD"/>
    <w:rsid w:val="00C92566"/>
    <w:rsid w:val="00C92751"/>
    <w:rsid w:val="00C928E0"/>
    <w:rsid w:val="00C92AAC"/>
    <w:rsid w:val="00C92B30"/>
    <w:rsid w:val="00C92BDA"/>
    <w:rsid w:val="00C92C6B"/>
    <w:rsid w:val="00C92C9A"/>
    <w:rsid w:val="00C92D76"/>
    <w:rsid w:val="00C92DA9"/>
    <w:rsid w:val="00C92E26"/>
    <w:rsid w:val="00C92E46"/>
    <w:rsid w:val="00C92EEB"/>
    <w:rsid w:val="00C92FE2"/>
    <w:rsid w:val="00C93088"/>
    <w:rsid w:val="00C9311D"/>
    <w:rsid w:val="00C931E3"/>
    <w:rsid w:val="00C93224"/>
    <w:rsid w:val="00C93350"/>
    <w:rsid w:val="00C933B0"/>
    <w:rsid w:val="00C93417"/>
    <w:rsid w:val="00C9352A"/>
    <w:rsid w:val="00C9355D"/>
    <w:rsid w:val="00C93574"/>
    <w:rsid w:val="00C93589"/>
    <w:rsid w:val="00C93600"/>
    <w:rsid w:val="00C93691"/>
    <w:rsid w:val="00C936E4"/>
    <w:rsid w:val="00C9371A"/>
    <w:rsid w:val="00C93746"/>
    <w:rsid w:val="00C93789"/>
    <w:rsid w:val="00C937D3"/>
    <w:rsid w:val="00C937E6"/>
    <w:rsid w:val="00C93842"/>
    <w:rsid w:val="00C938CE"/>
    <w:rsid w:val="00C9391F"/>
    <w:rsid w:val="00C93A78"/>
    <w:rsid w:val="00C93A9F"/>
    <w:rsid w:val="00C93BD6"/>
    <w:rsid w:val="00C93CCF"/>
    <w:rsid w:val="00C93CD4"/>
    <w:rsid w:val="00C93CF4"/>
    <w:rsid w:val="00C93DCB"/>
    <w:rsid w:val="00C93EEA"/>
    <w:rsid w:val="00C93F31"/>
    <w:rsid w:val="00C940A6"/>
    <w:rsid w:val="00C9424C"/>
    <w:rsid w:val="00C94331"/>
    <w:rsid w:val="00C94404"/>
    <w:rsid w:val="00C944EA"/>
    <w:rsid w:val="00C9454E"/>
    <w:rsid w:val="00C946C5"/>
    <w:rsid w:val="00C947E6"/>
    <w:rsid w:val="00C94889"/>
    <w:rsid w:val="00C948C0"/>
    <w:rsid w:val="00C94913"/>
    <w:rsid w:val="00C94A64"/>
    <w:rsid w:val="00C94B7B"/>
    <w:rsid w:val="00C94BC6"/>
    <w:rsid w:val="00C94C7B"/>
    <w:rsid w:val="00C94CDF"/>
    <w:rsid w:val="00C94CF1"/>
    <w:rsid w:val="00C94D49"/>
    <w:rsid w:val="00C94E57"/>
    <w:rsid w:val="00C94E81"/>
    <w:rsid w:val="00C94EF5"/>
    <w:rsid w:val="00C94EFE"/>
    <w:rsid w:val="00C94F24"/>
    <w:rsid w:val="00C94FB3"/>
    <w:rsid w:val="00C9506C"/>
    <w:rsid w:val="00C95187"/>
    <w:rsid w:val="00C95190"/>
    <w:rsid w:val="00C9526A"/>
    <w:rsid w:val="00C95339"/>
    <w:rsid w:val="00C9552B"/>
    <w:rsid w:val="00C955B6"/>
    <w:rsid w:val="00C95608"/>
    <w:rsid w:val="00C95670"/>
    <w:rsid w:val="00C9573E"/>
    <w:rsid w:val="00C95AAD"/>
    <w:rsid w:val="00C95AD6"/>
    <w:rsid w:val="00C95BBD"/>
    <w:rsid w:val="00C95D57"/>
    <w:rsid w:val="00C95DBD"/>
    <w:rsid w:val="00C961F0"/>
    <w:rsid w:val="00C96225"/>
    <w:rsid w:val="00C9623C"/>
    <w:rsid w:val="00C96276"/>
    <w:rsid w:val="00C9637D"/>
    <w:rsid w:val="00C963E0"/>
    <w:rsid w:val="00C964B0"/>
    <w:rsid w:val="00C964D5"/>
    <w:rsid w:val="00C96545"/>
    <w:rsid w:val="00C9676C"/>
    <w:rsid w:val="00C968CC"/>
    <w:rsid w:val="00C96985"/>
    <w:rsid w:val="00C96BCB"/>
    <w:rsid w:val="00C96C75"/>
    <w:rsid w:val="00C96D27"/>
    <w:rsid w:val="00C96D89"/>
    <w:rsid w:val="00C96DCA"/>
    <w:rsid w:val="00C96EED"/>
    <w:rsid w:val="00C96FE3"/>
    <w:rsid w:val="00C96FF3"/>
    <w:rsid w:val="00C97065"/>
    <w:rsid w:val="00C97200"/>
    <w:rsid w:val="00C97258"/>
    <w:rsid w:val="00C9725C"/>
    <w:rsid w:val="00C9731A"/>
    <w:rsid w:val="00C9737F"/>
    <w:rsid w:val="00C973AC"/>
    <w:rsid w:val="00C973EC"/>
    <w:rsid w:val="00C974B1"/>
    <w:rsid w:val="00C975B3"/>
    <w:rsid w:val="00C97739"/>
    <w:rsid w:val="00C97745"/>
    <w:rsid w:val="00C97769"/>
    <w:rsid w:val="00C9780A"/>
    <w:rsid w:val="00C97AE1"/>
    <w:rsid w:val="00C97E27"/>
    <w:rsid w:val="00CA00C1"/>
    <w:rsid w:val="00CA0203"/>
    <w:rsid w:val="00CA0209"/>
    <w:rsid w:val="00CA0272"/>
    <w:rsid w:val="00CA02B3"/>
    <w:rsid w:val="00CA045D"/>
    <w:rsid w:val="00CA052E"/>
    <w:rsid w:val="00CA061A"/>
    <w:rsid w:val="00CA0676"/>
    <w:rsid w:val="00CA0722"/>
    <w:rsid w:val="00CA0846"/>
    <w:rsid w:val="00CA08F4"/>
    <w:rsid w:val="00CA091A"/>
    <w:rsid w:val="00CA0923"/>
    <w:rsid w:val="00CA096C"/>
    <w:rsid w:val="00CA0989"/>
    <w:rsid w:val="00CA0A8C"/>
    <w:rsid w:val="00CA0BAD"/>
    <w:rsid w:val="00CA0BB4"/>
    <w:rsid w:val="00CA0C0D"/>
    <w:rsid w:val="00CA0CB9"/>
    <w:rsid w:val="00CA0D27"/>
    <w:rsid w:val="00CA0E2E"/>
    <w:rsid w:val="00CA0E96"/>
    <w:rsid w:val="00CA1090"/>
    <w:rsid w:val="00CA109A"/>
    <w:rsid w:val="00CA10BD"/>
    <w:rsid w:val="00CA11E5"/>
    <w:rsid w:val="00CA1283"/>
    <w:rsid w:val="00CA131C"/>
    <w:rsid w:val="00CA132E"/>
    <w:rsid w:val="00CA13E9"/>
    <w:rsid w:val="00CA152E"/>
    <w:rsid w:val="00CA161D"/>
    <w:rsid w:val="00CA172F"/>
    <w:rsid w:val="00CA1781"/>
    <w:rsid w:val="00CA1930"/>
    <w:rsid w:val="00CA1943"/>
    <w:rsid w:val="00CA1980"/>
    <w:rsid w:val="00CA1A03"/>
    <w:rsid w:val="00CA1A27"/>
    <w:rsid w:val="00CA1A40"/>
    <w:rsid w:val="00CA1AA2"/>
    <w:rsid w:val="00CA1AAC"/>
    <w:rsid w:val="00CA1B02"/>
    <w:rsid w:val="00CA1DCE"/>
    <w:rsid w:val="00CA1E55"/>
    <w:rsid w:val="00CA202F"/>
    <w:rsid w:val="00CA20B7"/>
    <w:rsid w:val="00CA2166"/>
    <w:rsid w:val="00CA217C"/>
    <w:rsid w:val="00CA2277"/>
    <w:rsid w:val="00CA23BA"/>
    <w:rsid w:val="00CA243F"/>
    <w:rsid w:val="00CA2567"/>
    <w:rsid w:val="00CA2635"/>
    <w:rsid w:val="00CA283F"/>
    <w:rsid w:val="00CA28E7"/>
    <w:rsid w:val="00CA28EE"/>
    <w:rsid w:val="00CA28F9"/>
    <w:rsid w:val="00CA2920"/>
    <w:rsid w:val="00CA2955"/>
    <w:rsid w:val="00CA2A9C"/>
    <w:rsid w:val="00CA2CA6"/>
    <w:rsid w:val="00CA2EA1"/>
    <w:rsid w:val="00CA2FCD"/>
    <w:rsid w:val="00CA3033"/>
    <w:rsid w:val="00CA303F"/>
    <w:rsid w:val="00CA305E"/>
    <w:rsid w:val="00CA30C6"/>
    <w:rsid w:val="00CA318B"/>
    <w:rsid w:val="00CA3325"/>
    <w:rsid w:val="00CA334D"/>
    <w:rsid w:val="00CA33A8"/>
    <w:rsid w:val="00CA3419"/>
    <w:rsid w:val="00CA341A"/>
    <w:rsid w:val="00CA3491"/>
    <w:rsid w:val="00CA3764"/>
    <w:rsid w:val="00CA37BD"/>
    <w:rsid w:val="00CA386C"/>
    <w:rsid w:val="00CA38BD"/>
    <w:rsid w:val="00CA3928"/>
    <w:rsid w:val="00CA3988"/>
    <w:rsid w:val="00CA3B51"/>
    <w:rsid w:val="00CA3B67"/>
    <w:rsid w:val="00CA3BA1"/>
    <w:rsid w:val="00CA3DA9"/>
    <w:rsid w:val="00CA3E39"/>
    <w:rsid w:val="00CA3F0B"/>
    <w:rsid w:val="00CA3FBE"/>
    <w:rsid w:val="00CA40B4"/>
    <w:rsid w:val="00CA4226"/>
    <w:rsid w:val="00CA42FE"/>
    <w:rsid w:val="00CA4364"/>
    <w:rsid w:val="00CA4391"/>
    <w:rsid w:val="00CA44C4"/>
    <w:rsid w:val="00CA44E7"/>
    <w:rsid w:val="00CA44FD"/>
    <w:rsid w:val="00CA4509"/>
    <w:rsid w:val="00CA4602"/>
    <w:rsid w:val="00CA4669"/>
    <w:rsid w:val="00CA46D1"/>
    <w:rsid w:val="00CA4741"/>
    <w:rsid w:val="00CA48CF"/>
    <w:rsid w:val="00CA49A0"/>
    <w:rsid w:val="00CA4A94"/>
    <w:rsid w:val="00CA4B15"/>
    <w:rsid w:val="00CA4B60"/>
    <w:rsid w:val="00CA4B6B"/>
    <w:rsid w:val="00CA4D58"/>
    <w:rsid w:val="00CA4DA1"/>
    <w:rsid w:val="00CA4E7D"/>
    <w:rsid w:val="00CA4E94"/>
    <w:rsid w:val="00CA4F44"/>
    <w:rsid w:val="00CA4F76"/>
    <w:rsid w:val="00CA50BA"/>
    <w:rsid w:val="00CA50C2"/>
    <w:rsid w:val="00CA51A8"/>
    <w:rsid w:val="00CA5267"/>
    <w:rsid w:val="00CA52A1"/>
    <w:rsid w:val="00CA5302"/>
    <w:rsid w:val="00CA533B"/>
    <w:rsid w:val="00CA53E2"/>
    <w:rsid w:val="00CA543E"/>
    <w:rsid w:val="00CA548E"/>
    <w:rsid w:val="00CA54CF"/>
    <w:rsid w:val="00CA55A2"/>
    <w:rsid w:val="00CA55A3"/>
    <w:rsid w:val="00CA56AA"/>
    <w:rsid w:val="00CA58D4"/>
    <w:rsid w:val="00CA59A4"/>
    <w:rsid w:val="00CA59CA"/>
    <w:rsid w:val="00CA5A29"/>
    <w:rsid w:val="00CA5D41"/>
    <w:rsid w:val="00CA5E12"/>
    <w:rsid w:val="00CA5E2D"/>
    <w:rsid w:val="00CA5EC0"/>
    <w:rsid w:val="00CA5F30"/>
    <w:rsid w:val="00CA5F66"/>
    <w:rsid w:val="00CA5F72"/>
    <w:rsid w:val="00CA60C6"/>
    <w:rsid w:val="00CA60C9"/>
    <w:rsid w:val="00CA6376"/>
    <w:rsid w:val="00CA645A"/>
    <w:rsid w:val="00CA64B4"/>
    <w:rsid w:val="00CA673A"/>
    <w:rsid w:val="00CA677C"/>
    <w:rsid w:val="00CA67EE"/>
    <w:rsid w:val="00CA695A"/>
    <w:rsid w:val="00CA6996"/>
    <w:rsid w:val="00CA6A01"/>
    <w:rsid w:val="00CA6B39"/>
    <w:rsid w:val="00CA6CE8"/>
    <w:rsid w:val="00CA6D54"/>
    <w:rsid w:val="00CA6DC6"/>
    <w:rsid w:val="00CA6E03"/>
    <w:rsid w:val="00CA6EAD"/>
    <w:rsid w:val="00CA6F1B"/>
    <w:rsid w:val="00CA6F8A"/>
    <w:rsid w:val="00CA705B"/>
    <w:rsid w:val="00CA707E"/>
    <w:rsid w:val="00CA7196"/>
    <w:rsid w:val="00CA71B8"/>
    <w:rsid w:val="00CA725C"/>
    <w:rsid w:val="00CA73EE"/>
    <w:rsid w:val="00CA7427"/>
    <w:rsid w:val="00CA757B"/>
    <w:rsid w:val="00CA7603"/>
    <w:rsid w:val="00CA777D"/>
    <w:rsid w:val="00CA77DC"/>
    <w:rsid w:val="00CA7882"/>
    <w:rsid w:val="00CA78C4"/>
    <w:rsid w:val="00CA79A0"/>
    <w:rsid w:val="00CA79B5"/>
    <w:rsid w:val="00CA79CF"/>
    <w:rsid w:val="00CA7BE4"/>
    <w:rsid w:val="00CA7D6E"/>
    <w:rsid w:val="00CA7DB4"/>
    <w:rsid w:val="00CA7F86"/>
    <w:rsid w:val="00CB018F"/>
    <w:rsid w:val="00CB0298"/>
    <w:rsid w:val="00CB0317"/>
    <w:rsid w:val="00CB054C"/>
    <w:rsid w:val="00CB05B6"/>
    <w:rsid w:val="00CB060A"/>
    <w:rsid w:val="00CB0685"/>
    <w:rsid w:val="00CB068B"/>
    <w:rsid w:val="00CB0780"/>
    <w:rsid w:val="00CB07D9"/>
    <w:rsid w:val="00CB0824"/>
    <w:rsid w:val="00CB083A"/>
    <w:rsid w:val="00CB088A"/>
    <w:rsid w:val="00CB08D4"/>
    <w:rsid w:val="00CB097F"/>
    <w:rsid w:val="00CB0A7B"/>
    <w:rsid w:val="00CB0A80"/>
    <w:rsid w:val="00CB0AB3"/>
    <w:rsid w:val="00CB0AEF"/>
    <w:rsid w:val="00CB0C3F"/>
    <w:rsid w:val="00CB0DB9"/>
    <w:rsid w:val="00CB0DC6"/>
    <w:rsid w:val="00CB0DF6"/>
    <w:rsid w:val="00CB0E00"/>
    <w:rsid w:val="00CB0E42"/>
    <w:rsid w:val="00CB0E6F"/>
    <w:rsid w:val="00CB0EC0"/>
    <w:rsid w:val="00CB1035"/>
    <w:rsid w:val="00CB10C0"/>
    <w:rsid w:val="00CB12D8"/>
    <w:rsid w:val="00CB12E6"/>
    <w:rsid w:val="00CB1479"/>
    <w:rsid w:val="00CB14BA"/>
    <w:rsid w:val="00CB15A5"/>
    <w:rsid w:val="00CB1648"/>
    <w:rsid w:val="00CB17F7"/>
    <w:rsid w:val="00CB1801"/>
    <w:rsid w:val="00CB188E"/>
    <w:rsid w:val="00CB1961"/>
    <w:rsid w:val="00CB1995"/>
    <w:rsid w:val="00CB19DE"/>
    <w:rsid w:val="00CB19EC"/>
    <w:rsid w:val="00CB1B67"/>
    <w:rsid w:val="00CB1ED4"/>
    <w:rsid w:val="00CB1F31"/>
    <w:rsid w:val="00CB1F6E"/>
    <w:rsid w:val="00CB1FE0"/>
    <w:rsid w:val="00CB2056"/>
    <w:rsid w:val="00CB2095"/>
    <w:rsid w:val="00CB2195"/>
    <w:rsid w:val="00CB21E9"/>
    <w:rsid w:val="00CB2249"/>
    <w:rsid w:val="00CB23FB"/>
    <w:rsid w:val="00CB2412"/>
    <w:rsid w:val="00CB24A8"/>
    <w:rsid w:val="00CB253A"/>
    <w:rsid w:val="00CB25B9"/>
    <w:rsid w:val="00CB25EB"/>
    <w:rsid w:val="00CB274C"/>
    <w:rsid w:val="00CB2827"/>
    <w:rsid w:val="00CB2876"/>
    <w:rsid w:val="00CB2935"/>
    <w:rsid w:val="00CB2944"/>
    <w:rsid w:val="00CB2A2B"/>
    <w:rsid w:val="00CB2B0B"/>
    <w:rsid w:val="00CB2B2A"/>
    <w:rsid w:val="00CB2B2C"/>
    <w:rsid w:val="00CB2B5E"/>
    <w:rsid w:val="00CB2CF5"/>
    <w:rsid w:val="00CB2E2F"/>
    <w:rsid w:val="00CB2E38"/>
    <w:rsid w:val="00CB2E54"/>
    <w:rsid w:val="00CB2EF7"/>
    <w:rsid w:val="00CB300D"/>
    <w:rsid w:val="00CB30D8"/>
    <w:rsid w:val="00CB3165"/>
    <w:rsid w:val="00CB31B1"/>
    <w:rsid w:val="00CB3279"/>
    <w:rsid w:val="00CB3283"/>
    <w:rsid w:val="00CB32AB"/>
    <w:rsid w:val="00CB3414"/>
    <w:rsid w:val="00CB36C8"/>
    <w:rsid w:val="00CB3706"/>
    <w:rsid w:val="00CB3762"/>
    <w:rsid w:val="00CB377A"/>
    <w:rsid w:val="00CB3AA2"/>
    <w:rsid w:val="00CB3AC8"/>
    <w:rsid w:val="00CB3AF0"/>
    <w:rsid w:val="00CB3AFB"/>
    <w:rsid w:val="00CB3B03"/>
    <w:rsid w:val="00CB3C3A"/>
    <w:rsid w:val="00CB3CBC"/>
    <w:rsid w:val="00CB3E72"/>
    <w:rsid w:val="00CB3F0E"/>
    <w:rsid w:val="00CB3FB6"/>
    <w:rsid w:val="00CB40F5"/>
    <w:rsid w:val="00CB4177"/>
    <w:rsid w:val="00CB4182"/>
    <w:rsid w:val="00CB4364"/>
    <w:rsid w:val="00CB443C"/>
    <w:rsid w:val="00CB44F6"/>
    <w:rsid w:val="00CB4516"/>
    <w:rsid w:val="00CB4589"/>
    <w:rsid w:val="00CB4651"/>
    <w:rsid w:val="00CB47F9"/>
    <w:rsid w:val="00CB487E"/>
    <w:rsid w:val="00CB4A7F"/>
    <w:rsid w:val="00CB4AEC"/>
    <w:rsid w:val="00CB4BA4"/>
    <w:rsid w:val="00CB4DAE"/>
    <w:rsid w:val="00CB4F29"/>
    <w:rsid w:val="00CB5053"/>
    <w:rsid w:val="00CB512F"/>
    <w:rsid w:val="00CB51CF"/>
    <w:rsid w:val="00CB51FE"/>
    <w:rsid w:val="00CB53B4"/>
    <w:rsid w:val="00CB5438"/>
    <w:rsid w:val="00CB5455"/>
    <w:rsid w:val="00CB54B0"/>
    <w:rsid w:val="00CB554C"/>
    <w:rsid w:val="00CB55A9"/>
    <w:rsid w:val="00CB5759"/>
    <w:rsid w:val="00CB57DA"/>
    <w:rsid w:val="00CB5873"/>
    <w:rsid w:val="00CB58BA"/>
    <w:rsid w:val="00CB598C"/>
    <w:rsid w:val="00CB5A53"/>
    <w:rsid w:val="00CB5A78"/>
    <w:rsid w:val="00CB5CF3"/>
    <w:rsid w:val="00CB5D0E"/>
    <w:rsid w:val="00CB6082"/>
    <w:rsid w:val="00CB60B6"/>
    <w:rsid w:val="00CB63D6"/>
    <w:rsid w:val="00CB63E6"/>
    <w:rsid w:val="00CB6542"/>
    <w:rsid w:val="00CB65B3"/>
    <w:rsid w:val="00CB6634"/>
    <w:rsid w:val="00CB66D9"/>
    <w:rsid w:val="00CB66EF"/>
    <w:rsid w:val="00CB6764"/>
    <w:rsid w:val="00CB67D3"/>
    <w:rsid w:val="00CB6ABC"/>
    <w:rsid w:val="00CB6B07"/>
    <w:rsid w:val="00CB6C3F"/>
    <w:rsid w:val="00CB6D1F"/>
    <w:rsid w:val="00CB6D20"/>
    <w:rsid w:val="00CB6D3B"/>
    <w:rsid w:val="00CB6D6D"/>
    <w:rsid w:val="00CB7077"/>
    <w:rsid w:val="00CB7168"/>
    <w:rsid w:val="00CB725A"/>
    <w:rsid w:val="00CB7331"/>
    <w:rsid w:val="00CB734E"/>
    <w:rsid w:val="00CB7354"/>
    <w:rsid w:val="00CB736D"/>
    <w:rsid w:val="00CB7396"/>
    <w:rsid w:val="00CB7623"/>
    <w:rsid w:val="00CB76E7"/>
    <w:rsid w:val="00CB79C5"/>
    <w:rsid w:val="00CB7A58"/>
    <w:rsid w:val="00CB7ADE"/>
    <w:rsid w:val="00CB7AED"/>
    <w:rsid w:val="00CB7B00"/>
    <w:rsid w:val="00CB7BBF"/>
    <w:rsid w:val="00CB7C76"/>
    <w:rsid w:val="00CB7DC3"/>
    <w:rsid w:val="00CB7E20"/>
    <w:rsid w:val="00CB7E67"/>
    <w:rsid w:val="00CB7F3C"/>
    <w:rsid w:val="00CC003C"/>
    <w:rsid w:val="00CC00C7"/>
    <w:rsid w:val="00CC01C9"/>
    <w:rsid w:val="00CC0244"/>
    <w:rsid w:val="00CC0349"/>
    <w:rsid w:val="00CC034C"/>
    <w:rsid w:val="00CC040A"/>
    <w:rsid w:val="00CC0505"/>
    <w:rsid w:val="00CC055C"/>
    <w:rsid w:val="00CC0622"/>
    <w:rsid w:val="00CC0623"/>
    <w:rsid w:val="00CC0A98"/>
    <w:rsid w:val="00CC0AA1"/>
    <w:rsid w:val="00CC0AD8"/>
    <w:rsid w:val="00CC0B1C"/>
    <w:rsid w:val="00CC0B78"/>
    <w:rsid w:val="00CC0B83"/>
    <w:rsid w:val="00CC0BAF"/>
    <w:rsid w:val="00CC0BB1"/>
    <w:rsid w:val="00CC0BC0"/>
    <w:rsid w:val="00CC0BDE"/>
    <w:rsid w:val="00CC0BEF"/>
    <w:rsid w:val="00CC0DC0"/>
    <w:rsid w:val="00CC0E6E"/>
    <w:rsid w:val="00CC0F62"/>
    <w:rsid w:val="00CC0FF8"/>
    <w:rsid w:val="00CC1189"/>
    <w:rsid w:val="00CC12A6"/>
    <w:rsid w:val="00CC12D2"/>
    <w:rsid w:val="00CC14CA"/>
    <w:rsid w:val="00CC14FD"/>
    <w:rsid w:val="00CC1504"/>
    <w:rsid w:val="00CC15F3"/>
    <w:rsid w:val="00CC16F4"/>
    <w:rsid w:val="00CC17A2"/>
    <w:rsid w:val="00CC1822"/>
    <w:rsid w:val="00CC193E"/>
    <w:rsid w:val="00CC19B4"/>
    <w:rsid w:val="00CC1A3A"/>
    <w:rsid w:val="00CC1AD7"/>
    <w:rsid w:val="00CC1B91"/>
    <w:rsid w:val="00CC1B9A"/>
    <w:rsid w:val="00CC1D40"/>
    <w:rsid w:val="00CC1D4B"/>
    <w:rsid w:val="00CC1F0F"/>
    <w:rsid w:val="00CC1F90"/>
    <w:rsid w:val="00CC1FB2"/>
    <w:rsid w:val="00CC20B7"/>
    <w:rsid w:val="00CC20E8"/>
    <w:rsid w:val="00CC215D"/>
    <w:rsid w:val="00CC21F8"/>
    <w:rsid w:val="00CC22FA"/>
    <w:rsid w:val="00CC22FE"/>
    <w:rsid w:val="00CC2363"/>
    <w:rsid w:val="00CC2385"/>
    <w:rsid w:val="00CC23FF"/>
    <w:rsid w:val="00CC2454"/>
    <w:rsid w:val="00CC24FC"/>
    <w:rsid w:val="00CC262C"/>
    <w:rsid w:val="00CC2669"/>
    <w:rsid w:val="00CC26DC"/>
    <w:rsid w:val="00CC270C"/>
    <w:rsid w:val="00CC2791"/>
    <w:rsid w:val="00CC2798"/>
    <w:rsid w:val="00CC27BA"/>
    <w:rsid w:val="00CC2825"/>
    <w:rsid w:val="00CC28DC"/>
    <w:rsid w:val="00CC2A17"/>
    <w:rsid w:val="00CC2A55"/>
    <w:rsid w:val="00CC2AA9"/>
    <w:rsid w:val="00CC2B2D"/>
    <w:rsid w:val="00CC2BF8"/>
    <w:rsid w:val="00CC2D1B"/>
    <w:rsid w:val="00CC2EAA"/>
    <w:rsid w:val="00CC2EF3"/>
    <w:rsid w:val="00CC3048"/>
    <w:rsid w:val="00CC30E9"/>
    <w:rsid w:val="00CC3338"/>
    <w:rsid w:val="00CC33AF"/>
    <w:rsid w:val="00CC3599"/>
    <w:rsid w:val="00CC35B7"/>
    <w:rsid w:val="00CC365F"/>
    <w:rsid w:val="00CC3668"/>
    <w:rsid w:val="00CC36C8"/>
    <w:rsid w:val="00CC3760"/>
    <w:rsid w:val="00CC3862"/>
    <w:rsid w:val="00CC39E0"/>
    <w:rsid w:val="00CC3A33"/>
    <w:rsid w:val="00CC3B3C"/>
    <w:rsid w:val="00CC3BF4"/>
    <w:rsid w:val="00CC3C04"/>
    <w:rsid w:val="00CC3DC7"/>
    <w:rsid w:val="00CC3DEB"/>
    <w:rsid w:val="00CC3EA4"/>
    <w:rsid w:val="00CC3F2C"/>
    <w:rsid w:val="00CC3F31"/>
    <w:rsid w:val="00CC3F6F"/>
    <w:rsid w:val="00CC40BC"/>
    <w:rsid w:val="00CC419A"/>
    <w:rsid w:val="00CC41C5"/>
    <w:rsid w:val="00CC4414"/>
    <w:rsid w:val="00CC4485"/>
    <w:rsid w:val="00CC462A"/>
    <w:rsid w:val="00CC481A"/>
    <w:rsid w:val="00CC49F7"/>
    <w:rsid w:val="00CC4AD8"/>
    <w:rsid w:val="00CC4B2A"/>
    <w:rsid w:val="00CC4C39"/>
    <w:rsid w:val="00CC4CBD"/>
    <w:rsid w:val="00CC4D3F"/>
    <w:rsid w:val="00CC4E19"/>
    <w:rsid w:val="00CC4EAA"/>
    <w:rsid w:val="00CC4EDE"/>
    <w:rsid w:val="00CC4F2A"/>
    <w:rsid w:val="00CC5014"/>
    <w:rsid w:val="00CC508F"/>
    <w:rsid w:val="00CC52DA"/>
    <w:rsid w:val="00CC52F4"/>
    <w:rsid w:val="00CC539F"/>
    <w:rsid w:val="00CC53E8"/>
    <w:rsid w:val="00CC548C"/>
    <w:rsid w:val="00CC550D"/>
    <w:rsid w:val="00CC5669"/>
    <w:rsid w:val="00CC57B3"/>
    <w:rsid w:val="00CC5AB5"/>
    <w:rsid w:val="00CC5BA1"/>
    <w:rsid w:val="00CC5BC4"/>
    <w:rsid w:val="00CC5D1A"/>
    <w:rsid w:val="00CC5E37"/>
    <w:rsid w:val="00CC6091"/>
    <w:rsid w:val="00CC60E2"/>
    <w:rsid w:val="00CC610D"/>
    <w:rsid w:val="00CC62B8"/>
    <w:rsid w:val="00CC6466"/>
    <w:rsid w:val="00CC66D6"/>
    <w:rsid w:val="00CC692A"/>
    <w:rsid w:val="00CC6948"/>
    <w:rsid w:val="00CC696B"/>
    <w:rsid w:val="00CC699B"/>
    <w:rsid w:val="00CC6A76"/>
    <w:rsid w:val="00CC6CDD"/>
    <w:rsid w:val="00CC6D76"/>
    <w:rsid w:val="00CC7014"/>
    <w:rsid w:val="00CC707D"/>
    <w:rsid w:val="00CC7115"/>
    <w:rsid w:val="00CC71F7"/>
    <w:rsid w:val="00CC724A"/>
    <w:rsid w:val="00CC73FB"/>
    <w:rsid w:val="00CC7405"/>
    <w:rsid w:val="00CC7408"/>
    <w:rsid w:val="00CC74B7"/>
    <w:rsid w:val="00CC74CB"/>
    <w:rsid w:val="00CC7541"/>
    <w:rsid w:val="00CC75D2"/>
    <w:rsid w:val="00CC765E"/>
    <w:rsid w:val="00CC772B"/>
    <w:rsid w:val="00CC7ACA"/>
    <w:rsid w:val="00CC7B55"/>
    <w:rsid w:val="00CC7B5F"/>
    <w:rsid w:val="00CC7C0A"/>
    <w:rsid w:val="00CC7CBC"/>
    <w:rsid w:val="00CC7F02"/>
    <w:rsid w:val="00CC7F60"/>
    <w:rsid w:val="00CC7F67"/>
    <w:rsid w:val="00CC7F9C"/>
    <w:rsid w:val="00CD011F"/>
    <w:rsid w:val="00CD033A"/>
    <w:rsid w:val="00CD05C3"/>
    <w:rsid w:val="00CD05DB"/>
    <w:rsid w:val="00CD068A"/>
    <w:rsid w:val="00CD082B"/>
    <w:rsid w:val="00CD09A0"/>
    <w:rsid w:val="00CD09AF"/>
    <w:rsid w:val="00CD0A94"/>
    <w:rsid w:val="00CD0B51"/>
    <w:rsid w:val="00CD0BAA"/>
    <w:rsid w:val="00CD0C7F"/>
    <w:rsid w:val="00CD0CBC"/>
    <w:rsid w:val="00CD0CCF"/>
    <w:rsid w:val="00CD0D44"/>
    <w:rsid w:val="00CD0DBA"/>
    <w:rsid w:val="00CD0EA7"/>
    <w:rsid w:val="00CD0ECC"/>
    <w:rsid w:val="00CD0FC9"/>
    <w:rsid w:val="00CD109C"/>
    <w:rsid w:val="00CD10F2"/>
    <w:rsid w:val="00CD1100"/>
    <w:rsid w:val="00CD1234"/>
    <w:rsid w:val="00CD12A0"/>
    <w:rsid w:val="00CD1483"/>
    <w:rsid w:val="00CD15CC"/>
    <w:rsid w:val="00CD1637"/>
    <w:rsid w:val="00CD179E"/>
    <w:rsid w:val="00CD1908"/>
    <w:rsid w:val="00CD192E"/>
    <w:rsid w:val="00CD1A42"/>
    <w:rsid w:val="00CD1B63"/>
    <w:rsid w:val="00CD1C6D"/>
    <w:rsid w:val="00CD1D5F"/>
    <w:rsid w:val="00CD1EF7"/>
    <w:rsid w:val="00CD1F83"/>
    <w:rsid w:val="00CD2210"/>
    <w:rsid w:val="00CD228D"/>
    <w:rsid w:val="00CD2308"/>
    <w:rsid w:val="00CD2357"/>
    <w:rsid w:val="00CD23A9"/>
    <w:rsid w:val="00CD2451"/>
    <w:rsid w:val="00CD247B"/>
    <w:rsid w:val="00CD2549"/>
    <w:rsid w:val="00CD25C6"/>
    <w:rsid w:val="00CD26AD"/>
    <w:rsid w:val="00CD272F"/>
    <w:rsid w:val="00CD2757"/>
    <w:rsid w:val="00CD28A9"/>
    <w:rsid w:val="00CD2AA9"/>
    <w:rsid w:val="00CD2C60"/>
    <w:rsid w:val="00CD2DB2"/>
    <w:rsid w:val="00CD2DF1"/>
    <w:rsid w:val="00CD2ED2"/>
    <w:rsid w:val="00CD2F16"/>
    <w:rsid w:val="00CD2F81"/>
    <w:rsid w:val="00CD323B"/>
    <w:rsid w:val="00CD32DA"/>
    <w:rsid w:val="00CD3316"/>
    <w:rsid w:val="00CD3321"/>
    <w:rsid w:val="00CD336E"/>
    <w:rsid w:val="00CD33BA"/>
    <w:rsid w:val="00CD361A"/>
    <w:rsid w:val="00CD376E"/>
    <w:rsid w:val="00CD37F6"/>
    <w:rsid w:val="00CD395B"/>
    <w:rsid w:val="00CD3A2B"/>
    <w:rsid w:val="00CD3AE5"/>
    <w:rsid w:val="00CD3E49"/>
    <w:rsid w:val="00CD3FEA"/>
    <w:rsid w:val="00CD4032"/>
    <w:rsid w:val="00CD4168"/>
    <w:rsid w:val="00CD4244"/>
    <w:rsid w:val="00CD4348"/>
    <w:rsid w:val="00CD43E5"/>
    <w:rsid w:val="00CD4585"/>
    <w:rsid w:val="00CD4680"/>
    <w:rsid w:val="00CD4720"/>
    <w:rsid w:val="00CD47FA"/>
    <w:rsid w:val="00CD48F1"/>
    <w:rsid w:val="00CD49CB"/>
    <w:rsid w:val="00CD4AED"/>
    <w:rsid w:val="00CD4B74"/>
    <w:rsid w:val="00CD4BDF"/>
    <w:rsid w:val="00CD4C34"/>
    <w:rsid w:val="00CD4CB1"/>
    <w:rsid w:val="00CD4D17"/>
    <w:rsid w:val="00CD4F5A"/>
    <w:rsid w:val="00CD4F8D"/>
    <w:rsid w:val="00CD4FA6"/>
    <w:rsid w:val="00CD4FB4"/>
    <w:rsid w:val="00CD5106"/>
    <w:rsid w:val="00CD5292"/>
    <w:rsid w:val="00CD5294"/>
    <w:rsid w:val="00CD5307"/>
    <w:rsid w:val="00CD5337"/>
    <w:rsid w:val="00CD5414"/>
    <w:rsid w:val="00CD543E"/>
    <w:rsid w:val="00CD54E0"/>
    <w:rsid w:val="00CD555D"/>
    <w:rsid w:val="00CD55B9"/>
    <w:rsid w:val="00CD55BF"/>
    <w:rsid w:val="00CD56BF"/>
    <w:rsid w:val="00CD56D0"/>
    <w:rsid w:val="00CD5841"/>
    <w:rsid w:val="00CD5844"/>
    <w:rsid w:val="00CD585E"/>
    <w:rsid w:val="00CD587C"/>
    <w:rsid w:val="00CD5883"/>
    <w:rsid w:val="00CD58AD"/>
    <w:rsid w:val="00CD58BA"/>
    <w:rsid w:val="00CD5921"/>
    <w:rsid w:val="00CD5922"/>
    <w:rsid w:val="00CD5A1E"/>
    <w:rsid w:val="00CD5B6E"/>
    <w:rsid w:val="00CD5CF8"/>
    <w:rsid w:val="00CD5D94"/>
    <w:rsid w:val="00CD5DDA"/>
    <w:rsid w:val="00CD5EBB"/>
    <w:rsid w:val="00CD5FCE"/>
    <w:rsid w:val="00CD604B"/>
    <w:rsid w:val="00CD60F8"/>
    <w:rsid w:val="00CD61C0"/>
    <w:rsid w:val="00CD61CE"/>
    <w:rsid w:val="00CD61EA"/>
    <w:rsid w:val="00CD6244"/>
    <w:rsid w:val="00CD6297"/>
    <w:rsid w:val="00CD629E"/>
    <w:rsid w:val="00CD6652"/>
    <w:rsid w:val="00CD6670"/>
    <w:rsid w:val="00CD66D3"/>
    <w:rsid w:val="00CD67C7"/>
    <w:rsid w:val="00CD6957"/>
    <w:rsid w:val="00CD695F"/>
    <w:rsid w:val="00CD69A2"/>
    <w:rsid w:val="00CD6AFA"/>
    <w:rsid w:val="00CD6C22"/>
    <w:rsid w:val="00CD6E09"/>
    <w:rsid w:val="00CD6F5B"/>
    <w:rsid w:val="00CD6FE6"/>
    <w:rsid w:val="00CD6FE8"/>
    <w:rsid w:val="00CD71FE"/>
    <w:rsid w:val="00CD7207"/>
    <w:rsid w:val="00CD7287"/>
    <w:rsid w:val="00CD72A5"/>
    <w:rsid w:val="00CD72FB"/>
    <w:rsid w:val="00CD7391"/>
    <w:rsid w:val="00CD7449"/>
    <w:rsid w:val="00CD7529"/>
    <w:rsid w:val="00CD7559"/>
    <w:rsid w:val="00CD7577"/>
    <w:rsid w:val="00CD75A9"/>
    <w:rsid w:val="00CD75D6"/>
    <w:rsid w:val="00CD76BC"/>
    <w:rsid w:val="00CD76BE"/>
    <w:rsid w:val="00CD7734"/>
    <w:rsid w:val="00CD7793"/>
    <w:rsid w:val="00CD7795"/>
    <w:rsid w:val="00CD78BC"/>
    <w:rsid w:val="00CD7A4E"/>
    <w:rsid w:val="00CD7A5D"/>
    <w:rsid w:val="00CD7AF3"/>
    <w:rsid w:val="00CD7B0B"/>
    <w:rsid w:val="00CD7B0D"/>
    <w:rsid w:val="00CD7CB6"/>
    <w:rsid w:val="00CD7CCF"/>
    <w:rsid w:val="00CD7DF7"/>
    <w:rsid w:val="00CD7E50"/>
    <w:rsid w:val="00CD7E8E"/>
    <w:rsid w:val="00CD7F22"/>
    <w:rsid w:val="00CD7F3A"/>
    <w:rsid w:val="00CD7F4C"/>
    <w:rsid w:val="00CD7F71"/>
    <w:rsid w:val="00CD7FE5"/>
    <w:rsid w:val="00CE036A"/>
    <w:rsid w:val="00CE03CF"/>
    <w:rsid w:val="00CE03F9"/>
    <w:rsid w:val="00CE0481"/>
    <w:rsid w:val="00CE0497"/>
    <w:rsid w:val="00CE0542"/>
    <w:rsid w:val="00CE05A9"/>
    <w:rsid w:val="00CE070E"/>
    <w:rsid w:val="00CE0754"/>
    <w:rsid w:val="00CE07D8"/>
    <w:rsid w:val="00CE0802"/>
    <w:rsid w:val="00CE08FD"/>
    <w:rsid w:val="00CE0907"/>
    <w:rsid w:val="00CE0939"/>
    <w:rsid w:val="00CE0AD0"/>
    <w:rsid w:val="00CE0CB3"/>
    <w:rsid w:val="00CE0CC0"/>
    <w:rsid w:val="00CE0D49"/>
    <w:rsid w:val="00CE0DB2"/>
    <w:rsid w:val="00CE0DF8"/>
    <w:rsid w:val="00CE0E06"/>
    <w:rsid w:val="00CE0E94"/>
    <w:rsid w:val="00CE0F00"/>
    <w:rsid w:val="00CE0F11"/>
    <w:rsid w:val="00CE101F"/>
    <w:rsid w:val="00CE110E"/>
    <w:rsid w:val="00CE1141"/>
    <w:rsid w:val="00CE1435"/>
    <w:rsid w:val="00CE14E2"/>
    <w:rsid w:val="00CE169E"/>
    <w:rsid w:val="00CE173E"/>
    <w:rsid w:val="00CE176A"/>
    <w:rsid w:val="00CE17A8"/>
    <w:rsid w:val="00CE17C1"/>
    <w:rsid w:val="00CE18A7"/>
    <w:rsid w:val="00CE18CF"/>
    <w:rsid w:val="00CE1923"/>
    <w:rsid w:val="00CE199E"/>
    <w:rsid w:val="00CE19CF"/>
    <w:rsid w:val="00CE19F5"/>
    <w:rsid w:val="00CE1A02"/>
    <w:rsid w:val="00CE1A2D"/>
    <w:rsid w:val="00CE1AA0"/>
    <w:rsid w:val="00CE1AF2"/>
    <w:rsid w:val="00CE1B5D"/>
    <w:rsid w:val="00CE1C52"/>
    <w:rsid w:val="00CE1CBA"/>
    <w:rsid w:val="00CE1D25"/>
    <w:rsid w:val="00CE1D4A"/>
    <w:rsid w:val="00CE1DCA"/>
    <w:rsid w:val="00CE1E22"/>
    <w:rsid w:val="00CE1F27"/>
    <w:rsid w:val="00CE1F91"/>
    <w:rsid w:val="00CE2067"/>
    <w:rsid w:val="00CE20A0"/>
    <w:rsid w:val="00CE22AC"/>
    <w:rsid w:val="00CE23C4"/>
    <w:rsid w:val="00CE2422"/>
    <w:rsid w:val="00CE2447"/>
    <w:rsid w:val="00CE25D5"/>
    <w:rsid w:val="00CE25F4"/>
    <w:rsid w:val="00CE267F"/>
    <w:rsid w:val="00CE27A3"/>
    <w:rsid w:val="00CE2860"/>
    <w:rsid w:val="00CE28DE"/>
    <w:rsid w:val="00CE28FC"/>
    <w:rsid w:val="00CE296F"/>
    <w:rsid w:val="00CE2A32"/>
    <w:rsid w:val="00CE2B00"/>
    <w:rsid w:val="00CE2B95"/>
    <w:rsid w:val="00CE2D12"/>
    <w:rsid w:val="00CE2EE1"/>
    <w:rsid w:val="00CE2F04"/>
    <w:rsid w:val="00CE2F53"/>
    <w:rsid w:val="00CE2F66"/>
    <w:rsid w:val="00CE3039"/>
    <w:rsid w:val="00CE30A8"/>
    <w:rsid w:val="00CE310F"/>
    <w:rsid w:val="00CE3177"/>
    <w:rsid w:val="00CE31E9"/>
    <w:rsid w:val="00CE348F"/>
    <w:rsid w:val="00CE3520"/>
    <w:rsid w:val="00CE365E"/>
    <w:rsid w:val="00CE3723"/>
    <w:rsid w:val="00CE3725"/>
    <w:rsid w:val="00CE3748"/>
    <w:rsid w:val="00CE379D"/>
    <w:rsid w:val="00CE37CE"/>
    <w:rsid w:val="00CE3929"/>
    <w:rsid w:val="00CE3BC1"/>
    <w:rsid w:val="00CE3C15"/>
    <w:rsid w:val="00CE3C28"/>
    <w:rsid w:val="00CE3C56"/>
    <w:rsid w:val="00CE3D29"/>
    <w:rsid w:val="00CE3E70"/>
    <w:rsid w:val="00CE3F02"/>
    <w:rsid w:val="00CE3F96"/>
    <w:rsid w:val="00CE3F9C"/>
    <w:rsid w:val="00CE4158"/>
    <w:rsid w:val="00CE4172"/>
    <w:rsid w:val="00CE4262"/>
    <w:rsid w:val="00CE42D1"/>
    <w:rsid w:val="00CE43A9"/>
    <w:rsid w:val="00CE44D8"/>
    <w:rsid w:val="00CE451F"/>
    <w:rsid w:val="00CE4547"/>
    <w:rsid w:val="00CE46CD"/>
    <w:rsid w:val="00CE4844"/>
    <w:rsid w:val="00CE487A"/>
    <w:rsid w:val="00CE4894"/>
    <w:rsid w:val="00CE49BE"/>
    <w:rsid w:val="00CE49EE"/>
    <w:rsid w:val="00CE4A2E"/>
    <w:rsid w:val="00CE4B60"/>
    <w:rsid w:val="00CE4B64"/>
    <w:rsid w:val="00CE4BFE"/>
    <w:rsid w:val="00CE4CB5"/>
    <w:rsid w:val="00CE4DBD"/>
    <w:rsid w:val="00CE4E8C"/>
    <w:rsid w:val="00CE4EB8"/>
    <w:rsid w:val="00CE500B"/>
    <w:rsid w:val="00CE5024"/>
    <w:rsid w:val="00CE5025"/>
    <w:rsid w:val="00CE5089"/>
    <w:rsid w:val="00CE51AB"/>
    <w:rsid w:val="00CE526E"/>
    <w:rsid w:val="00CE52A9"/>
    <w:rsid w:val="00CE534B"/>
    <w:rsid w:val="00CE53EE"/>
    <w:rsid w:val="00CE5427"/>
    <w:rsid w:val="00CE54A6"/>
    <w:rsid w:val="00CE54B8"/>
    <w:rsid w:val="00CE573F"/>
    <w:rsid w:val="00CE578E"/>
    <w:rsid w:val="00CE5840"/>
    <w:rsid w:val="00CE58F0"/>
    <w:rsid w:val="00CE5913"/>
    <w:rsid w:val="00CE5984"/>
    <w:rsid w:val="00CE5BD3"/>
    <w:rsid w:val="00CE5C13"/>
    <w:rsid w:val="00CE5CD7"/>
    <w:rsid w:val="00CE5DEB"/>
    <w:rsid w:val="00CE5E8A"/>
    <w:rsid w:val="00CE5EF3"/>
    <w:rsid w:val="00CE5F75"/>
    <w:rsid w:val="00CE5FD7"/>
    <w:rsid w:val="00CE602C"/>
    <w:rsid w:val="00CE60FD"/>
    <w:rsid w:val="00CE6179"/>
    <w:rsid w:val="00CE61C2"/>
    <w:rsid w:val="00CE62A4"/>
    <w:rsid w:val="00CE62D9"/>
    <w:rsid w:val="00CE6430"/>
    <w:rsid w:val="00CE64EC"/>
    <w:rsid w:val="00CE6564"/>
    <w:rsid w:val="00CE6676"/>
    <w:rsid w:val="00CE6778"/>
    <w:rsid w:val="00CE68C0"/>
    <w:rsid w:val="00CE6905"/>
    <w:rsid w:val="00CE6968"/>
    <w:rsid w:val="00CE696A"/>
    <w:rsid w:val="00CE696E"/>
    <w:rsid w:val="00CE6B8D"/>
    <w:rsid w:val="00CE6B9D"/>
    <w:rsid w:val="00CE6BEA"/>
    <w:rsid w:val="00CE6C76"/>
    <w:rsid w:val="00CE6CB0"/>
    <w:rsid w:val="00CE6CED"/>
    <w:rsid w:val="00CE6D8E"/>
    <w:rsid w:val="00CE6E3F"/>
    <w:rsid w:val="00CE6F56"/>
    <w:rsid w:val="00CE70E5"/>
    <w:rsid w:val="00CE7101"/>
    <w:rsid w:val="00CE7134"/>
    <w:rsid w:val="00CE713B"/>
    <w:rsid w:val="00CE714C"/>
    <w:rsid w:val="00CE71F0"/>
    <w:rsid w:val="00CE720F"/>
    <w:rsid w:val="00CE7254"/>
    <w:rsid w:val="00CE72E9"/>
    <w:rsid w:val="00CE73B7"/>
    <w:rsid w:val="00CE7440"/>
    <w:rsid w:val="00CE745D"/>
    <w:rsid w:val="00CE74B0"/>
    <w:rsid w:val="00CE7557"/>
    <w:rsid w:val="00CE755E"/>
    <w:rsid w:val="00CE75BA"/>
    <w:rsid w:val="00CE7682"/>
    <w:rsid w:val="00CE7749"/>
    <w:rsid w:val="00CE790C"/>
    <w:rsid w:val="00CE7A4F"/>
    <w:rsid w:val="00CE7A82"/>
    <w:rsid w:val="00CE7B2A"/>
    <w:rsid w:val="00CE7B3D"/>
    <w:rsid w:val="00CE7B7D"/>
    <w:rsid w:val="00CE7C4C"/>
    <w:rsid w:val="00CF003B"/>
    <w:rsid w:val="00CF004F"/>
    <w:rsid w:val="00CF023A"/>
    <w:rsid w:val="00CF02FA"/>
    <w:rsid w:val="00CF04FD"/>
    <w:rsid w:val="00CF0521"/>
    <w:rsid w:val="00CF058E"/>
    <w:rsid w:val="00CF079B"/>
    <w:rsid w:val="00CF09E7"/>
    <w:rsid w:val="00CF0A5F"/>
    <w:rsid w:val="00CF0A69"/>
    <w:rsid w:val="00CF0B4A"/>
    <w:rsid w:val="00CF0B93"/>
    <w:rsid w:val="00CF0C3C"/>
    <w:rsid w:val="00CF0C42"/>
    <w:rsid w:val="00CF0C5C"/>
    <w:rsid w:val="00CF0C5E"/>
    <w:rsid w:val="00CF0CA1"/>
    <w:rsid w:val="00CF0CFA"/>
    <w:rsid w:val="00CF0D15"/>
    <w:rsid w:val="00CF0E69"/>
    <w:rsid w:val="00CF0E7D"/>
    <w:rsid w:val="00CF0F16"/>
    <w:rsid w:val="00CF0FDE"/>
    <w:rsid w:val="00CF1176"/>
    <w:rsid w:val="00CF11E8"/>
    <w:rsid w:val="00CF1278"/>
    <w:rsid w:val="00CF1347"/>
    <w:rsid w:val="00CF1386"/>
    <w:rsid w:val="00CF138A"/>
    <w:rsid w:val="00CF147D"/>
    <w:rsid w:val="00CF152E"/>
    <w:rsid w:val="00CF1614"/>
    <w:rsid w:val="00CF1672"/>
    <w:rsid w:val="00CF170D"/>
    <w:rsid w:val="00CF1764"/>
    <w:rsid w:val="00CF1791"/>
    <w:rsid w:val="00CF1882"/>
    <w:rsid w:val="00CF1A8A"/>
    <w:rsid w:val="00CF1AC4"/>
    <w:rsid w:val="00CF1BCD"/>
    <w:rsid w:val="00CF1C3A"/>
    <w:rsid w:val="00CF1D4A"/>
    <w:rsid w:val="00CF1FE0"/>
    <w:rsid w:val="00CF2202"/>
    <w:rsid w:val="00CF223C"/>
    <w:rsid w:val="00CF2562"/>
    <w:rsid w:val="00CF263B"/>
    <w:rsid w:val="00CF2653"/>
    <w:rsid w:val="00CF2675"/>
    <w:rsid w:val="00CF2688"/>
    <w:rsid w:val="00CF273C"/>
    <w:rsid w:val="00CF27F7"/>
    <w:rsid w:val="00CF285D"/>
    <w:rsid w:val="00CF291B"/>
    <w:rsid w:val="00CF2930"/>
    <w:rsid w:val="00CF29FE"/>
    <w:rsid w:val="00CF2A6D"/>
    <w:rsid w:val="00CF2D91"/>
    <w:rsid w:val="00CF2E11"/>
    <w:rsid w:val="00CF2F0B"/>
    <w:rsid w:val="00CF2F31"/>
    <w:rsid w:val="00CF3076"/>
    <w:rsid w:val="00CF30FB"/>
    <w:rsid w:val="00CF31A6"/>
    <w:rsid w:val="00CF31C1"/>
    <w:rsid w:val="00CF31EB"/>
    <w:rsid w:val="00CF3395"/>
    <w:rsid w:val="00CF3610"/>
    <w:rsid w:val="00CF371C"/>
    <w:rsid w:val="00CF3847"/>
    <w:rsid w:val="00CF38E1"/>
    <w:rsid w:val="00CF38FB"/>
    <w:rsid w:val="00CF3960"/>
    <w:rsid w:val="00CF3A4E"/>
    <w:rsid w:val="00CF3A71"/>
    <w:rsid w:val="00CF3C24"/>
    <w:rsid w:val="00CF3D63"/>
    <w:rsid w:val="00CF3D72"/>
    <w:rsid w:val="00CF3DC8"/>
    <w:rsid w:val="00CF3EE9"/>
    <w:rsid w:val="00CF3EEC"/>
    <w:rsid w:val="00CF3FE9"/>
    <w:rsid w:val="00CF40C6"/>
    <w:rsid w:val="00CF4128"/>
    <w:rsid w:val="00CF41EC"/>
    <w:rsid w:val="00CF4206"/>
    <w:rsid w:val="00CF4346"/>
    <w:rsid w:val="00CF44BA"/>
    <w:rsid w:val="00CF44D8"/>
    <w:rsid w:val="00CF46F1"/>
    <w:rsid w:val="00CF4855"/>
    <w:rsid w:val="00CF4931"/>
    <w:rsid w:val="00CF4943"/>
    <w:rsid w:val="00CF4A5B"/>
    <w:rsid w:val="00CF4BB4"/>
    <w:rsid w:val="00CF4CDA"/>
    <w:rsid w:val="00CF4F2D"/>
    <w:rsid w:val="00CF5005"/>
    <w:rsid w:val="00CF5021"/>
    <w:rsid w:val="00CF5030"/>
    <w:rsid w:val="00CF5095"/>
    <w:rsid w:val="00CF51D5"/>
    <w:rsid w:val="00CF51DB"/>
    <w:rsid w:val="00CF522F"/>
    <w:rsid w:val="00CF5260"/>
    <w:rsid w:val="00CF52FC"/>
    <w:rsid w:val="00CF5345"/>
    <w:rsid w:val="00CF5385"/>
    <w:rsid w:val="00CF547E"/>
    <w:rsid w:val="00CF5505"/>
    <w:rsid w:val="00CF5568"/>
    <w:rsid w:val="00CF56BE"/>
    <w:rsid w:val="00CF56D5"/>
    <w:rsid w:val="00CF57AB"/>
    <w:rsid w:val="00CF583C"/>
    <w:rsid w:val="00CF5919"/>
    <w:rsid w:val="00CF591C"/>
    <w:rsid w:val="00CF5999"/>
    <w:rsid w:val="00CF59DE"/>
    <w:rsid w:val="00CF5A14"/>
    <w:rsid w:val="00CF5A4A"/>
    <w:rsid w:val="00CF5A83"/>
    <w:rsid w:val="00CF5AB5"/>
    <w:rsid w:val="00CF5B26"/>
    <w:rsid w:val="00CF5B3F"/>
    <w:rsid w:val="00CF5C33"/>
    <w:rsid w:val="00CF5CAC"/>
    <w:rsid w:val="00CF5CD3"/>
    <w:rsid w:val="00CF5D2D"/>
    <w:rsid w:val="00CF5E14"/>
    <w:rsid w:val="00CF5F7C"/>
    <w:rsid w:val="00CF5FF4"/>
    <w:rsid w:val="00CF6003"/>
    <w:rsid w:val="00CF60FE"/>
    <w:rsid w:val="00CF6132"/>
    <w:rsid w:val="00CF616F"/>
    <w:rsid w:val="00CF625B"/>
    <w:rsid w:val="00CF62A2"/>
    <w:rsid w:val="00CF62C6"/>
    <w:rsid w:val="00CF635F"/>
    <w:rsid w:val="00CF639F"/>
    <w:rsid w:val="00CF655D"/>
    <w:rsid w:val="00CF667F"/>
    <w:rsid w:val="00CF66FA"/>
    <w:rsid w:val="00CF6994"/>
    <w:rsid w:val="00CF69AE"/>
    <w:rsid w:val="00CF69D0"/>
    <w:rsid w:val="00CF6A27"/>
    <w:rsid w:val="00CF6A94"/>
    <w:rsid w:val="00CF6A9C"/>
    <w:rsid w:val="00CF6BDB"/>
    <w:rsid w:val="00CF6BED"/>
    <w:rsid w:val="00CF6CB2"/>
    <w:rsid w:val="00CF6CB7"/>
    <w:rsid w:val="00CF6EEB"/>
    <w:rsid w:val="00CF6F38"/>
    <w:rsid w:val="00CF6F8A"/>
    <w:rsid w:val="00CF6FBA"/>
    <w:rsid w:val="00CF703B"/>
    <w:rsid w:val="00CF7286"/>
    <w:rsid w:val="00CF728B"/>
    <w:rsid w:val="00CF72D2"/>
    <w:rsid w:val="00CF7392"/>
    <w:rsid w:val="00CF73F6"/>
    <w:rsid w:val="00CF7491"/>
    <w:rsid w:val="00CF751B"/>
    <w:rsid w:val="00CF755A"/>
    <w:rsid w:val="00CF7595"/>
    <w:rsid w:val="00CF767C"/>
    <w:rsid w:val="00CF7845"/>
    <w:rsid w:val="00CF78DA"/>
    <w:rsid w:val="00CF78FB"/>
    <w:rsid w:val="00CF79E3"/>
    <w:rsid w:val="00CF79E4"/>
    <w:rsid w:val="00CF7A7B"/>
    <w:rsid w:val="00CF7ADE"/>
    <w:rsid w:val="00CF7B96"/>
    <w:rsid w:val="00CF7BEE"/>
    <w:rsid w:val="00CF7C1A"/>
    <w:rsid w:val="00CF7D3B"/>
    <w:rsid w:val="00CF7E10"/>
    <w:rsid w:val="00CF7EB3"/>
    <w:rsid w:val="00D001BD"/>
    <w:rsid w:val="00D0026C"/>
    <w:rsid w:val="00D00283"/>
    <w:rsid w:val="00D0028A"/>
    <w:rsid w:val="00D0033C"/>
    <w:rsid w:val="00D00345"/>
    <w:rsid w:val="00D003AF"/>
    <w:rsid w:val="00D003B8"/>
    <w:rsid w:val="00D00468"/>
    <w:rsid w:val="00D00714"/>
    <w:rsid w:val="00D007A1"/>
    <w:rsid w:val="00D007A4"/>
    <w:rsid w:val="00D007EC"/>
    <w:rsid w:val="00D008CD"/>
    <w:rsid w:val="00D008E8"/>
    <w:rsid w:val="00D00957"/>
    <w:rsid w:val="00D00C22"/>
    <w:rsid w:val="00D00D09"/>
    <w:rsid w:val="00D00DDB"/>
    <w:rsid w:val="00D00DEA"/>
    <w:rsid w:val="00D00E8D"/>
    <w:rsid w:val="00D00F23"/>
    <w:rsid w:val="00D00F28"/>
    <w:rsid w:val="00D00FAA"/>
    <w:rsid w:val="00D00FC3"/>
    <w:rsid w:val="00D00FFE"/>
    <w:rsid w:val="00D01058"/>
    <w:rsid w:val="00D0109C"/>
    <w:rsid w:val="00D010B3"/>
    <w:rsid w:val="00D01131"/>
    <w:rsid w:val="00D0118C"/>
    <w:rsid w:val="00D012B4"/>
    <w:rsid w:val="00D01367"/>
    <w:rsid w:val="00D013B9"/>
    <w:rsid w:val="00D01429"/>
    <w:rsid w:val="00D01520"/>
    <w:rsid w:val="00D0153F"/>
    <w:rsid w:val="00D015FE"/>
    <w:rsid w:val="00D01653"/>
    <w:rsid w:val="00D01776"/>
    <w:rsid w:val="00D018D9"/>
    <w:rsid w:val="00D01A0C"/>
    <w:rsid w:val="00D01A72"/>
    <w:rsid w:val="00D01A7C"/>
    <w:rsid w:val="00D01A7D"/>
    <w:rsid w:val="00D01B13"/>
    <w:rsid w:val="00D01BBF"/>
    <w:rsid w:val="00D01C40"/>
    <w:rsid w:val="00D01C42"/>
    <w:rsid w:val="00D01D62"/>
    <w:rsid w:val="00D01DDD"/>
    <w:rsid w:val="00D01DE0"/>
    <w:rsid w:val="00D01E35"/>
    <w:rsid w:val="00D01F3A"/>
    <w:rsid w:val="00D01F6E"/>
    <w:rsid w:val="00D02118"/>
    <w:rsid w:val="00D0219D"/>
    <w:rsid w:val="00D021A1"/>
    <w:rsid w:val="00D021AD"/>
    <w:rsid w:val="00D021C5"/>
    <w:rsid w:val="00D0222D"/>
    <w:rsid w:val="00D022A5"/>
    <w:rsid w:val="00D0245A"/>
    <w:rsid w:val="00D0252F"/>
    <w:rsid w:val="00D02585"/>
    <w:rsid w:val="00D02685"/>
    <w:rsid w:val="00D026E0"/>
    <w:rsid w:val="00D02726"/>
    <w:rsid w:val="00D0282A"/>
    <w:rsid w:val="00D02884"/>
    <w:rsid w:val="00D028CB"/>
    <w:rsid w:val="00D02988"/>
    <w:rsid w:val="00D02A6B"/>
    <w:rsid w:val="00D02AF9"/>
    <w:rsid w:val="00D02B0E"/>
    <w:rsid w:val="00D02C98"/>
    <w:rsid w:val="00D02CDD"/>
    <w:rsid w:val="00D02DD8"/>
    <w:rsid w:val="00D02DDE"/>
    <w:rsid w:val="00D02E69"/>
    <w:rsid w:val="00D02E7F"/>
    <w:rsid w:val="00D02EA0"/>
    <w:rsid w:val="00D02EC8"/>
    <w:rsid w:val="00D03290"/>
    <w:rsid w:val="00D0346D"/>
    <w:rsid w:val="00D0348C"/>
    <w:rsid w:val="00D034C1"/>
    <w:rsid w:val="00D03516"/>
    <w:rsid w:val="00D03556"/>
    <w:rsid w:val="00D036F1"/>
    <w:rsid w:val="00D036F3"/>
    <w:rsid w:val="00D037C4"/>
    <w:rsid w:val="00D037E0"/>
    <w:rsid w:val="00D0395C"/>
    <w:rsid w:val="00D03A5D"/>
    <w:rsid w:val="00D03AAA"/>
    <w:rsid w:val="00D03ABF"/>
    <w:rsid w:val="00D03B28"/>
    <w:rsid w:val="00D03CCA"/>
    <w:rsid w:val="00D03E81"/>
    <w:rsid w:val="00D04030"/>
    <w:rsid w:val="00D04082"/>
    <w:rsid w:val="00D0413F"/>
    <w:rsid w:val="00D04224"/>
    <w:rsid w:val="00D04254"/>
    <w:rsid w:val="00D042AA"/>
    <w:rsid w:val="00D042B6"/>
    <w:rsid w:val="00D042C9"/>
    <w:rsid w:val="00D04381"/>
    <w:rsid w:val="00D043C5"/>
    <w:rsid w:val="00D0444C"/>
    <w:rsid w:val="00D0447D"/>
    <w:rsid w:val="00D045B4"/>
    <w:rsid w:val="00D04636"/>
    <w:rsid w:val="00D0467C"/>
    <w:rsid w:val="00D0469C"/>
    <w:rsid w:val="00D04701"/>
    <w:rsid w:val="00D0471B"/>
    <w:rsid w:val="00D04803"/>
    <w:rsid w:val="00D0487A"/>
    <w:rsid w:val="00D048AE"/>
    <w:rsid w:val="00D049B3"/>
    <w:rsid w:val="00D04B6D"/>
    <w:rsid w:val="00D04BD9"/>
    <w:rsid w:val="00D04C46"/>
    <w:rsid w:val="00D04C70"/>
    <w:rsid w:val="00D04C8A"/>
    <w:rsid w:val="00D04C8C"/>
    <w:rsid w:val="00D04CB1"/>
    <w:rsid w:val="00D04F0C"/>
    <w:rsid w:val="00D04F69"/>
    <w:rsid w:val="00D04F7F"/>
    <w:rsid w:val="00D050F7"/>
    <w:rsid w:val="00D05164"/>
    <w:rsid w:val="00D052AC"/>
    <w:rsid w:val="00D052B1"/>
    <w:rsid w:val="00D052CC"/>
    <w:rsid w:val="00D0558C"/>
    <w:rsid w:val="00D05596"/>
    <w:rsid w:val="00D056EF"/>
    <w:rsid w:val="00D05987"/>
    <w:rsid w:val="00D05992"/>
    <w:rsid w:val="00D05A37"/>
    <w:rsid w:val="00D05A3E"/>
    <w:rsid w:val="00D05A9A"/>
    <w:rsid w:val="00D05B59"/>
    <w:rsid w:val="00D05BC2"/>
    <w:rsid w:val="00D05C5D"/>
    <w:rsid w:val="00D05DB2"/>
    <w:rsid w:val="00D05E33"/>
    <w:rsid w:val="00D05F76"/>
    <w:rsid w:val="00D0611A"/>
    <w:rsid w:val="00D06223"/>
    <w:rsid w:val="00D06244"/>
    <w:rsid w:val="00D062B9"/>
    <w:rsid w:val="00D06334"/>
    <w:rsid w:val="00D064A7"/>
    <w:rsid w:val="00D06547"/>
    <w:rsid w:val="00D06592"/>
    <w:rsid w:val="00D0659A"/>
    <w:rsid w:val="00D0670A"/>
    <w:rsid w:val="00D06813"/>
    <w:rsid w:val="00D06B28"/>
    <w:rsid w:val="00D06B7F"/>
    <w:rsid w:val="00D06D01"/>
    <w:rsid w:val="00D06D5C"/>
    <w:rsid w:val="00D06E36"/>
    <w:rsid w:val="00D06FA1"/>
    <w:rsid w:val="00D07128"/>
    <w:rsid w:val="00D07175"/>
    <w:rsid w:val="00D07179"/>
    <w:rsid w:val="00D071A4"/>
    <w:rsid w:val="00D071DD"/>
    <w:rsid w:val="00D07445"/>
    <w:rsid w:val="00D07456"/>
    <w:rsid w:val="00D07485"/>
    <w:rsid w:val="00D07511"/>
    <w:rsid w:val="00D075EA"/>
    <w:rsid w:val="00D07619"/>
    <w:rsid w:val="00D079A2"/>
    <w:rsid w:val="00D079D3"/>
    <w:rsid w:val="00D07A0A"/>
    <w:rsid w:val="00D07A75"/>
    <w:rsid w:val="00D07B5B"/>
    <w:rsid w:val="00D07B90"/>
    <w:rsid w:val="00D07BC0"/>
    <w:rsid w:val="00D07BC5"/>
    <w:rsid w:val="00D07C61"/>
    <w:rsid w:val="00D07CB5"/>
    <w:rsid w:val="00D07CC4"/>
    <w:rsid w:val="00D07D06"/>
    <w:rsid w:val="00D07D6B"/>
    <w:rsid w:val="00D07E71"/>
    <w:rsid w:val="00D100D2"/>
    <w:rsid w:val="00D10245"/>
    <w:rsid w:val="00D10255"/>
    <w:rsid w:val="00D102AE"/>
    <w:rsid w:val="00D104BC"/>
    <w:rsid w:val="00D10523"/>
    <w:rsid w:val="00D10718"/>
    <w:rsid w:val="00D10752"/>
    <w:rsid w:val="00D1084C"/>
    <w:rsid w:val="00D1085E"/>
    <w:rsid w:val="00D10896"/>
    <w:rsid w:val="00D10933"/>
    <w:rsid w:val="00D10A88"/>
    <w:rsid w:val="00D10ADF"/>
    <w:rsid w:val="00D10B99"/>
    <w:rsid w:val="00D10C58"/>
    <w:rsid w:val="00D10D4F"/>
    <w:rsid w:val="00D10D71"/>
    <w:rsid w:val="00D10D78"/>
    <w:rsid w:val="00D10DE9"/>
    <w:rsid w:val="00D10E1C"/>
    <w:rsid w:val="00D10E31"/>
    <w:rsid w:val="00D10E93"/>
    <w:rsid w:val="00D10EB0"/>
    <w:rsid w:val="00D10EDC"/>
    <w:rsid w:val="00D11036"/>
    <w:rsid w:val="00D11070"/>
    <w:rsid w:val="00D11152"/>
    <w:rsid w:val="00D11270"/>
    <w:rsid w:val="00D11348"/>
    <w:rsid w:val="00D113BE"/>
    <w:rsid w:val="00D11411"/>
    <w:rsid w:val="00D11489"/>
    <w:rsid w:val="00D11551"/>
    <w:rsid w:val="00D115A9"/>
    <w:rsid w:val="00D1185D"/>
    <w:rsid w:val="00D1186E"/>
    <w:rsid w:val="00D11880"/>
    <w:rsid w:val="00D11992"/>
    <w:rsid w:val="00D119B0"/>
    <w:rsid w:val="00D11AA1"/>
    <w:rsid w:val="00D11B97"/>
    <w:rsid w:val="00D11BA5"/>
    <w:rsid w:val="00D11BC7"/>
    <w:rsid w:val="00D11C5E"/>
    <w:rsid w:val="00D11C7B"/>
    <w:rsid w:val="00D11D3D"/>
    <w:rsid w:val="00D11DA8"/>
    <w:rsid w:val="00D11DD3"/>
    <w:rsid w:val="00D11EAC"/>
    <w:rsid w:val="00D12082"/>
    <w:rsid w:val="00D1211A"/>
    <w:rsid w:val="00D12145"/>
    <w:rsid w:val="00D1222A"/>
    <w:rsid w:val="00D1222E"/>
    <w:rsid w:val="00D122CB"/>
    <w:rsid w:val="00D122CC"/>
    <w:rsid w:val="00D123A3"/>
    <w:rsid w:val="00D123BA"/>
    <w:rsid w:val="00D123C5"/>
    <w:rsid w:val="00D12641"/>
    <w:rsid w:val="00D126BD"/>
    <w:rsid w:val="00D12767"/>
    <w:rsid w:val="00D128AB"/>
    <w:rsid w:val="00D128C7"/>
    <w:rsid w:val="00D12947"/>
    <w:rsid w:val="00D12A3B"/>
    <w:rsid w:val="00D12BA9"/>
    <w:rsid w:val="00D12CF4"/>
    <w:rsid w:val="00D12D3A"/>
    <w:rsid w:val="00D12F2F"/>
    <w:rsid w:val="00D12F4B"/>
    <w:rsid w:val="00D13010"/>
    <w:rsid w:val="00D1309E"/>
    <w:rsid w:val="00D13130"/>
    <w:rsid w:val="00D1315C"/>
    <w:rsid w:val="00D131C0"/>
    <w:rsid w:val="00D131DD"/>
    <w:rsid w:val="00D13202"/>
    <w:rsid w:val="00D13226"/>
    <w:rsid w:val="00D132F7"/>
    <w:rsid w:val="00D13448"/>
    <w:rsid w:val="00D1348E"/>
    <w:rsid w:val="00D13511"/>
    <w:rsid w:val="00D135CF"/>
    <w:rsid w:val="00D13740"/>
    <w:rsid w:val="00D139CC"/>
    <w:rsid w:val="00D139D1"/>
    <w:rsid w:val="00D13A32"/>
    <w:rsid w:val="00D13AB2"/>
    <w:rsid w:val="00D13B08"/>
    <w:rsid w:val="00D13B6F"/>
    <w:rsid w:val="00D13CB8"/>
    <w:rsid w:val="00D13D0E"/>
    <w:rsid w:val="00D13D31"/>
    <w:rsid w:val="00D13DA9"/>
    <w:rsid w:val="00D13E6F"/>
    <w:rsid w:val="00D13EE5"/>
    <w:rsid w:val="00D13F12"/>
    <w:rsid w:val="00D13FB4"/>
    <w:rsid w:val="00D14117"/>
    <w:rsid w:val="00D1419B"/>
    <w:rsid w:val="00D141EF"/>
    <w:rsid w:val="00D143F6"/>
    <w:rsid w:val="00D1456D"/>
    <w:rsid w:val="00D14675"/>
    <w:rsid w:val="00D14706"/>
    <w:rsid w:val="00D14720"/>
    <w:rsid w:val="00D147F1"/>
    <w:rsid w:val="00D1499A"/>
    <w:rsid w:val="00D14A31"/>
    <w:rsid w:val="00D14B47"/>
    <w:rsid w:val="00D14B84"/>
    <w:rsid w:val="00D14B8A"/>
    <w:rsid w:val="00D14C19"/>
    <w:rsid w:val="00D14C79"/>
    <w:rsid w:val="00D14DAA"/>
    <w:rsid w:val="00D15021"/>
    <w:rsid w:val="00D1512C"/>
    <w:rsid w:val="00D152BD"/>
    <w:rsid w:val="00D15367"/>
    <w:rsid w:val="00D153EA"/>
    <w:rsid w:val="00D153F1"/>
    <w:rsid w:val="00D154FB"/>
    <w:rsid w:val="00D1561A"/>
    <w:rsid w:val="00D156B2"/>
    <w:rsid w:val="00D156FE"/>
    <w:rsid w:val="00D157C7"/>
    <w:rsid w:val="00D157E1"/>
    <w:rsid w:val="00D1585A"/>
    <w:rsid w:val="00D158C0"/>
    <w:rsid w:val="00D15904"/>
    <w:rsid w:val="00D159F3"/>
    <w:rsid w:val="00D15A97"/>
    <w:rsid w:val="00D15ACB"/>
    <w:rsid w:val="00D15C80"/>
    <w:rsid w:val="00D15F3E"/>
    <w:rsid w:val="00D15F8D"/>
    <w:rsid w:val="00D16072"/>
    <w:rsid w:val="00D16158"/>
    <w:rsid w:val="00D16167"/>
    <w:rsid w:val="00D1618E"/>
    <w:rsid w:val="00D161EA"/>
    <w:rsid w:val="00D161F3"/>
    <w:rsid w:val="00D16233"/>
    <w:rsid w:val="00D162CA"/>
    <w:rsid w:val="00D16347"/>
    <w:rsid w:val="00D16542"/>
    <w:rsid w:val="00D16546"/>
    <w:rsid w:val="00D1679E"/>
    <w:rsid w:val="00D167D1"/>
    <w:rsid w:val="00D1680A"/>
    <w:rsid w:val="00D1681B"/>
    <w:rsid w:val="00D16919"/>
    <w:rsid w:val="00D169DE"/>
    <w:rsid w:val="00D16AC8"/>
    <w:rsid w:val="00D16C5A"/>
    <w:rsid w:val="00D16CA3"/>
    <w:rsid w:val="00D16F65"/>
    <w:rsid w:val="00D16FA6"/>
    <w:rsid w:val="00D17085"/>
    <w:rsid w:val="00D170CE"/>
    <w:rsid w:val="00D171BE"/>
    <w:rsid w:val="00D172F4"/>
    <w:rsid w:val="00D17482"/>
    <w:rsid w:val="00D17591"/>
    <w:rsid w:val="00D175D6"/>
    <w:rsid w:val="00D1779F"/>
    <w:rsid w:val="00D178E9"/>
    <w:rsid w:val="00D17A7E"/>
    <w:rsid w:val="00D17BD4"/>
    <w:rsid w:val="00D17C47"/>
    <w:rsid w:val="00D17D61"/>
    <w:rsid w:val="00D2000F"/>
    <w:rsid w:val="00D20042"/>
    <w:rsid w:val="00D201F1"/>
    <w:rsid w:val="00D2027D"/>
    <w:rsid w:val="00D202C5"/>
    <w:rsid w:val="00D202D6"/>
    <w:rsid w:val="00D2034F"/>
    <w:rsid w:val="00D2039D"/>
    <w:rsid w:val="00D204C1"/>
    <w:rsid w:val="00D20599"/>
    <w:rsid w:val="00D205B2"/>
    <w:rsid w:val="00D20657"/>
    <w:rsid w:val="00D206F2"/>
    <w:rsid w:val="00D20776"/>
    <w:rsid w:val="00D2077C"/>
    <w:rsid w:val="00D207BE"/>
    <w:rsid w:val="00D20912"/>
    <w:rsid w:val="00D20A86"/>
    <w:rsid w:val="00D20AF5"/>
    <w:rsid w:val="00D20D55"/>
    <w:rsid w:val="00D20D8C"/>
    <w:rsid w:val="00D20DD1"/>
    <w:rsid w:val="00D20E5F"/>
    <w:rsid w:val="00D20F88"/>
    <w:rsid w:val="00D2105D"/>
    <w:rsid w:val="00D2128D"/>
    <w:rsid w:val="00D21349"/>
    <w:rsid w:val="00D21353"/>
    <w:rsid w:val="00D213A6"/>
    <w:rsid w:val="00D213B5"/>
    <w:rsid w:val="00D215C1"/>
    <w:rsid w:val="00D21713"/>
    <w:rsid w:val="00D2175D"/>
    <w:rsid w:val="00D2177C"/>
    <w:rsid w:val="00D217FB"/>
    <w:rsid w:val="00D21890"/>
    <w:rsid w:val="00D2190B"/>
    <w:rsid w:val="00D219BE"/>
    <w:rsid w:val="00D21B8E"/>
    <w:rsid w:val="00D21C2B"/>
    <w:rsid w:val="00D21CC1"/>
    <w:rsid w:val="00D21CEB"/>
    <w:rsid w:val="00D21D73"/>
    <w:rsid w:val="00D21DED"/>
    <w:rsid w:val="00D21E6E"/>
    <w:rsid w:val="00D21F37"/>
    <w:rsid w:val="00D21FF7"/>
    <w:rsid w:val="00D22104"/>
    <w:rsid w:val="00D221C8"/>
    <w:rsid w:val="00D222C1"/>
    <w:rsid w:val="00D222D7"/>
    <w:rsid w:val="00D22512"/>
    <w:rsid w:val="00D225F1"/>
    <w:rsid w:val="00D22656"/>
    <w:rsid w:val="00D22657"/>
    <w:rsid w:val="00D226CC"/>
    <w:rsid w:val="00D226E5"/>
    <w:rsid w:val="00D227A4"/>
    <w:rsid w:val="00D227B0"/>
    <w:rsid w:val="00D228C9"/>
    <w:rsid w:val="00D22960"/>
    <w:rsid w:val="00D22964"/>
    <w:rsid w:val="00D22A11"/>
    <w:rsid w:val="00D22ADB"/>
    <w:rsid w:val="00D22AF0"/>
    <w:rsid w:val="00D22B3E"/>
    <w:rsid w:val="00D22BC4"/>
    <w:rsid w:val="00D22BDA"/>
    <w:rsid w:val="00D22BEB"/>
    <w:rsid w:val="00D22E6E"/>
    <w:rsid w:val="00D22EC1"/>
    <w:rsid w:val="00D22FDE"/>
    <w:rsid w:val="00D23010"/>
    <w:rsid w:val="00D23097"/>
    <w:rsid w:val="00D2315E"/>
    <w:rsid w:val="00D23237"/>
    <w:rsid w:val="00D23321"/>
    <w:rsid w:val="00D23449"/>
    <w:rsid w:val="00D234AD"/>
    <w:rsid w:val="00D235A7"/>
    <w:rsid w:val="00D235D0"/>
    <w:rsid w:val="00D23619"/>
    <w:rsid w:val="00D2362C"/>
    <w:rsid w:val="00D237C8"/>
    <w:rsid w:val="00D2380A"/>
    <w:rsid w:val="00D23824"/>
    <w:rsid w:val="00D238A4"/>
    <w:rsid w:val="00D239B5"/>
    <w:rsid w:val="00D23B5B"/>
    <w:rsid w:val="00D23BF0"/>
    <w:rsid w:val="00D23CBC"/>
    <w:rsid w:val="00D23CC1"/>
    <w:rsid w:val="00D23CD2"/>
    <w:rsid w:val="00D23DBA"/>
    <w:rsid w:val="00D23E46"/>
    <w:rsid w:val="00D23ED6"/>
    <w:rsid w:val="00D23F7E"/>
    <w:rsid w:val="00D23FDE"/>
    <w:rsid w:val="00D240DD"/>
    <w:rsid w:val="00D241F8"/>
    <w:rsid w:val="00D242E3"/>
    <w:rsid w:val="00D242F7"/>
    <w:rsid w:val="00D24340"/>
    <w:rsid w:val="00D24352"/>
    <w:rsid w:val="00D243C3"/>
    <w:rsid w:val="00D2453D"/>
    <w:rsid w:val="00D2456B"/>
    <w:rsid w:val="00D24608"/>
    <w:rsid w:val="00D24616"/>
    <w:rsid w:val="00D246FB"/>
    <w:rsid w:val="00D24734"/>
    <w:rsid w:val="00D2478F"/>
    <w:rsid w:val="00D247BC"/>
    <w:rsid w:val="00D24AE2"/>
    <w:rsid w:val="00D24B1C"/>
    <w:rsid w:val="00D24BF3"/>
    <w:rsid w:val="00D24C30"/>
    <w:rsid w:val="00D24D7E"/>
    <w:rsid w:val="00D24E07"/>
    <w:rsid w:val="00D24E21"/>
    <w:rsid w:val="00D24E61"/>
    <w:rsid w:val="00D24E94"/>
    <w:rsid w:val="00D24F6E"/>
    <w:rsid w:val="00D250B6"/>
    <w:rsid w:val="00D250E4"/>
    <w:rsid w:val="00D2517B"/>
    <w:rsid w:val="00D25235"/>
    <w:rsid w:val="00D252A5"/>
    <w:rsid w:val="00D252B6"/>
    <w:rsid w:val="00D2546A"/>
    <w:rsid w:val="00D25481"/>
    <w:rsid w:val="00D2549C"/>
    <w:rsid w:val="00D254A8"/>
    <w:rsid w:val="00D2554C"/>
    <w:rsid w:val="00D256C8"/>
    <w:rsid w:val="00D257EA"/>
    <w:rsid w:val="00D257F6"/>
    <w:rsid w:val="00D2584C"/>
    <w:rsid w:val="00D259B1"/>
    <w:rsid w:val="00D25A25"/>
    <w:rsid w:val="00D25A5B"/>
    <w:rsid w:val="00D25AF2"/>
    <w:rsid w:val="00D25B2A"/>
    <w:rsid w:val="00D25D0D"/>
    <w:rsid w:val="00D25EA2"/>
    <w:rsid w:val="00D25EDA"/>
    <w:rsid w:val="00D25F55"/>
    <w:rsid w:val="00D26080"/>
    <w:rsid w:val="00D26140"/>
    <w:rsid w:val="00D26219"/>
    <w:rsid w:val="00D26227"/>
    <w:rsid w:val="00D262E3"/>
    <w:rsid w:val="00D263BA"/>
    <w:rsid w:val="00D2640F"/>
    <w:rsid w:val="00D26484"/>
    <w:rsid w:val="00D26638"/>
    <w:rsid w:val="00D26812"/>
    <w:rsid w:val="00D2681C"/>
    <w:rsid w:val="00D268FF"/>
    <w:rsid w:val="00D269D3"/>
    <w:rsid w:val="00D26A75"/>
    <w:rsid w:val="00D26A84"/>
    <w:rsid w:val="00D26CAE"/>
    <w:rsid w:val="00D26E64"/>
    <w:rsid w:val="00D26E8B"/>
    <w:rsid w:val="00D26F9C"/>
    <w:rsid w:val="00D27026"/>
    <w:rsid w:val="00D27049"/>
    <w:rsid w:val="00D271FF"/>
    <w:rsid w:val="00D2725F"/>
    <w:rsid w:val="00D27445"/>
    <w:rsid w:val="00D274F7"/>
    <w:rsid w:val="00D27688"/>
    <w:rsid w:val="00D27780"/>
    <w:rsid w:val="00D277F1"/>
    <w:rsid w:val="00D27892"/>
    <w:rsid w:val="00D27976"/>
    <w:rsid w:val="00D279B2"/>
    <w:rsid w:val="00D27A7A"/>
    <w:rsid w:val="00D27B22"/>
    <w:rsid w:val="00D27C17"/>
    <w:rsid w:val="00D27C4B"/>
    <w:rsid w:val="00D27D5A"/>
    <w:rsid w:val="00D27F57"/>
    <w:rsid w:val="00D27F60"/>
    <w:rsid w:val="00D301E8"/>
    <w:rsid w:val="00D301FB"/>
    <w:rsid w:val="00D3029E"/>
    <w:rsid w:val="00D303C9"/>
    <w:rsid w:val="00D304CE"/>
    <w:rsid w:val="00D30592"/>
    <w:rsid w:val="00D3061F"/>
    <w:rsid w:val="00D30678"/>
    <w:rsid w:val="00D306E7"/>
    <w:rsid w:val="00D306EF"/>
    <w:rsid w:val="00D3073A"/>
    <w:rsid w:val="00D30846"/>
    <w:rsid w:val="00D30AD1"/>
    <w:rsid w:val="00D30BF9"/>
    <w:rsid w:val="00D30C0C"/>
    <w:rsid w:val="00D30C1E"/>
    <w:rsid w:val="00D30C57"/>
    <w:rsid w:val="00D30D41"/>
    <w:rsid w:val="00D30E4F"/>
    <w:rsid w:val="00D31105"/>
    <w:rsid w:val="00D3114D"/>
    <w:rsid w:val="00D3124B"/>
    <w:rsid w:val="00D31298"/>
    <w:rsid w:val="00D31305"/>
    <w:rsid w:val="00D31492"/>
    <w:rsid w:val="00D31623"/>
    <w:rsid w:val="00D31772"/>
    <w:rsid w:val="00D31793"/>
    <w:rsid w:val="00D31825"/>
    <w:rsid w:val="00D318FA"/>
    <w:rsid w:val="00D3195F"/>
    <w:rsid w:val="00D31A43"/>
    <w:rsid w:val="00D31A65"/>
    <w:rsid w:val="00D31BAD"/>
    <w:rsid w:val="00D31CD8"/>
    <w:rsid w:val="00D31D2F"/>
    <w:rsid w:val="00D31D9B"/>
    <w:rsid w:val="00D31DB7"/>
    <w:rsid w:val="00D31ECD"/>
    <w:rsid w:val="00D320FA"/>
    <w:rsid w:val="00D32117"/>
    <w:rsid w:val="00D3215F"/>
    <w:rsid w:val="00D322BB"/>
    <w:rsid w:val="00D32431"/>
    <w:rsid w:val="00D324F2"/>
    <w:rsid w:val="00D32627"/>
    <w:rsid w:val="00D32632"/>
    <w:rsid w:val="00D32678"/>
    <w:rsid w:val="00D3276B"/>
    <w:rsid w:val="00D3279C"/>
    <w:rsid w:val="00D327DC"/>
    <w:rsid w:val="00D327DE"/>
    <w:rsid w:val="00D32883"/>
    <w:rsid w:val="00D329A2"/>
    <w:rsid w:val="00D32A1E"/>
    <w:rsid w:val="00D32A4C"/>
    <w:rsid w:val="00D32A4F"/>
    <w:rsid w:val="00D32B0F"/>
    <w:rsid w:val="00D32D33"/>
    <w:rsid w:val="00D32DF3"/>
    <w:rsid w:val="00D32F06"/>
    <w:rsid w:val="00D32F17"/>
    <w:rsid w:val="00D330B9"/>
    <w:rsid w:val="00D33159"/>
    <w:rsid w:val="00D331AF"/>
    <w:rsid w:val="00D33281"/>
    <w:rsid w:val="00D332EB"/>
    <w:rsid w:val="00D3342C"/>
    <w:rsid w:val="00D3369B"/>
    <w:rsid w:val="00D336E8"/>
    <w:rsid w:val="00D33761"/>
    <w:rsid w:val="00D33821"/>
    <w:rsid w:val="00D33837"/>
    <w:rsid w:val="00D339C2"/>
    <w:rsid w:val="00D339D6"/>
    <w:rsid w:val="00D33E14"/>
    <w:rsid w:val="00D33EE5"/>
    <w:rsid w:val="00D33FA4"/>
    <w:rsid w:val="00D34058"/>
    <w:rsid w:val="00D3406B"/>
    <w:rsid w:val="00D34243"/>
    <w:rsid w:val="00D342A9"/>
    <w:rsid w:val="00D3438E"/>
    <w:rsid w:val="00D34500"/>
    <w:rsid w:val="00D347AD"/>
    <w:rsid w:val="00D347D5"/>
    <w:rsid w:val="00D34912"/>
    <w:rsid w:val="00D34928"/>
    <w:rsid w:val="00D349C9"/>
    <w:rsid w:val="00D349F1"/>
    <w:rsid w:val="00D34D2D"/>
    <w:rsid w:val="00D34D83"/>
    <w:rsid w:val="00D34DB4"/>
    <w:rsid w:val="00D34F13"/>
    <w:rsid w:val="00D34F55"/>
    <w:rsid w:val="00D34F58"/>
    <w:rsid w:val="00D34F87"/>
    <w:rsid w:val="00D350A5"/>
    <w:rsid w:val="00D3512C"/>
    <w:rsid w:val="00D35177"/>
    <w:rsid w:val="00D3517B"/>
    <w:rsid w:val="00D35386"/>
    <w:rsid w:val="00D35422"/>
    <w:rsid w:val="00D354DD"/>
    <w:rsid w:val="00D35541"/>
    <w:rsid w:val="00D35626"/>
    <w:rsid w:val="00D356AC"/>
    <w:rsid w:val="00D35852"/>
    <w:rsid w:val="00D3586C"/>
    <w:rsid w:val="00D358D8"/>
    <w:rsid w:val="00D35A2C"/>
    <w:rsid w:val="00D35A5A"/>
    <w:rsid w:val="00D35CE0"/>
    <w:rsid w:val="00D35CF0"/>
    <w:rsid w:val="00D35D1E"/>
    <w:rsid w:val="00D35F1D"/>
    <w:rsid w:val="00D35FCD"/>
    <w:rsid w:val="00D360F5"/>
    <w:rsid w:val="00D36113"/>
    <w:rsid w:val="00D36283"/>
    <w:rsid w:val="00D362D6"/>
    <w:rsid w:val="00D36322"/>
    <w:rsid w:val="00D3633D"/>
    <w:rsid w:val="00D36491"/>
    <w:rsid w:val="00D3649D"/>
    <w:rsid w:val="00D36545"/>
    <w:rsid w:val="00D3664B"/>
    <w:rsid w:val="00D366F2"/>
    <w:rsid w:val="00D368C1"/>
    <w:rsid w:val="00D36A2B"/>
    <w:rsid w:val="00D36AD2"/>
    <w:rsid w:val="00D36B35"/>
    <w:rsid w:val="00D36B8E"/>
    <w:rsid w:val="00D36BF5"/>
    <w:rsid w:val="00D36CA8"/>
    <w:rsid w:val="00D36D51"/>
    <w:rsid w:val="00D36DE9"/>
    <w:rsid w:val="00D36DFC"/>
    <w:rsid w:val="00D36E00"/>
    <w:rsid w:val="00D36ECB"/>
    <w:rsid w:val="00D36F30"/>
    <w:rsid w:val="00D36F40"/>
    <w:rsid w:val="00D36FBB"/>
    <w:rsid w:val="00D37003"/>
    <w:rsid w:val="00D37073"/>
    <w:rsid w:val="00D370F2"/>
    <w:rsid w:val="00D371E5"/>
    <w:rsid w:val="00D3720F"/>
    <w:rsid w:val="00D373BE"/>
    <w:rsid w:val="00D37453"/>
    <w:rsid w:val="00D37575"/>
    <w:rsid w:val="00D37670"/>
    <w:rsid w:val="00D376F3"/>
    <w:rsid w:val="00D37793"/>
    <w:rsid w:val="00D3779F"/>
    <w:rsid w:val="00D377EF"/>
    <w:rsid w:val="00D3788D"/>
    <w:rsid w:val="00D379DA"/>
    <w:rsid w:val="00D37A31"/>
    <w:rsid w:val="00D37AEB"/>
    <w:rsid w:val="00D37AEE"/>
    <w:rsid w:val="00D37C19"/>
    <w:rsid w:val="00D37D3C"/>
    <w:rsid w:val="00D37D8A"/>
    <w:rsid w:val="00D37E5D"/>
    <w:rsid w:val="00D37F66"/>
    <w:rsid w:val="00D37FAC"/>
    <w:rsid w:val="00D40048"/>
    <w:rsid w:val="00D40064"/>
    <w:rsid w:val="00D401CB"/>
    <w:rsid w:val="00D40244"/>
    <w:rsid w:val="00D4027F"/>
    <w:rsid w:val="00D40584"/>
    <w:rsid w:val="00D4058B"/>
    <w:rsid w:val="00D406F5"/>
    <w:rsid w:val="00D40771"/>
    <w:rsid w:val="00D40784"/>
    <w:rsid w:val="00D4092E"/>
    <w:rsid w:val="00D40B7B"/>
    <w:rsid w:val="00D40BBB"/>
    <w:rsid w:val="00D40C83"/>
    <w:rsid w:val="00D40CD8"/>
    <w:rsid w:val="00D40D02"/>
    <w:rsid w:val="00D40D3F"/>
    <w:rsid w:val="00D40DDA"/>
    <w:rsid w:val="00D40DE9"/>
    <w:rsid w:val="00D40F09"/>
    <w:rsid w:val="00D41090"/>
    <w:rsid w:val="00D41099"/>
    <w:rsid w:val="00D410AD"/>
    <w:rsid w:val="00D4120B"/>
    <w:rsid w:val="00D41288"/>
    <w:rsid w:val="00D412CD"/>
    <w:rsid w:val="00D412EB"/>
    <w:rsid w:val="00D41313"/>
    <w:rsid w:val="00D41416"/>
    <w:rsid w:val="00D41614"/>
    <w:rsid w:val="00D4163C"/>
    <w:rsid w:val="00D41668"/>
    <w:rsid w:val="00D416D8"/>
    <w:rsid w:val="00D417B5"/>
    <w:rsid w:val="00D417F9"/>
    <w:rsid w:val="00D4191A"/>
    <w:rsid w:val="00D419F6"/>
    <w:rsid w:val="00D41A73"/>
    <w:rsid w:val="00D41BE8"/>
    <w:rsid w:val="00D41D34"/>
    <w:rsid w:val="00D41DAF"/>
    <w:rsid w:val="00D41DEF"/>
    <w:rsid w:val="00D41ED8"/>
    <w:rsid w:val="00D41FB3"/>
    <w:rsid w:val="00D42034"/>
    <w:rsid w:val="00D42073"/>
    <w:rsid w:val="00D420B9"/>
    <w:rsid w:val="00D42110"/>
    <w:rsid w:val="00D421C7"/>
    <w:rsid w:val="00D42329"/>
    <w:rsid w:val="00D4232A"/>
    <w:rsid w:val="00D42722"/>
    <w:rsid w:val="00D42864"/>
    <w:rsid w:val="00D42998"/>
    <w:rsid w:val="00D42AEA"/>
    <w:rsid w:val="00D42B00"/>
    <w:rsid w:val="00D42B3F"/>
    <w:rsid w:val="00D42B73"/>
    <w:rsid w:val="00D42B8B"/>
    <w:rsid w:val="00D42BBD"/>
    <w:rsid w:val="00D42C09"/>
    <w:rsid w:val="00D42C6F"/>
    <w:rsid w:val="00D42C7B"/>
    <w:rsid w:val="00D42D41"/>
    <w:rsid w:val="00D42DE7"/>
    <w:rsid w:val="00D42FEA"/>
    <w:rsid w:val="00D43062"/>
    <w:rsid w:val="00D43143"/>
    <w:rsid w:val="00D431A2"/>
    <w:rsid w:val="00D43436"/>
    <w:rsid w:val="00D434D1"/>
    <w:rsid w:val="00D43529"/>
    <w:rsid w:val="00D4360B"/>
    <w:rsid w:val="00D43828"/>
    <w:rsid w:val="00D43855"/>
    <w:rsid w:val="00D438FE"/>
    <w:rsid w:val="00D43B80"/>
    <w:rsid w:val="00D43B8A"/>
    <w:rsid w:val="00D43C5E"/>
    <w:rsid w:val="00D43C7D"/>
    <w:rsid w:val="00D43D0D"/>
    <w:rsid w:val="00D43D14"/>
    <w:rsid w:val="00D43E57"/>
    <w:rsid w:val="00D43EB8"/>
    <w:rsid w:val="00D43EE7"/>
    <w:rsid w:val="00D44161"/>
    <w:rsid w:val="00D441DE"/>
    <w:rsid w:val="00D44252"/>
    <w:rsid w:val="00D442A7"/>
    <w:rsid w:val="00D442D3"/>
    <w:rsid w:val="00D44416"/>
    <w:rsid w:val="00D44748"/>
    <w:rsid w:val="00D4479A"/>
    <w:rsid w:val="00D4485A"/>
    <w:rsid w:val="00D448DD"/>
    <w:rsid w:val="00D449D1"/>
    <w:rsid w:val="00D449E8"/>
    <w:rsid w:val="00D44A8B"/>
    <w:rsid w:val="00D44AFE"/>
    <w:rsid w:val="00D44B3C"/>
    <w:rsid w:val="00D44CA0"/>
    <w:rsid w:val="00D44CB3"/>
    <w:rsid w:val="00D44D33"/>
    <w:rsid w:val="00D44D9E"/>
    <w:rsid w:val="00D44EC3"/>
    <w:rsid w:val="00D44F05"/>
    <w:rsid w:val="00D44F15"/>
    <w:rsid w:val="00D44F28"/>
    <w:rsid w:val="00D44F2D"/>
    <w:rsid w:val="00D44F46"/>
    <w:rsid w:val="00D44F82"/>
    <w:rsid w:val="00D44FAF"/>
    <w:rsid w:val="00D44FB0"/>
    <w:rsid w:val="00D44FE7"/>
    <w:rsid w:val="00D45123"/>
    <w:rsid w:val="00D45128"/>
    <w:rsid w:val="00D451D9"/>
    <w:rsid w:val="00D451F4"/>
    <w:rsid w:val="00D45227"/>
    <w:rsid w:val="00D45231"/>
    <w:rsid w:val="00D45334"/>
    <w:rsid w:val="00D45340"/>
    <w:rsid w:val="00D45384"/>
    <w:rsid w:val="00D453F9"/>
    <w:rsid w:val="00D454F6"/>
    <w:rsid w:val="00D45620"/>
    <w:rsid w:val="00D45635"/>
    <w:rsid w:val="00D45770"/>
    <w:rsid w:val="00D45875"/>
    <w:rsid w:val="00D4591F"/>
    <w:rsid w:val="00D45984"/>
    <w:rsid w:val="00D45B03"/>
    <w:rsid w:val="00D45CC7"/>
    <w:rsid w:val="00D45D0A"/>
    <w:rsid w:val="00D45D49"/>
    <w:rsid w:val="00D45DCC"/>
    <w:rsid w:val="00D45DF2"/>
    <w:rsid w:val="00D45FE7"/>
    <w:rsid w:val="00D46032"/>
    <w:rsid w:val="00D46172"/>
    <w:rsid w:val="00D46177"/>
    <w:rsid w:val="00D461D1"/>
    <w:rsid w:val="00D461E7"/>
    <w:rsid w:val="00D462A9"/>
    <w:rsid w:val="00D46338"/>
    <w:rsid w:val="00D463A5"/>
    <w:rsid w:val="00D46489"/>
    <w:rsid w:val="00D46516"/>
    <w:rsid w:val="00D46543"/>
    <w:rsid w:val="00D465DA"/>
    <w:rsid w:val="00D465F0"/>
    <w:rsid w:val="00D4676C"/>
    <w:rsid w:val="00D46837"/>
    <w:rsid w:val="00D468A0"/>
    <w:rsid w:val="00D46937"/>
    <w:rsid w:val="00D469DA"/>
    <w:rsid w:val="00D46A6E"/>
    <w:rsid w:val="00D46BA3"/>
    <w:rsid w:val="00D46BE5"/>
    <w:rsid w:val="00D46C5B"/>
    <w:rsid w:val="00D46D8F"/>
    <w:rsid w:val="00D46EBE"/>
    <w:rsid w:val="00D46F2C"/>
    <w:rsid w:val="00D46FFE"/>
    <w:rsid w:val="00D47002"/>
    <w:rsid w:val="00D47061"/>
    <w:rsid w:val="00D470E9"/>
    <w:rsid w:val="00D47405"/>
    <w:rsid w:val="00D4741B"/>
    <w:rsid w:val="00D47442"/>
    <w:rsid w:val="00D47460"/>
    <w:rsid w:val="00D475DD"/>
    <w:rsid w:val="00D47643"/>
    <w:rsid w:val="00D47682"/>
    <w:rsid w:val="00D476B8"/>
    <w:rsid w:val="00D477BD"/>
    <w:rsid w:val="00D4786C"/>
    <w:rsid w:val="00D4794F"/>
    <w:rsid w:val="00D47989"/>
    <w:rsid w:val="00D47A8E"/>
    <w:rsid w:val="00D47AAF"/>
    <w:rsid w:val="00D47BB5"/>
    <w:rsid w:val="00D47C27"/>
    <w:rsid w:val="00D47C61"/>
    <w:rsid w:val="00D47C87"/>
    <w:rsid w:val="00D47CB9"/>
    <w:rsid w:val="00D47DEF"/>
    <w:rsid w:val="00D47E37"/>
    <w:rsid w:val="00D50184"/>
    <w:rsid w:val="00D501F0"/>
    <w:rsid w:val="00D50410"/>
    <w:rsid w:val="00D5042D"/>
    <w:rsid w:val="00D50486"/>
    <w:rsid w:val="00D504E3"/>
    <w:rsid w:val="00D5055E"/>
    <w:rsid w:val="00D50640"/>
    <w:rsid w:val="00D506FC"/>
    <w:rsid w:val="00D50874"/>
    <w:rsid w:val="00D5087E"/>
    <w:rsid w:val="00D508DC"/>
    <w:rsid w:val="00D50953"/>
    <w:rsid w:val="00D509F0"/>
    <w:rsid w:val="00D50A7A"/>
    <w:rsid w:val="00D50ACF"/>
    <w:rsid w:val="00D50B2D"/>
    <w:rsid w:val="00D50C49"/>
    <w:rsid w:val="00D50DAE"/>
    <w:rsid w:val="00D50E32"/>
    <w:rsid w:val="00D50E8C"/>
    <w:rsid w:val="00D50EB7"/>
    <w:rsid w:val="00D50FF0"/>
    <w:rsid w:val="00D51015"/>
    <w:rsid w:val="00D51347"/>
    <w:rsid w:val="00D5137B"/>
    <w:rsid w:val="00D51471"/>
    <w:rsid w:val="00D51557"/>
    <w:rsid w:val="00D51652"/>
    <w:rsid w:val="00D5178A"/>
    <w:rsid w:val="00D5194F"/>
    <w:rsid w:val="00D51B3E"/>
    <w:rsid w:val="00D51B4C"/>
    <w:rsid w:val="00D51C0A"/>
    <w:rsid w:val="00D51D01"/>
    <w:rsid w:val="00D51D04"/>
    <w:rsid w:val="00D51D99"/>
    <w:rsid w:val="00D51F14"/>
    <w:rsid w:val="00D52093"/>
    <w:rsid w:val="00D52114"/>
    <w:rsid w:val="00D52122"/>
    <w:rsid w:val="00D52242"/>
    <w:rsid w:val="00D522F4"/>
    <w:rsid w:val="00D5233D"/>
    <w:rsid w:val="00D523B7"/>
    <w:rsid w:val="00D523F4"/>
    <w:rsid w:val="00D524B3"/>
    <w:rsid w:val="00D526FA"/>
    <w:rsid w:val="00D52718"/>
    <w:rsid w:val="00D52883"/>
    <w:rsid w:val="00D52AA2"/>
    <w:rsid w:val="00D52B30"/>
    <w:rsid w:val="00D52B96"/>
    <w:rsid w:val="00D52BFA"/>
    <w:rsid w:val="00D52C36"/>
    <w:rsid w:val="00D52D56"/>
    <w:rsid w:val="00D52D79"/>
    <w:rsid w:val="00D52EAA"/>
    <w:rsid w:val="00D52FA4"/>
    <w:rsid w:val="00D5303D"/>
    <w:rsid w:val="00D53052"/>
    <w:rsid w:val="00D531EF"/>
    <w:rsid w:val="00D533BA"/>
    <w:rsid w:val="00D53418"/>
    <w:rsid w:val="00D53561"/>
    <w:rsid w:val="00D53571"/>
    <w:rsid w:val="00D53788"/>
    <w:rsid w:val="00D537DA"/>
    <w:rsid w:val="00D53A1A"/>
    <w:rsid w:val="00D53B8C"/>
    <w:rsid w:val="00D53BBC"/>
    <w:rsid w:val="00D53CF9"/>
    <w:rsid w:val="00D53D5F"/>
    <w:rsid w:val="00D53DD5"/>
    <w:rsid w:val="00D53DE3"/>
    <w:rsid w:val="00D53FF0"/>
    <w:rsid w:val="00D54013"/>
    <w:rsid w:val="00D542F4"/>
    <w:rsid w:val="00D5437B"/>
    <w:rsid w:val="00D543C4"/>
    <w:rsid w:val="00D543EB"/>
    <w:rsid w:val="00D545A2"/>
    <w:rsid w:val="00D54644"/>
    <w:rsid w:val="00D546B2"/>
    <w:rsid w:val="00D54747"/>
    <w:rsid w:val="00D548BB"/>
    <w:rsid w:val="00D548E6"/>
    <w:rsid w:val="00D54C0C"/>
    <w:rsid w:val="00D54C69"/>
    <w:rsid w:val="00D54C73"/>
    <w:rsid w:val="00D54CC3"/>
    <w:rsid w:val="00D54CD5"/>
    <w:rsid w:val="00D54CFE"/>
    <w:rsid w:val="00D54D39"/>
    <w:rsid w:val="00D54D62"/>
    <w:rsid w:val="00D54F60"/>
    <w:rsid w:val="00D54FA7"/>
    <w:rsid w:val="00D54FAA"/>
    <w:rsid w:val="00D5514D"/>
    <w:rsid w:val="00D5518A"/>
    <w:rsid w:val="00D551AF"/>
    <w:rsid w:val="00D551B5"/>
    <w:rsid w:val="00D551C8"/>
    <w:rsid w:val="00D5524A"/>
    <w:rsid w:val="00D5526A"/>
    <w:rsid w:val="00D552B5"/>
    <w:rsid w:val="00D552E8"/>
    <w:rsid w:val="00D5546D"/>
    <w:rsid w:val="00D55577"/>
    <w:rsid w:val="00D555AD"/>
    <w:rsid w:val="00D5563C"/>
    <w:rsid w:val="00D557A7"/>
    <w:rsid w:val="00D558E7"/>
    <w:rsid w:val="00D5591F"/>
    <w:rsid w:val="00D55A1C"/>
    <w:rsid w:val="00D55B64"/>
    <w:rsid w:val="00D55CEE"/>
    <w:rsid w:val="00D55D52"/>
    <w:rsid w:val="00D55D59"/>
    <w:rsid w:val="00D55D67"/>
    <w:rsid w:val="00D55E57"/>
    <w:rsid w:val="00D55FE0"/>
    <w:rsid w:val="00D5617E"/>
    <w:rsid w:val="00D56202"/>
    <w:rsid w:val="00D56516"/>
    <w:rsid w:val="00D56588"/>
    <w:rsid w:val="00D56602"/>
    <w:rsid w:val="00D5670C"/>
    <w:rsid w:val="00D56773"/>
    <w:rsid w:val="00D56814"/>
    <w:rsid w:val="00D56892"/>
    <w:rsid w:val="00D568BE"/>
    <w:rsid w:val="00D569B1"/>
    <w:rsid w:val="00D56AF7"/>
    <w:rsid w:val="00D56AFB"/>
    <w:rsid w:val="00D56B5F"/>
    <w:rsid w:val="00D56BAD"/>
    <w:rsid w:val="00D56BFD"/>
    <w:rsid w:val="00D56C11"/>
    <w:rsid w:val="00D56D10"/>
    <w:rsid w:val="00D56E7A"/>
    <w:rsid w:val="00D56EB7"/>
    <w:rsid w:val="00D56F5D"/>
    <w:rsid w:val="00D56F61"/>
    <w:rsid w:val="00D56F6D"/>
    <w:rsid w:val="00D56FCB"/>
    <w:rsid w:val="00D57103"/>
    <w:rsid w:val="00D573DE"/>
    <w:rsid w:val="00D57569"/>
    <w:rsid w:val="00D575C5"/>
    <w:rsid w:val="00D57735"/>
    <w:rsid w:val="00D57769"/>
    <w:rsid w:val="00D57776"/>
    <w:rsid w:val="00D5779B"/>
    <w:rsid w:val="00D57A33"/>
    <w:rsid w:val="00D57C5F"/>
    <w:rsid w:val="00D57FA0"/>
    <w:rsid w:val="00D6002F"/>
    <w:rsid w:val="00D6022F"/>
    <w:rsid w:val="00D602FE"/>
    <w:rsid w:val="00D6030E"/>
    <w:rsid w:val="00D603A0"/>
    <w:rsid w:val="00D603D0"/>
    <w:rsid w:val="00D60451"/>
    <w:rsid w:val="00D604A2"/>
    <w:rsid w:val="00D604D7"/>
    <w:rsid w:val="00D60665"/>
    <w:rsid w:val="00D60696"/>
    <w:rsid w:val="00D606C6"/>
    <w:rsid w:val="00D60764"/>
    <w:rsid w:val="00D6088D"/>
    <w:rsid w:val="00D608D5"/>
    <w:rsid w:val="00D608ED"/>
    <w:rsid w:val="00D60906"/>
    <w:rsid w:val="00D60A09"/>
    <w:rsid w:val="00D60A3E"/>
    <w:rsid w:val="00D60B1C"/>
    <w:rsid w:val="00D60B31"/>
    <w:rsid w:val="00D60B39"/>
    <w:rsid w:val="00D60B72"/>
    <w:rsid w:val="00D60C15"/>
    <w:rsid w:val="00D60C2C"/>
    <w:rsid w:val="00D60C3B"/>
    <w:rsid w:val="00D60C6D"/>
    <w:rsid w:val="00D60C91"/>
    <w:rsid w:val="00D60CA7"/>
    <w:rsid w:val="00D60D61"/>
    <w:rsid w:val="00D60D68"/>
    <w:rsid w:val="00D60E21"/>
    <w:rsid w:val="00D60EB6"/>
    <w:rsid w:val="00D61166"/>
    <w:rsid w:val="00D611DB"/>
    <w:rsid w:val="00D6126E"/>
    <w:rsid w:val="00D6127B"/>
    <w:rsid w:val="00D61283"/>
    <w:rsid w:val="00D61347"/>
    <w:rsid w:val="00D61351"/>
    <w:rsid w:val="00D613FE"/>
    <w:rsid w:val="00D6140E"/>
    <w:rsid w:val="00D61428"/>
    <w:rsid w:val="00D6142B"/>
    <w:rsid w:val="00D61437"/>
    <w:rsid w:val="00D614DD"/>
    <w:rsid w:val="00D615B2"/>
    <w:rsid w:val="00D615F8"/>
    <w:rsid w:val="00D61619"/>
    <w:rsid w:val="00D61634"/>
    <w:rsid w:val="00D616F9"/>
    <w:rsid w:val="00D61702"/>
    <w:rsid w:val="00D6172C"/>
    <w:rsid w:val="00D61811"/>
    <w:rsid w:val="00D6186B"/>
    <w:rsid w:val="00D61886"/>
    <w:rsid w:val="00D6188F"/>
    <w:rsid w:val="00D618EF"/>
    <w:rsid w:val="00D6190D"/>
    <w:rsid w:val="00D61994"/>
    <w:rsid w:val="00D619F9"/>
    <w:rsid w:val="00D61A58"/>
    <w:rsid w:val="00D61A73"/>
    <w:rsid w:val="00D61AB1"/>
    <w:rsid w:val="00D61AF9"/>
    <w:rsid w:val="00D61B14"/>
    <w:rsid w:val="00D61BB7"/>
    <w:rsid w:val="00D61BDE"/>
    <w:rsid w:val="00D61BE1"/>
    <w:rsid w:val="00D61CA4"/>
    <w:rsid w:val="00D61E46"/>
    <w:rsid w:val="00D61E93"/>
    <w:rsid w:val="00D61F63"/>
    <w:rsid w:val="00D61F82"/>
    <w:rsid w:val="00D620A1"/>
    <w:rsid w:val="00D621CA"/>
    <w:rsid w:val="00D62362"/>
    <w:rsid w:val="00D6242B"/>
    <w:rsid w:val="00D6252A"/>
    <w:rsid w:val="00D625D7"/>
    <w:rsid w:val="00D6264F"/>
    <w:rsid w:val="00D6265A"/>
    <w:rsid w:val="00D627F0"/>
    <w:rsid w:val="00D6283D"/>
    <w:rsid w:val="00D628C4"/>
    <w:rsid w:val="00D629FD"/>
    <w:rsid w:val="00D62A73"/>
    <w:rsid w:val="00D62A7A"/>
    <w:rsid w:val="00D62BB8"/>
    <w:rsid w:val="00D62D03"/>
    <w:rsid w:val="00D62D80"/>
    <w:rsid w:val="00D62E35"/>
    <w:rsid w:val="00D62FBE"/>
    <w:rsid w:val="00D631A7"/>
    <w:rsid w:val="00D633AB"/>
    <w:rsid w:val="00D6341D"/>
    <w:rsid w:val="00D63517"/>
    <w:rsid w:val="00D636AB"/>
    <w:rsid w:val="00D638DE"/>
    <w:rsid w:val="00D63938"/>
    <w:rsid w:val="00D63AB0"/>
    <w:rsid w:val="00D63AEE"/>
    <w:rsid w:val="00D63CB2"/>
    <w:rsid w:val="00D63CB8"/>
    <w:rsid w:val="00D63D18"/>
    <w:rsid w:val="00D63D2E"/>
    <w:rsid w:val="00D63EF1"/>
    <w:rsid w:val="00D63F7E"/>
    <w:rsid w:val="00D63FB2"/>
    <w:rsid w:val="00D64034"/>
    <w:rsid w:val="00D64076"/>
    <w:rsid w:val="00D6407C"/>
    <w:rsid w:val="00D64108"/>
    <w:rsid w:val="00D641BD"/>
    <w:rsid w:val="00D641EE"/>
    <w:rsid w:val="00D64202"/>
    <w:rsid w:val="00D64221"/>
    <w:rsid w:val="00D6431E"/>
    <w:rsid w:val="00D643A2"/>
    <w:rsid w:val="00D643EE"/>
    <w:rsid w:val="00D644A6"/>
    <w:rsid w:val="00D6457C"/>
    <w:rsid w:val="00D645A2"/>
    <w:rsid w:val="00D645C3"/>
    <w:rsid w:val="00D64778"/>
    <w:rsid w:val="00D64801"/>
    <w:rsid w:val="00D649CC"/>
    <w:rsid w:val="00D64A8D"/>
    <w:rsid w:val="00D64D70"/>
    <w:rsid w:val="00D64D97"/>
    <w:rsid w:val="00D64E15"/>
    <w:rsid w:val="00D64E1B"/>
    <w:rsid w:val="00D64EFC"/>
    <w:rsid w:val="00D64F04"/>
    <w:rsid w:val="00D65073"/>
    <w:rsid w:val="00D65075"/>
    <w:rsid w:val="00D65085"/>
    <w:rsid w:val="00D6509F"/>
    <w:rsid w:val="00D650F4"/>
    <w:rsid w:val="00D65108"/>
    <w:rsid w:val="00D65198"/>
    <w:rsid w:val="00D65375"/>
    <w:rsid w:val="00D6542C"/>
    <w:rsid w:val="00D654AF"/>
    <w:rsid w:val="00D65529"/>
    <w:rsid w:val="00D655F4"/>
    <w:rsid w:val="00D655FF"/>
    <w:rsid w:val="00D65691"/>
    <w:rsid w:val="00D65723"/>
    <w:rsid w:val="00D65782"/>
    <w:rsid w:val="00D659E5"/>
    <w:rsid w:val="00D65C21"/>
    <w:rsid w:val="00D65C32"/>
    <w:rsid w:val="00D65D2B"/>
    <w:rsid w:val="00D65E61"/>
    <w:rsid w:val="00D66194"/>
    <w:rsid w:val="00D661E2"/>
    <w:rsid w:val="00D661E4"/>
    <w:rsid w:val="00D662E4"/>
    <w:rsid w:val="00D663F9"/>
    <w:rsid w:val="00D664AD"/>
    <w:rsid w:val="00D664D7"/>
    <w:rsid w:val="00D664DF"/>
    <w:rsid w:val="00D66577"/>
    <w:rsid w:val="00D66609"/>
    <w:rsid w:val="00D6672B"/>
    <w:rsid w:val="00D66824"/>
    <w:rsid w:val="00D6684D"/>
    <w:rsid w:val="00D66884"/>
    <w:rsid w:val="00D66A87"/>
    <w:rsid w:val="00D66BAB"/>
    <w:rsid w:val="00D66C21"/>
    <w:rsid w:val="00D66C27"/>
    <w:rsid w:val="00D66D75"/>
    <w:rsid w:val="00D66E99"/>
    <w:rsid w:val="00D66EB6"/>
    <w:rsid w:val="00D66ED4"/>
    <w:rsid w:val="00D66F49"/>
    <w:rsid w:val="00D6701B"/>
    <w:rsid w:val="00D67099"/>
    <w:rsid w:val="00D670DB"/>
    <w:rsid w:val="00D6741C"/>
    <w:rsid w:val="00D6744F"/>
    <w:rsid w:val="00D6748D"/>
    <w:rsid w:val="00D674B9"/>
    <w:rsid w:val="00D6755B"/>
    <w:rsid w:val="00D67564"/>
    <w:rsid w:val="00D6759F"/>
    <w:rsid w:val="00D675A3"/>
    <w:rsid w:val="00D675F1"/>
    <w:rsid w:val="00D6760A"/>
    <w:rsid w:val="00D67644"/>
    <w:rsid w:val="00D676B9"/>
    <w:rsid w:val="00D67748"/>
    <w:rsid w:val="00D67756"/>
    <w:rsid w:val="00D67807"/>
    <w:rsid w:val="00D67869"/>
    <w:rsid w:val="00D678B4"/>
    <w:rsid w:val="00D67921"/>
    <w:rsid w:val="00D67A07"/>
    <w:rsid w:val="00D67A50"/>
    <w:rsid w:val="00D67B11"/>
    <w:rsid w:val="00D67B4D"/>
    <w:rsid w:val="00D67B87"/>
    <w:rsid w:val="00D67B9D"/>
    <w:rsid w:val="00D67D1F"/>
    <w:rsid w:val="00D67D2C"/>
    <w:rsid w:val="00D67F44"/>
    <w:rsid w:val="00D67FFB"/>
    <w:rsid w:val="00D701D5"/>
    <w:rsid w:val="00D701DF"/>
    <w:rsid w:val="00D701E4"/>
    <w:rsid w:val="00D702FF"/>
    <w:rsid w:val="00D70376"/>
    <w:rsid w:val="00D703C4"/>
    <w:rsid w:val="00D70407"/>
    <w:rsid w:val="00D705EE"/>
    <w:rsid w:val="00D706C0"/>
    <w:rsid w:val="00D70706"/>
    <w:rsid w:val="00D7072E"/>
    <w:rsid w:val="00D70867"/>
    <w:rsid w:val="00D70876"/>
    <w:rsid w:val="00D7089A"/>
    <w:rsid w:val="00D70922"/>
    <w:rsid w:val="00D70980"/>
    <w:rsid w:val="00D709B8"/>
    <w:rsid w:val="00D70A79"/>
    <w:rsid w:val="00D70AB4"/>
    <w:rsid w:val="00D70BF4"/>
    <w:rsid w:val="00D70C12"/>
    <w:rsid w:val="00D70C1A"/>
    <w:rsid w:val="00D70D46"/>
    <w:rsid w:val="00D70D6F"/>
    <w:rsid w:val="00D70E96"/>
    <w:rsid w:val="00D70F15"/>
    <w:rsid w:val="00D70F1E"/>
    <w:rsid w:val="00D70FE0"/>
    <w:rsid w:val="00D71054"/>
    <w:rsid w:val="00D711E3"/>
    <w:rsid w:val="00D7126A"/>
    <w:rsid w:val="00D713A4"/>
    <w:rsid w:val="00D713A5"/>
    <w:rsid w:val="00D713F4"/>
    <w:rsid w:val="00D7145A"/>
    <w:rsid w:val="00D71478"/>
    <w:rsid w:val="00D714AB"/>
    <w:rsid w:val="00D71510"/>
    <w:rsid w:val="00D71591"/>
    <w:rsid w:val="00D7159D"/>
    <w:rsid w:val="00D715BB"/>
    <w:rsid w:val="00D715D0"/>
    <w:rsid w:val="00D715DB"/>
    <w:rsid w:val="00D71610"/>
    <w:rsid w:val="00D71682"/>
    <w:rsid w:val="00D71690"/>
    <w:rsid w:val="00D7172E"/>
    <w:rsid w:val="00D71740"/>
    <w:rsid w:val="00D71745"/>
    <w:rsid w:val="00D71784"/>
    <w:rsid w:val="00D717C4"/>
    <w:rsid w:val="00D717F5"/>
    <w:rsid w:val="00D719C6"/>
    <w:rsid w:val="00D71A0C"/>
    <w:rsid w:val="00D71B07"/>
    <w:rsid w:val="00D71B82"/>
    <w:rsid w:val="00D71BE2"/>
    <w:rsid w:val="00D71C0E"/>
    <w:rsid w:val="00D71C71"/>
    <w:rsid w:val="00D71D16"/>
    <w:rsid w:val="00D71D83"/>
    <w:rsid w:val="00D71ECD"/>
    <w:rsid w:val="00D71F81"/>
    <w:rsid w:val="00D72020"/>
    <w:rsid w:val="00D724CF"/>
    <w:rsid w:val="00D7253F"/>
    <w:rsid w:val="00D7254A"/>
    <w:rsid w:val="00D725E2"/>
    <w:rsid w:val="00D72634"/>
    <w:rsid w:val="00D72642"/>
    <w:rsid w:val="00D72665"/>
    <w:rsid w:val="00D727CB"/>
    <w:rsid w:val="00D72859"/>
    <w:rsid w:val="00D72A45"/>
    <w:rsid w:val="00D72ADC"/>
    <w:rsid w:val="00D72B20"/>
    <w:rsid w:val="00D72BC7"/>
    <w:rsid w:val="00D72D41"/>
    <w:rsid w:val="00D72DBF"/>
    <w:rsid w:val="00D72E8F"/>
    <w:rsid w:val="00D72EB4"/>
    <w:rsid w:val="00D72F23"/>
    <w:rsid w:val="00D72F80"/>
    <w:rsid w:val="00D72FD7"/>
    <w:rsid w:val="00D72FFA"/>
    <w:rsid w:val="00D730A9"/>
    <w:rsid w:val="00D73129"/>
    <w:rsid w:val="00D73241"/>
    <w:rsid w:val="00D732B4"/>
    <w:rsid w:val="00D7343E"/>
    <w:rsid w:val="00D734AC"/>
    <w:rsid w:val="00D734CA"/>
    <w:rsid w:val="00D734E1"/>
    <w:rsid w:val="00D73587"/>
    <w:rsid w:val="00D735C8"/>
    <w:rsid w:val="00D735CB"/>
    <w:rsid w:val="00D73632"/>
    <w:rsid w:val="00D736BA"/>
    <w:rsid w:val="00D7387C"/>
    <w:rsid w:val="00D738A2"/>
    <w:rsid w:val="00D7390F"/>
    <w:rsid w:val="00D73919"/>
    <w:rsid w:val="00D739C3"/>
    <w:rsid w:val="00D73AE7"/>
    <w:rsid w:val="00D73B6C"/>
    <w:rsid w:val="00D73B83"/>
    <w:rsid w:val="00D73CC9"/>
    <w:rsid w:val="00D73E95"/>
    <w:rsid w:val="00D73F0A"/>
    <w:rsid w:val="00D74006"/>
    <w:rsid w:val="00D741EA"/>
    <w:rsid w:val="00D74272"/>
    <w:rsid w:val="00D743E7"/>
    <w:rsid w:val="00D7445D"/>
    <w:rsid w:val="00D74539"/>
    <w:rsid w:val="00D7455D"/>
    <w:rsid w:val="00D7456C"/>
    <w:rsid w:val="00D745CA"/>
    <w:rsid w:val="00D745EB"/>
    <w:rsid w:val="00D7478C"/>
    <w:rsid w:val="00D74796"/>
    <w:rsid w:val="00D747BC"/>
    <w:rsid w:val="00D748B4"/>
    <w:rsid w:val="00D74B58"/>
    <w:rsid w:val="00D74BA3"/>
    <w:rsid w:val="00D74BCE"/>
    <w:rsid w:val="00D74BDF"/>
    <w:rsid w:val="00D74C11"/>
    <w:rsid w:val="00D74C8A"/>
    <w:rsid w:val="00D74D02"/>
    <w:rsid w:val="00D74D98"/>
    <w:rsid w:val="00D74E10"/>
    <w:rsid w:val="00D74F36"/>
    <w:rsid w:val="00D75239"/>
    <w:rsid w:val="00D75290"/>
    <w:rsid w:val="00D752E7"/>
    <w:rsid w:val="00D75350"/>
    <w:rsid w:val="00D7537F"/>
    <w:rsid w:val="00D75559"/>
    <w:rsid w:val="00D757F4"/>
    <w:rsid w:val="00D75996"/>
    <w:rsid w:val="00D75AEC"/>
    <w:rsid w:val="00D75B6A"/>
    <w:rsid w:val="00D75C9D"/>
    <w:rsid w:val="00D75E01"/>
    <w:rsid w:val="00D75E24"/>
    <w:rsid w:val="00D75F79"/>
    <w:rsid w:val="00D7609F"/>
    <w:rsid w:val="00D761B5"/>
    <w:rsid w:val="00D76435"/>
    <w:rsid w:val="00D76516"/>
    <w:rsid w:val="00D76562"/>
    <w:rsid w:val="00D765A6"/>
    <w:rsid w:val="00D76626"/>
    <w:rsid w:val="00D7664B"/>
    <w:rsid w:val="00D76660"/>
    <w:rsid w:val="00D767CA"/>
    <w:rsid w:val="00D767E4"/>
    <w:rsid w:val="00D7692E"/>
    <w:rsid w:val="00D769E1"/>
    <w:rsid w:val="00D76AFF"/>
    <w:rsid w:val="00D76B56"/>
    <w:rsid w:val="00D76C27"/>
    <w:rsid w:val="00D76E4A"/>
    <w:rsid w:val="00D76E58"/>
    <w:rsid w:val="00D76F5D"/>
    <w:rsid w:val="00D76F7A"/>
    <w:rsid w:val="00D77334"/>
    <w:rsid w:val="00D77448"/>
    <w:rsid w:val="00D7764F"/>
    <w:rsid w:val="00D77879"/>
    <w:rsid w:val="00D77913"/>
    <w:rsid w:val="00D779A8"/>
    <w:rsid w:val="00D779B4"/>
    <w:rsid w:val="00D77A5E"/>
    <w:rsid w:val="00D77AD2"/>
    <w:rsid w:val="00D77BCB"/>
    <w:rsid w:val="00D77C35"/>
    <w:rsid w:val="00D77CB3"/>
    <w:rsid w:val="00D77DA5"/>
    <w:rsid w:val="00D77E1E"/>
    <w:rsid w:val="00D77E93"/>
    <w:rsid w:val="00D77ED1"/>
    <w:rsid w:val="00D77FAF"/>
    <w:rsid w:val="00D77FBD"/>
    <w:rsid w:val="00D80021"/>
    <w:rsid w:val="00D801A7"/>
    <w:rsid w:val="00D80240"/>
    <w:rsid w:val="00D80257"/>
    <w:rsid w:val="00D802A6"/>
    <w:rsid w:val="00D802F1"/>
    <w:rsid w:val="00D80661"/>
    <w:rsid w:val="00D806AB"/>
    <w:rsid w:val="00D808C2"/>
    <w:rsid w:val="00D809FB"/>
    <w:rsid w:val="00D80B2B"/>
    <w:rsid w:val="00D80CD3"/>
    <w:rsid w:val="00D80D02"/>
    <w:rsid w:val="00D80D0E"/>
    <w:rsid w:val="00D80D9A"/>
    <w:rsid w:val="00D80DF7"/>
    <w:rsid w:val="00D80F0C"/>
    <w:rsid w:val="00D80F5F"/>
    <w:rsid w:val="00D80F87"/>
    <w:rsid w:val="00D80F89"/>
    <w:rsid w:val="00D810D0"/>
    <w:rsid w:val="00D81149"/>
    <w:rsid w:val="00D81436"/>
    <w:rsid w:val="00D8153C"/>
    <w:rsid w:val="00D81866"/>
    <w:rsid w:val="00D818BA"/>
    <w:rsid w:val="00D818BB"/>
    <w:rsid w:val="00D81B27"/>
    <w:rsid w:val="00D81E99"/>
    <w:rsid w:val="00D81EE3"/>
    <w:rsid w:val="00D81F4C"/>
    <w:rsid w:val="00D81FDA"/>
    <w:rsid w:val="00D8202D"/>
    <w:rsid w:val="00D8203E"/>
    <w:rsid w:val="00D82214"/>
    <w:rsid w:val="00D82281"/>
    <w:rsid w:val="00D822A7"/>
    <w:rsid w:val="00D8237D"/>
    <w:rsid w:val="00D824D4"/>
    <w:rsid w:val="00D825D5"/>
    <w:rsid w:val="00D826B0"/>
    <w:rsid w:val="00D826C6"/>
    <w:rsid w:val="00D828CA"/>
    <w:rsid w:val="00D82903"/>
    <w:rsid w:val="00D829CA"/>
    <w:rsid w:val="00D829E4"/>
    <w:rsid w:val="00D82AFD"/>
    <w:rsid w:val="00D82B5A"/>
    <w:rsid w:val="00D82B76"/>
    <w:rsid w:val="00D82B94"/>
    <w:rsid w:val="00D82C57"/>
    <w:rsid w:val="00D82CBA"/>
    <w:rsid w:val="00D82DF3"/>
    <w:rsid w:val="00D82E11"/>
    <w:rsid w:val="00D82FAE"/>
    <w:rsid w:val="00D832A7"/>
    <w:rsid w:val="00D83499"/>
    <w:rsid w:val="00D83517"/>
    <w:rsid w:val="00D835BD"/>
    <w:rsid w:val="00D837E9"/>
    <w:rsid w:val="00D837FA"/>
    <w:rsid w:val="00D8383C"/>
    <w:rsid w:val="00D838DD"/>
    <w:rsid w:val="00D83C08"/>
    <w:rsid w:val="00D83C5D"/>
    <w:rsid w:val="00D83D9E"/>
    <w:rsid w:val="00D83DA8"/>
    <w:rsid w:val="00D8404C"/>
    <w:rsid w:val="00D840B0"/>
    <w:rsid w:val="00D84130"/>
    <w:rsid w:val="00D841F2"/>
    <w:rsid w:val="00D842BC"/>
    <w:rsid w:val="00D842F3"/>
    <w:rsid w:val="00D84388"/>
    <w:rsid w:val="00D8455B"/>
    <w:rsid w:val="00D8468E"/>
    <w:rsid w:val="00D846B6"/>
    <w:rsid w:val="00D847B0"/>
    <w:rsid w:val="00D847EC"/>
    <w:rsid w:val="00D8492E"/>
    <w:rsid w:val="00D8496F"/>
    <w:rsid w:val="00D84975"/>
    <w:rsid w:val="00D8499E"/>
    <w:rsid w:val="00D84A1E"/>
    <w:rsid w:val="00D84A24"/>
    <w:rsid w:val="00D84A37"/>
    <w:rsid w:val="00D84A5D"/>
    <w:rsid w:val="00D84A69"/>
    <w:rsid w:val="00D84A9A"/>
    <w:rsid w:val="00D84ACB"/>
    <w:rsid w:val="00D84B4C"/>
    <w:rsid w:val="00D84B4F"/>
    <w:rsid w:val="00D84BD4"/>
    <w:rsid w:val="00D84CE7"/>
    <w:rsid w:val="00D84D17"/>
    <w:rsid w:val="00D84E6C"/>
    <w:rsid w:val="00D84F41"/>
    <w:rsid w:val="00D85075"/>
    <w:rsid w:val="00D85271"/>
    <w:rsid w:val="00D852E1"/>
    <w:rsid w:val="00D85527"/>
    <w:rsid w:val="00D8554E"/>
    <w:rsid w:val="00D856DD"/>
    <w:rsid w:val="00D85821"/>
    <w:rsid w:val="00D8589F"/>
    <w:rsid w:val="00D85A76"/>
    <w:rsid w:val="00D85CC4"/>
    <w:rsid w:val="00D85CF7"/>
    <w:rsid w:val="00D85E7A"/>
    <w:rsid w:val="00D85EF8"/>
    <w:rsid w:val="00D860D0"/>
    <w:rsid w:val="00D863FE"/>
    <w:rsid w:val="00D864E8"/>
    <w:rsid w:val="00D8652E"/>
    <w:rsid w:val="00D866B3"/>
    <w:rsid w:val="00D86884"/>
    <w:rsid w:val="00D86906"/>
    <w:rsid w:val="00D86988"/>
    <w:rsid w:val="00D869DE"/>
    <w:rsid w:val="00D86A99"/>
    <w:rsid w:val="00D86BD2"/>
    <w:rsid w:val="00D86BE1"/>
    <w:rsid w:val="00D86D3E"/>
    <w:rsid w:val="00D86E78"/>
    <w:rsid w:val="00D86EE0"/>
    <w:rsid w:val="00D86FBE"/>
    <w:rsid w:val="00D8729F"/>
    <w:rsid w:val="00D873A4"/>
    <w:rsid w:val="00D873EE"/>
    <w:rsid w:val="00D874FE"/>
    <w:rsid w:val="00D875F2"/>
    <w:rsid w:val="00D875FE"/>
    <w:rsid w:val="00D876EA"/>
    <w:rsid w:val="00D8776F"/>
    <w:rsid w:val="00D87795"/>
    <w:rsid w:val="00D877BB"/>
    <w:rsid w:val="00D877EE"/>
    <w:rsid w:val="00D87932"/>
    <w:rsid w:val="00D879CA"/>
    <w:rsid w:val="00D87B2F"/>
    <w:rsid w:val="00D87B41"/>
    <w:rsid w:val="00D87BE7"/>
    <w:rsid w:val="00D87CCC"/>
    <w:rsid w:val="00D87D39"/>
    <w:rsid w:val="00D87D8D"/>
    <w:rsid w:val="00D87DA8"/>
    <w:rsid w:val="00D87E3B"/>
    <w:rsid w:val="00D87E62"/>
    <w:rsid w:val="00D87EC9"/>
    <w:rsid w:val="00D87F02"/>
    <w:rsid w:val="00D90060"/>
    <w:rsid w:val="00D9014A"/>
    <w:rsid w:val="00D902A6"/>
    <w:rsid w:val="00D902D9"/>
    <w:rsid w:val="00D90400"/>
    <w:rsid w:val="00D90481"/>
    <w:rsid w:val="00D907E1"/>
    <w:rsid w:val="00D9080A"/>
    <w:rsid w:val="00D90887"/>
    <w:rsid w:val="00D908FF"/>
    <w:rsid w:val="00D909EC"/>
    <w:rsid w:val="00D90C2D"/>
    <w:rsid w:val="00D90CAA"/>
    <w:rsid w:val="00D90D8A"/>
    <w:rsid w:val="00D90F04"/>
    <w:rsid w:val="00D90FEA"/>
    <w:rsid w:val="00D91297"/>
    <w:rsid w:val="00D912BF"/>
    <w:rsid w:val="00D912CE"/>
    <w:rsid w:val="00D912FE"/>
    <w:rsid w:val="00D9131B"/>
    <w:rsid w:val="00D913B1"/>
    <w:rsid w:val="00D913C8"/>
    <w:rsid w:val="00D913C9"/>
    <w:rsid w:val="00D91471"/>
    <w:rsid w:val="00D914A8"/>
    <w:rsid w:val="00D914E2"/>
    <w:rsid w:val="00D915B6"/>
    <w:rsid w:val="00D91605"/>
    <w:rsid w:val="00D9165A"/>
    <w:rsid w:val="00D9167B"/>
    <w:rsid w:val="00D916A4"/>
    <w:rsid w:val="00D9176A"/>
    <w:rsid w:val="00D91785"/>
    <w:rsid w:val="00D919A2"/>
    <w:rsid w:val="00D919A6"/>
    <w:rsid w:val="00D91B2E"/>
    <w:rsid w:val="00D91BB9"/>
    <w:rsid w:val="00D91C8B"/>
    <w:rsid w:val="00D91CFD"/>
    <w:rsid w:val="00D91D58"/>
    <w:rsid w:val="00D91D63"/>
    <w:rsid w:val="00D91D82"/>
    <w:rsid w:val="00D91DDB"/>
    <w:rsid w:val="00D91DEB"/>
    <w:rsid w:val="00D91E91"/>
    <w:rsid w:val="00D91F37"/>
    <w:rsid w:val="00D91F9D"/>
    <w:rsid w:val="00D92005"/>
    <w:rsid w:val="00D920CD"/>
    <w:rsid w:val="00D921E2"/>
    <w:rsid w:val="00D9223B"/>
    <w:rsid w:val="00D92269"/>
    <w:rsid w:val="00D922D6"/>
    <w:rsid w:val="00D92356"/>
    <w:rsid w:val="00D923AA"/>
    <w:rsid w:val="00D92402"/>
    <w:rsid w:val="00D92514"/>
    <w:rsid w:val="00D925D9"/>
    <w:rsid w:val="00D9273B"/>
    <w:rsid w:val="00D927C5"/>
    <w:rsid w:val="00D928B3"/>
    <w:rsid w:val="00D928CB"/>
    <w:rsid w:val="00D92C2E"/>
    <w:rsid w:val="00D92C71"/>
    <w:rsid w:val="00D92CD7"/>
    <w:rsid w:val="00D92D24"/>
    <w:rsid w:val="00D92D48"/>
    <w:rsid w:val="00D92D6E"/>
    <w:rsid w:val="00D92EA9"/>
    <w:rsid w:val="00D92FE5"/>
    <w:rsid w:val="00D93128"/>
    <w:rsid w:val="00D93164"/>
    <w:rsid w:val="00D9343F"/>
    <w:rsid w:val="00D9346A"/>
    <w:rsid w:val="00D934BE"/>
    <w:rsid w:val="00D9353C"/>
    <w:rsid w:val="00D935DE"/>
    <w:rsid w:val="00D936F4"/>
    <w:rsid w:val="00D9382A"/>
    <w:rsid w:val="00D93841"/>
    <w:rsid w:val="00D938ED"/>
    <w:rsid w:val="00D939E8"/>
    <w:rsid w:val="00D939F3"/>
    <w:rsid w:val="00D93A01"/>
    <w:rsid w:val="00D93A50"/>
    <w:rsid w:val="00D93B98"/>
    <w:rsid w:val="00D93BB5"/>
    <w:rsid w:val="00D93D85"/>
    <w:rsid w:val="00D93EFF"/>
    <w:rsid w:val="00D93F0A"/>
    <w:rsid w:val="00D93FD6"/>
    <w:rsid w:val="00D94051"/>
    <w:rsid w:val="00D940AC"/>
    <w:rsid w:val="00D940EE"/>
    <w:rsid w:val="00D9411B"/>
    <w:rsid w:val="00D94269"/>
    <w:rsid w:val="00D94286"/>
    <w:rsid w:val="00D94287"/>
    <w:rsid w:val="00D943A3"/>
    <w:rsid w:val="00D943DB"/>
    <w:rsid w:val="00D94464"/>
    <w:rsid w:val="00D944D9"/>
    <w:rsid w:val="00D946D7"/>
    <w:rsid w:val="00D9478B"/>
    <w:rsid w:val="00D94979"/>
    <w:rsid w:val="00D94AB5"/>
    <w:rsid w:val="00D94C78"/>
    <w:rsid w:val="00D94C81"/>
    <w:rsid w:val="00D94CA5"/>
    <w:rsid w:val="00D94CB6"/>
    <w:rsid w:val="00D94DE3"/>
    <w:rsid w:val="00D94EF9"/>
    <w:rsid w:val="00D94F0B"/>
    <w:rsid w:val="00D94F24"/>
    <w:rsid w:val="00D94F59"/>
    <w:rsid w:val="00D94FCC"/>
    <w:rsid w:val="00D951DF"/>
    <w:rsid w:val="00D952B8"/>
    <w:rsid w:val="00D95320"/>
    <w:rsid w:val="00D953AC"/>
    <w:rsid w:val="00D9543D"/>
    <w:rsid w:val="00D954D4"/>
    <w:rsid w:val="00D9585E"/>
    <w:rsid w:val="00D959F7"/>
    <w:rsid w:val="00D95A8A"/>
    <w:rsid w:val="00D95AF5"/>
    <w:rsid w:val="00D95C8A"/>
    <w:rsid w:val="00D95E5A"/>
    <w:rsid w:val="00D95EBE"/>
    <w:rsid w:val="00D95EDE"/>
    <w:rsid w:val="00D95F76"/>
    <w:rsid w:val="00D95FE7"/>
    <w:rsid w:val="00D96287"/>
    <w:rsid w:val="00D962B1"/>
    <w:rsid w:val="00D963D7"/>
    <w:rsid w:val="00D963DB"/>
    <w:rsid w:val="00D964E1"/>
    <w:rsid w:val="00D965D9"/>
    <w:rsid w:val="00D966F9"/>
    <w:rsid w:val="00D968B7"/>
    <w:rsid w:val="00D96CCA"/>
    <w:rsid w:val="00D96D5E"/>
    <w:rsid w:val="00D96D91"/>
    <w:rsid w:val="00D96DBF"/>
    <w:rsid w:val="00D96E41"/>
    <w:rsid w:val="00D96E82"/>
    <w:rsid w:val="00D96EB8"/>
    <w:rsid w:val="00D96F28"/>
    <w:rsid w:val="00D96FA4"/>
    <w:rsid w:val="00D96FF9"/>
    <w:rsid w:val="00D9702C"/>
    <w:rsid w:val="00D97081"/>
    <w:rsid w:val="00D970CB"/>
    <w:rsid w:val="00D9715C"/>
    <w:rsid w:val="00D972FC"/>
    <w:rsid w:val="00D97401"/>
    <w:rsid w:val="00D9748D"/>
    <w:rsid w:val="00D9752B"/>
    <w:rsid w:val="00D97832"/>
    <w:rsid w:val="00D97844"/>
    <w:rsid w:val="00D97847"/>
    <w:rsid w:val="00D978D0"/>
    <w:rsid w:val="00D97977"/>
    <w:rsid w:val="00D97AA8"/>
    <w:rsid w:val="00D97C20"/>
    <w:rsid w:val="00D97C44"/>
    <w:rsid w:val="00D97E5C"/>
    <w:rsid w:val="00D97E7F"/>
    <w:rsid w:val="00DA0046"/>
    <w:rsid w:val="00DA0072"/>
    <w:rsid w:val="00DA00CB"/>
    <w:rsid w:val="00DA03D1"/>
    <w:rsid w:val="00DA043D"/>
    <w:rsid w:val="00DA0458"/>
    <w:rsid w:val="00DA0487"/>
    <w:rsid w:val="00DA05E4"/>
    <w:rsid w:val="00DA068B"/>
    <w:rsid w:val="00DA09CB"/>
    <w:rsid w:val="00DA0AA0"/>
    <w:rsid w:val="00DA0C88"/>
    <w:rsid w:val="00DA0CAE"/>
    <w:rsid w:val="00DA0CF6"/>
    <w:rsid w:val="00DA0D5B"/>
    <w:rsid w:val="00DA0DF2"/>
    <w:rsid w:val="00DA0F0E"/>
    <w:rsid w:val="00DA0F22"/>
    <w:rsid w:val="00DA10A6"/>
    <w:rsid w:val="00DA10FA"/>
    <w:rsid w:val="00DA112C"/>
    <w:rsid w:val="00DA12A1"/>
    <w:rsid w:val="00DA12BF"/>
    <w:rsid w:val="00DA145C"/>
    <w:rsid w:val="00DA148C"/>
    <w:rsid w:val="00DA14B9"/>
    <w:rsid w:val="00DA14F1"/>
    <w:rsid w:val="00DA1502"/>
    <w:rsid w:val="00DA155D"/>
    <w:rsid w:val="00DA1646"/>
    <w:rsid w:val="00DA16B2"/>
    <w:rsid w:val="00DA1795"/>
    <w:rsid w:val="00DA18DF"/>
    <w:rsid w:val="00DA1CC1"/>
    <w:rsid w:val="00DA1D5A"/>
    <w:rsid w:val="00DA1DD2"/>
    <w:rsid w:val="00DA1E1B"/>
    <w:rsid w:val="00DA1E83"/>
    <w:rsid w:val="00DA1EA4"/>
    <w:rsid w:val="00DA1F4E"/>
    <w:rsid w:val="00DA1FD8"/>
    <w:rsid w:val="00DA2127"/>
    <w:rsid w:val="00DA213E"/>
    <w:rsid w:val="00DA2194"/>
    <w:rsid w:val="00DA2301"/>
    <w:rsid w:val="00DA247A"/>
    <w:rsid w:val="00DA26E2"/>
    <w:rsid w:val="00DA27D8"/>
    <w:rsid w:val="00DA27F9"/>
    <w:rsid w:val="00DA29AC"/>
    <w:rsid w:val="00DA2BFD"/>
    <w:rsid w:val="00DA2D63"/>
    <w:rsid w:val="00DA2E1E"/>
    <w:rsid w:val="00DA2F87"/>
    <w:rsid w:val="00DA2F96"/>
    <w:rsid w:val="00DA2FA4"/>
    <w:rsid w:val="00DA3029"/>
    <w:rsid w:val="00DA305D"/>
    <w:rsid w:val="00DA3101"/>
    <w:rsid w:val="00DA314E"/>
    <w:rsid w:val="00DA3166"/>
    <w:rsid w:val="00DA3215"/>
    <w:rsid w:val="00DA3230"/>
    <w:rsid w:val="00DA3364"/>
    <w:rsid w:val="00DA33A4"/>
    <w:rsid w:val="00DA3431"/>
    <w:rsid w:val="00DA34C9"/>
    <w:rsid w:val="00DA35AD"/>
    <w:rsid w:val="00DA3655"/>
    <w:rsid w:val="00DA3686"/>
    <w:rsid w:val="00DA369E"/>
    <w:rsid w:val="00DA3758"/>
    <w:rsid w:val="00DA3861"/>
    <w:rsid w:val="00DA38A7"/>
    <w:rsid w:val="00DA3B31"/>
    <w:rsid w:val="00DA3D8E"/>
    <w:rsid w:val="00DA3E34"/>
    <w:rsid w:val="00DA3EED"/>
    <w:rsid w:val="00DA3F12"/>
    <w:rsid w:val="00DA4012"/>
    <w:rsid w:val="00DA4035"/>
    <w:rsid w:val="00DA405E"/>
    <w:rsid w:val="00DA414D"/>
    <w:rsid w:val="00DA4264"/>
    <w:rsid w:val="00DA4345"/>
    <w:rsid w:val="00DA435C"/>
    <w:rsid w:val="00DA4395"/>
    <w:rsid w:val="00DA449B"/>
    <w:rsid w:val="00DA45E6"/>
    <w:rsid w:val="00DA4635"/>
    <w:rsid w:val="00DA46B2"/>
    <w:rsid w:val="00DA4708"/>
    <w:rsid w:val="00DA47C8"/>
    <w:rsid w:val="00DA47F0"/>
    <w:rsid w:val="00DA4988"/>
    <w:rsid w:val="00DA499E"/>
    <w:rsid w:val="00DA49A3"/>
    <w:rsid w:val="00DA4B01"/>
    <w:rsid w:val="00DA4CAB"/>
    <w:rsid w:val="00DA4D7E"/>
    <w:rsid w:val="00DA4E0E"/>
    <w:rsid w:val="00DA4F23"/>
    <w:rsid w:val="00DA50D6"/>
    <w:rsid w:val="00DA5191"/>
    <w:rsid w:val="00DA524A"/>
    <w:rsid w:val="00DA53F2"/>
    <w:rsid w:val="00DA543F"/>
    <w:rsid w:val="00DA5495"/>
    <w:rsid w:val="00DA54EB"/>
    <w:rsid w:val="00DA5575"/>
    <w:rsid w:val="00DA5594"/>
    <w:rsid w:val="00DA55AC"/>
    <w:rsid w:val="00DA5623"/>
    <w:rsid w:val="00DA567F"/>
    <w:rsid w:val="00DA5798"/>
    <w:rsid w:val="00DA586F"/>
    <w:rsid w:val="00DA595B"/>
    <w:rsid w:val="00DA5966"/>
    <w:rsid w:val="00DA59FD"/>
    <w:rsid w:val="00DA5C8B"/>
    <w:rsid w:val="00DA5CB9"/>
    <w:rsid w:val="00DA5F1E"/>
    <w:rsid w:val="00DA5FBD"/>
    <w:rsid w:val="00DA6012"/>
    <w:rsid w:val="00DA60DF"/>
    <w:rsid w:val="00DA6121"/>
    <w:rsid w:val="00DA63D6"/>
    <w:rsid w:val="00DA6514"/>
    <w:rsid w:val="00DA660F"/>
    <w:rsid w:val="00DA6619"/>
    <w:rsid w:val="00DA6722"/>
    <w:rsid w:val="00DA674C"/>
    <w:rsid w:val="00DA6900"/>
    <w:rsid w:val="00DA69E0"/>
    <w:rsid w:val="00DA6AA5"/>
    <w:rsid w:val="00DA6BDE"/>
    <w:rsid w:val="00DA6C98"/>
    <w:rsid w:val="00DA6CC5"/>
    <w:rsid w:val="00DA6E4C"/>
    <w:rsid w:val="00DA6EC1"/>
    <w:rsid w:val="00DA701D"/>
    <w:rsid w:val="00DA70B4"/>
    <w:rsid w:val="00DA7201"/>
    <w:rsid w:val="00DA7248"/>
    <w:rsid w:val="00DA726D"/>
    <w:rsid w:val="00DA7289"/>
    <w:rsid w:val="00DA7290"/>
    <w:rsid w:val="00DA737A"/>
    <w:rsid w:val="00DA74F0"/>
    <w:rsid w:val="00DA75DE"/>
    <w:rsid w:val="00DA7622"/>
    <w:rsid w:val="00DA7624"/>
    <w:rsid w:val="00DA7641"/>
    <w:rsid w:val="00DA7716"/>
    <w:rsid w:val="00DA7799"/>
    <w:rsid w:val="00DA77F3"/>
    <w:rsid w:val="00DA7808"/>
    <w:rsid w:val="00DA7874"/>
    <w:rsid w:val="00DA78E2"/>
    <w:rsid w:val="00DA79DD"/>
    <w:rsid w:val="00DA79E3"/>
    <w:rsid w:val="00DA7A4C"/>
    <w:rsid w:val="00DA7AD3"/>
    <w:rsid w:val="00DA7B78"/>
    <w:rsid w:val="00DA7B7B"/>
    <w:rsid w:val="00DA7BBF"/>
    <w:rsid w:val="00DA7C48"/>
    <w:rsid w:val="00DA7CBE"/>
    <w:rsid w:val="00DA7CF1"/>
    <w:rsid w:val="00DA7D82"/>
    <w:rsid w:val="00DA7DB5"/>
    <w:rsid w:val="00DA7DB9"/>
    <w:rsid w:val="00DA7DEC"/>
    <w:rsid w:val="00DA7E20"/>
    <w:rsid w:val="00DA7F9C"/>
    <w:rsid w:val="00DB004A"/>
    <w:rsid w:val="00DB0057"/>
    <w:rsid w:val="00DB0242"/>
    <w:rsid w:val="00DB03FC"/>
    <w:rsid w:val="00DB0406"/>
    <w:rsid w:val="00DB0419"/>
    <w:rsid w:val="00DB0439"/>
    <w:rsid w:val="00DB046A"/>
    <w:rsid w:val="00DB0477"/>
    <w:rsid w:val="00DB04FD"/>
    <w:rsid w:val="00DB050A"/>
    <w:rsid w:val="00DB0684"/>
    <w:rsid w:val="00DB07EF"/>
    <w:rsid w:val="00DB093F"/>
    <w:rsid w:val="00DB0A1F"/>
    <w:rsid w:val="00DB0A92"/>
    <w:rsid w:val="00DB0B6D"/>
    <w:rsid w:val="00DB0BE5"/>
    <w:rsid w:val="00DB0D4D"/>
    <w:rsid w:val="00DB0EA9"/>
    <w:rsid w:val="00DB0F07"/>
    <w:rsid w:val="00DB0F39"/>
    <w:rsid w:val="00DB10B5"/>
    <w:rsid w:val="00DB10DC"/>
    <w:rsid w:val="00DB116F"/>
    <w:rsid w:val="00DB11A8"/>
    <w:rsid w:val="00DB127F"/>
    <w:rsid w:val="00DB12AC"/>
    <w:rsid w:val="00DB130F"/>
    <w:rsid w:val="00DB1368"/>
    <w:rsid w:val="00DB13DE"/>
    <w:rsid w:val="00DB1596"/>
    <w:rsid w:val="00DB1742"/>
    <w:rsid w:val="00DB17BF"/>
    <w:rsid w:val="00DB1A4E"/>
    <w:rsid w:val="00DB1B14"/>
    <w:rsid w:val="00DB1CFB"/>
    <w:rsid w:val="00DB1E0A"/>
    <w:rsid w:val="00DB1ED7"/>
    <w:rsid w:val="00DB1F1D"/>
    <w:rsid w:val="00DB1F36"/>
    <w:rsid w:val="00DB1F64"/>
    <w:rsid w:val="00DB20B2"/>
    <w:rsid w:val="00DB20F2"/>
    <w:rsid w:val="00DB25D5"/>
    <w:rsid w:val="00DB274E"/>
    <w:rsid w:val="00DB27D3"/>
    <w:rsid w:val="00DB29AD"/>
    <w:rsid w:val="00DB2ACA"/>
    <w:rsid w:val="00DB2B6A"/>
    <w:rsid w:val="00DB2B9E"/>
    <w:rsid w:val="00DB2BAF"/>
    <w:rsid w:val="00DB2BE7"/>
    <w:rsid w:val="00DB2BF2"/>
    <w:rsid w:val="00DB2DC5"/>
    <w:rsid w:val="00DB2DE0"/>
    <w:rsid w:val="00DB2FF7"/>
    <w:rsid w:val="00DB3061"/>
    <w:rsid w:val="00DB30B9"/>
    <w:rsid w:val="00DB3355"/>
    <w:rsid w:val="00DB3421"/>
    <w:rsid w:val="00DB34F5"/>
    <w:rsid w:val="00DB3706"/>
    <w:rsid w:val="00DB3783"/>
    <w:rsid w:val="00DB3879"/>
    <w:rsid w:val="00DB399E"/>
    <w:rsid w:val="00DB3A01"/>
    <w:rsid w:val="00DB3A3F"/>
    <w:rsid w:val="00DB3A56"/>
    <w:rsid w:val="00DB3A58"/>
    <w:rsid w:val="00DB3BCC"/>
    <w:rsid w:val="00DB3C43"/>
    <w:rsid w:val="00DB3DFB"/>
    <w:rsid w:val="00DB3E88"/>
    <w:rsid w:val="00DB3EF6"/>
    <w:rsid w:val="00DB3F24"/>
    <w:rsid w:val="00DB4013"/>
    <w:rsid w:val="00DB42C7"/>
    <w:rsid w:val="00DB433B"/>
    <w:rsid w:val="00DB4348"/>
    <w:rsid w:val="00DB4423"/>
    <w:rsid w:val="00DB4438"/>
    <w:rsid w:val="00DB48DF"/>
    <w:rsid w:val="00DB4981"/>
    <w:rsid w:val="00DB4986"/>
    <w:rsid w:val="00DB49FD"/>
    <w:rsid w:val="00DB4B4A"/>
    <w:rsid w:val="00DB4C49"/>
    <w:rsid w:val="00DB4E8C"/>
    <w:rsid w:val="00DB5102"/>
    <w:rsid w:val="00DB5128"/>
    <w:rsid w:val="00DB519F"/>
    <w:rsid w:val="00DB52DE"/>
    <w:rsid w:val="00DB549B"/>
    <w:rsid w:val="00DB549D"/>
    <w:rsid w:val="00DB54FC"/>
    <w:rsid w:val="00DB550C"/>
    <w:rsid w:val="00DB5540"/>
    <w:rsid w:val="00DB55C8"/>
    <w:rsid w:val="00DB561A"/>
    <w:rsid w:val="00DB566E"/>
    <w:rsid w:val="00DB56C9"/>
    <w:rsid w:val="00DB56F4"/>
    <w:rsid w:val="00DB577F"/>
    <w:rsid w:val="00DB5799"/>
    <w:rsid w:val="00DB5834"/>
    <w:rsid w:val="00DB58A2"/>
    <w:rsid w:val="00DB5AB5"/>
    <w:rsid w:val="00DB5BDF"/>
    <w:rsid w:val="00DB5C4A"/>
    <w:rsid w:val="00DB5CF2"/>
    <w:rsid w:val="00DB5D91"/>
    <w:rsid w:val="00DB5F0A"/>
    <w:rsid w:val="00DB6030"/>
    <w:rsid w:val="00DB62B0"/>
    <w:rsid w:val="00DB6313"/>
    <w:rsid w:val="00DB6325"/>
    <w:rsid w:val="00DB63C4"/>
    <w:rsid w:val="00DB6495"/>
    <w:rsid w:val="00DB6518"/>
    <w:rsid w:val="00DB655B"/>
    <w:rsid w:val="00DB656F"/>
    <w:rsid w:val="00DB65CE"/>
    <w:rsid w:val="00DB65E5"/>
    <w:rsid w:val="00DB6707"/>
    <w:rsid w:val="00DB6728"/>
    <w:rsid w:val="00DB67C8"/>
    <w:rsid w:val="00DB67D9"/>
    <w:rsid w:val="00DB67F8"/>
    <w:rsid w:val="00DB6945"/>
    <w:rsid w:val="00DB6A42"/>
    <w:rsid w:val="00DB6B52"/>
    <w:rsid w:val="00DB6C45"/>
    <w:rsid w:val="00DB6F5B"/>
    <w:rsid w:val="00DB6F84"/>
    <w:rsid w:val="00DB6F93"/>
    <w:rsid w:val="00DB6F98"/>
    <w:rsid w:val="00DB6FFF"/>
    <w:rsid w:val="00DB7037"/>
    <w:rsid w:val="00DB70E8"/>
    <w:rsid w:val="00DB7155"/>
    <w:rsid w:val="00DB72FB"/>
    <w:rsid w:val="00DB7339"/>
    <w:rsid w:val="00DB7397"/>
    <w:rsid w:val="00DB73C3"/>
    <w:rsid w:val="00DB73D8"/>
    <w:rsid w:val="00DB7403"/>
    <w:rsid w:val="00DB74B7"/>
    <w:rsid w:val="00DB752A"/>
    <w:rsid w:val="00DB756F"/>
    <w:rsid w:val="00DB76B5"/>
    <w:rsid w:val="00DB76EB"/>
    <w:rsid w:val="00DB77E5"/>
    <w:rsid w:val="00DB784B"/>
    <w:rsid w:val="00DB7874"/>
    <w:rsid w:val="00DB78CE"/>
    <w:rsid w:val="00DB794E"/>
    <w:rsid w:val="00DB7B2E"/>
    <w:rsid w:val="00DB7B72"/>
    <w:rsid w:val="00DB7C63"/>
    <w:rsid w:val="00DB7CC7"/>
    <w:rsid w:val="00DB7D33"/>
    <w:rsid w:val="00DB7D39"/>
    <w:rsid w:val="00DB7E26"/>
    <w:rsid w:val="00DB7EC5"/>
    <w:rsid w:val="00DB7F2F"/>
    <w:rsid w:val="00DC00E1"/>
    <w:rsid w:val="00DC050A"/>
    <w:rsid w:val="00DC053A"/>
    <w:rsid w:val="00DC059F"/>
    <w:rsid w:val="00DC0611"/>
    <w:rsid w:val="00DC0989"/>
    <w:rsid w:val="00DC09B3"/>
    <w:rsid w:val="00DC0B95"/>
    <w:rsid w:val="00DC0BA6"/>
    <w:rsid w:val="00DC0C4B"/>
    <w:rsid w:val="00DC0CB4"/>
    <w:rsid w:val="00DC0CEF"/>
    <w:rsid w:val="00DC0D94"/>
    <w:rsid w:val="00DC0EC9"/>
    <w:rsid w:val="00DC0F47"/>
    <w:rsid w:val="00DC1041"/>
    <w:rsid w:val="00DC10AA"/>
    <w:rsid w:val="00DC10AE"/>
    <w:rsid w:val="00DC120B"/>
    <w:rsid w:val="00DC130D"/>
    <w:rsid w:val="00DC1356"/>
    <w:rsid w:val="00DC13FC"/>
    <w:rsid w:val="00DC1525"/>
    <w:rsid w:val="00DC15BF"/>
    <w:rsid w:val="00DC1628"/>
    <w:rsid w:val="00DC1635"/>
    <w:rsid w:val="00DC164B"/>
    <w:rsid w:val="00DC16B7"/>
    <w:rsid w:val="00DC16D1"/>
    <w:rsid w:val="00DC1720"/>
    <w:rsid w:val="00DC181E"/>
    <w:rsid w:val="00DC1894"/>
    <w:rsid w:val="00DC189E"/>
    <w:rsid w:val="00DC18A2"/>
    <w:rsid w:val="00DC1A2E"/>
    <w:rsid w:val="00DC1A55"/>
    <w:rsid w:val="00DC1A62"/>
    <w:rsid w:val="00DC1C0B"/>
    <w:rsid w:val="00DC1C57"/>
    <w:rsid w:val="00DC1C76"/>
    <w:rsid w:val="00DC1D9A"/>
    <w:rsid w:val="00DC1DFF"/>
    <w:rsid w:val="00DC1E27"/>
    <w:rsid w:val="00DC1F27"/>
    <w:rsid w:val="00DC1F2C"/>
    <w:rsid w:val="00DC1FAA"/>
    <w:rsid w:val="00DC203F"/>
    <w:rsid w:val="00DC2093"/>
    <w:rsid w:val="00DC209F"/>
    <w:rsid w:val="00DC2154"/>
    <w:rsid w:val="00DC217D"/>
    <w:rsid w:val="00DC21C1"/>
    <w:rsid w:val="00DC2269"/>
    <w:rsid w:val="00DC2318"/>
    <w:rsid w:val="00DC2319"/>
    <w:rsid w:val="00DC2363"/>
    <w:rsid w:val="00DC2419"/>
    <w:rsid w:val="00DC251A"/>
    <w:rsid w:val="00DC2572"/>
    <w:rsid w:val="00DC266A"/>
    <w:rsid w:val="00DC2694"/>
    <w:rsid w:val="00DC2730"/>
    <w:rsid w:val="00DC2773"/>
    <w:rsid w:val="00DC2779"/>
    <w:rsid w:val="00DC2845"/>
    <w:rsid w:val="00DC29AA"/>
    <w:rsid w:val="00DC2A9E"/>
    <w:rsid w:val="00DC2AA9"/>
    <w:rsid w:val="00DC2BEC"/>
    <w:rsid w:val="00DC2CF1"/>
    <w:rsid w:val="00DC2CF3"/>
    <w:rsid w:val="00DC2D66"/>
    <w:rsid w:val="00DC2E98"/>
    <w:rsid w:val="00DC302B"/>
    <w:rsid w:val="00DC302F"/>
    <w:rsid w:val="00DC3289"/>
    <w:rsid w:val="00DC32E3"/>
    <w:rsid w:val="00DC32F3"/>
    <w:rsid w:val="00DC3337"/>
    <w:rsid w:val="00DC337F"/>
    <w:rsid w:val="00DC339B"/>
    <w:rsid w:val="00DC33A1"/>
    <w:rsid w:val="00DC34A5"/>
    <w:rsid w:val="00DC34B0"/>
    <w:rsid w:val="00DC3534"/>
    <w:rsid w:val="00DC3559"/>
    <w:rsid w:val="00DC372A"/>
    <w:rsid w:val="00DC379B"/>
    <w:rsid w:val="00DC3899"/>
    <w:rsid w:val="00DC398B"/>
    <w:rsid w:val="00DC39AE"/>
    <w:rsid w:val="00DC3AE1"/>
    <w:rsid w:val="00DC3B54"/>
    <w:rsid w:val="00DC3B9B"/>
    <w:rsid w:val="00DC3CDF"/>
    <w:rsid w:val="00DC3D35"/>
    <w:rsid w:val="00DC3D69"/>
    <w:rsid w:val="00DC3E03"/>
    <w:rsid w:val="00DC3EA6"/>
    <w:rsid w:val="00DC3F0C"/>
    <w:rsid w:val="00DC411B"/>
    <w:rsid w:val="00DC4129"/>
    <w:rsid w:val="00DC41F0"/>
    <w:rsid w:val="00DC41F7"/>
    <w:rsid w:val="00DC42EA"/>
    <w:rsid w:val="00DC42F7"/>
    <w:rsid w:val="00DC43EA"/>
    <w:rsid w:val="00DC45F9"/>
    <w:rsid w:val="00DC4651"/>
    <w:rsid w:val="00DC46BD"/>
    <w:rsid w:val="00DC4761"/>
    <w:rsid w:val="00DC4876"/>
    <w:rsid w:val="00DC48BC"/>
    <w:rsid w:val="00DC4962"/>
    <w:rsid w:val="00DC4990"/>
    <w:rsid w:val="00DC4A0B"/>
    <w:rsid w:val="00DC4B09"/>
    <w:rsid w:val="00DC4B8F"/>
    <w:rsid w:val="00DC4E5B"/>
    <w:rsid w:val="00DC4F8B"/>
    <w:rsid w:val="00DC4F99"/>
    <w:rsid w:val="00DC502D"/>
    <w:rsid w:val="00DC5117"/>
    <w:rsid w:val="00DC51D5"/>
    <w:rsid w:val="00DC51E3"/>
    <w:rsid w:val="00DC5314"/>
    <w:rsid w:val="00DC5346"/>
    <w:rsid w:val="00DC562C"/>
    <w:rsid w:val="00DC56B1"/>
    <w:rsid w:val="00DC57EC"/>
    <w:rsid w:val="00DC59CE"/>
    <w:rsid w:val="00DC59D8"/>
    <w:rsid w:val="00DC5A32"/>
    <w:rsid w:val="00DC5A7B"/>
    <w:rsid w:val="00DC5AFB"/>
    <w:rsid w:val="00DC5B15"/>
    <w:rsid w:val="00DC5CFC"/>
    <w:rsid w:val="00DC5EE0"/>
    <w:rsid w:val="00DC5F30"/>
    <w:rsid w:val="00DC60DA"/>
    <w:rsid w:val="00DC62E7"/>
    <w:rsid w:val="00DC6307"/>
    <w:rsid w:val="00DC6589"/>
    <w:rsid w:val="00DC659F"/>
    <w:rsid w:val="00DC6631"/>
    <w:rsid w:val="00DC6650"/>
    <w:rsid w:val="00DC669D"/>
    <w:rsid w:val="00DC670B"/>
    <w:rsid w:val="00DC676F"/>
    <w:rsid w:val="00DC695D"/>
    <w:rsid w:val="00DC69A4"/>
    <w:rsid w:val="00DC6B23"/>
    <w:rsid w:val="00DC6B4B"/>
    <w:rsid w:val="00DC6C44"/>
    <w:rsid w:val="00DC6C6E"/>
    <w:rsid w:val="00DC6CAD"/>
    <w:rsid w:val="00DC6CCB"/>
    <w:rsid w:val="00DC6D01"/>
    <w:rsid w:val="00DC6D82"/>
    <w:rsid w:val="00DC6DC3"/>
    <w:rsid w:val="00DC6E1E"/>
    <w:rsid w:val="00DC6E64"/>
    <w:rsid w:val="00DC6E6C"/>
    <w:rsid w:val="00DC6E97"/>
    <w:rsid w:val="00DC71D2"/>
    <w:rsid w:val="00DC71D3"/>
    <w:rsid w:val="00DC71D7"/>
    <w:rsid w:val="00DC722C"/>
    <w:rsid w:val="00DC725B"/>
    <w:rsid w:val="00DC73D7"/>
    <w:rsid w:val="00DC7446"/>
    <w:rsid w:val="00DC75D1"/>
    <w:rsid w:val="00DC7672"/>
    <w:rsid w:val="00DC78B8"/>
    <w:rsid w:val="00DC7944"/>
    <w:rsid w:val="00DC7979"/>
    <w:rsid w:val="00DC7A0C"/>
    <w:rsid w:val="00DC7AB5"/>
    <w:rsid w:val="00DC7C61"/>
    <w:rsid w:val="00DC7C8C"/>
    <w:rsid w:val="00DC7CF2"/>
    <w:rsid w:val="00DC7DF1"/>
    <w:rsid w:val="00DC7E1D"/>
    <w:rsid w:val="00DC7EA5"/>
    <w:rsid w:val="00DC7F1E"/>
    <w:rsid w:val="00DC7FB2"/>
    <w:rsid w:val="00DD000B"/>
    <w:rsid w:val="00DD0016"/>
    <w:rsid w:val="00DD0094"/>
    <w:rsid w:val="00DD01C7"/>
    <w:rsid w:val="00DD034A"/>
    <w:rsid w:val="00DD038D"/>
    <w:rsid w:val="00DD03BC"/>
    <w:rsid w:val="00DD044D"/>
    <w:rsid w:val="00DD04E2"/>
    <w:rsid w:val="00DD067A"/>
    <w:rsid w:val="00DD084C"/>
    <w:rsid w:val="00DD08C6"/>
    <w:rsid w:val="00DD0A2E"/>
    <w:rsid w:val="00DD0A3E"/>
    <w:rsid w:val="00DD0B57"/>
    <w:rsid w:val="00DD0B61"/>
    <w:rsid w:val="00DD0B8F"/>
    <w:rsid w:val="00DD0BE3"/>
    <w:rsid w:val="00DD0C9E"/>
    <w:rsid w:val="00DD0CCF"/>
    <w:rsid w:val="00DD0D9A"/>
    <w:rsid w:val="00DD0E68"/>
    <w:rsid w:val="00DD0ED2"/>
    <w:rsid w:val="00DD0F20"/>
    <w:rsid w:val="00DD1076"/>
    <w:rsid w:val="00DD1214"/>
    <w:rsid w:val="00DD1306"/>
    <w:rsid w:val="00DD1336"/>
    <w:rsid w:val="00DD140A"/>
    <w:rsid w:val="00DD1431"/>
    <w:rsid w:val="00DD143C"/>
    <w:rsid w:val="00DD1462"/>
    <w:rsid w:val="00DD14B9"/>
    <w:rsid w:val="00DD15FB"/>
    <w:rsid w:val="00DD1709"/>
    <w:rsid w:val="00DD17A9"/>
    <w:rsid w:val="00DD197E"/>
    <w:rsid w:val="00DD19EE"/>
    <w:rsid w:val="00DD1A79"/>
    <w:rsid w:val="00DD1C2B"/>
    <w:rsid w:val="00DD1CD8"/>
    <w:rsid w:val="00DD1D2D"/>
    <w:rsid w:val="00DD20A2"/>
    <w:rsid w:val="00DD20F5"/>
    <w:rsid w:val="00DD210D"/>
    <w:rsid w:val="00DD218C"/>
    <w:rsid w:val="00DD2285"/>
    <w:rsid w:val="00DD238E"/>
    <w:rsid w:val="00DD23AA"/>
    <w:rsid w:val="00DD23AE"/>
    <w:rsid w:val="00DD2582"/>
    <w:rsid w:val="00DD25C0"/>
    <w:rsid w:val="00DD2685"/>
    <w:rsid w:val="00DD2894"/>
    <w:rsid w:val="00DD28D5"/>
    <w:rsid w:val="00DD2942"/>
    <w:rsid w:val="00DD29F1"/>
    <w:rsid w:val="00DD2ACE"/>
    <w:rsid w:val="00DD2B08"/>
    <w:rsid w:val="00DD2C11"/>
    <w:rsid w:val="00DD2D11"/>
    <w:rsid w:val="00DD2ECC"/>
    <w:rsid w:val="00DD2EED"/>
    <w:rsid w:val="00DD3043"/>
    <w:rsid w:val="00DD30ED"/>
    <w:rsid w:val="00DD32B3"/>
    <w:rsid w:val="00DD33CB"/>
    <w:rsid w:val="00DD340B"/>
    <w:rsid w:val="00DD3693"/>
    <w:rsid w:val="00DD381F"/>
    <w:rsid w:val="00DD389D"/>
    <w:rsid w:val="00DD38D6"/>
    <w:rsid w:val="00DD391C"/>
    <w:rsid w:val="00DD3A0D"/>
    <w:rsid w:val="00DD3A42"/>
    <w:rsid w:val="00DD3AE6"/>
    <w:rsid w:val="00DD3B9D"/>
    <w:rsid w:val="00DD3CF3"/>
    <w:rsid w:val="00DD3D5F"/>
    <w:rsid w:val="00DD3E05"/>
    <w:rsid w:val="00DD3E91"/>
    <w:rsid w:val="00DD3EA4"/>
    <w:rsid w:val="00DD3F34"/>
    <w:rsid w:val="00DD3FD1"/>
    <w:rsid w:val="00DD3FF4"/>
    <w:rsid w:val="00DD419B"/>
    <w:rsid w:val="00DD4380"/>
    <w:rsid w:val="00DD44D5"/>
    <w:rsid w:val="00DD4535"/>
    <w:rsid w:val="00DD454C"/>
    <w:rsid w:val="00DD4573"/>
    <w:rsid w:val="00DD45A6"/>
    <w:rsid w:val="00DD4706"/>
    <w:rsid w:val="00DD4708"/>
    <w:rsid w:val="00DD47EE"/>
    <w:rsid w:val="00DD4948"/>
    <w:rsid w:val="00DD495B"/>
    <w:rsid w:val="00DD4B5D"/>
    <w:rsid w:val="00DD4C6E"/>
    <w:rsid w:val="00DD4C9B"/>
    <w:rsid w:val="00DD4DB0"/>
    <w:rsid w:val="00DD4DDB"/>
    <w:rsid w:val="00DD4E3F"/>
    <w:rsid w:val="00DD4E58"/>
    <w:rsid w:val="00DD4EA8"/>
    <w:rsid w:val="00DD4F1A"/>
    <w:rsid w:val="00DD4FFA"/>
    <w:rsid w:val="00DD50F8"/>
    <w:rsid w:val="00DD50FA"/>
    <w:rsid w:val="00DD51F7"/>
    <w:rsid w:val="00DD531E"/>
    <w:rsid w:val="00DD540C"/>
    <w:rsid w:val="00DD5410"/>
    <w:rsid w:val="00DD5466"/>
    <w:rsid w:val="00DD5473"/>
    <w:rsid w:val="00DD555B"/>
    <w:rsid w:val="00DD564C"/>
    <w:rsid w:val="00DD568E"/>
    <w:rsid w:val="00DD57D9"/>
    <w:rsid w:val="00DD58CE"/>
    <w:rsid w:val="00DD58EF"/>
    <w:rsid w:val="00DD590C"/>
    <w:rsid w:val="00DD59C7"/>
    <w:rsid w:val="00DD5A40"/>
    <w:rsid w:val="00DD5BB9"/>
    <w:rsid w:val="00DD5D04"/>
    <w:rsid w:val="00DD6025"/>
    <w:rsid w:val="00DD6038"/>
    <w:rsid w:val="00DD6059"/>
    <w:rsid w:val="00DD60D2"/>
    <w:rsid w:val="00DD6279"/>
    <w:rsid w:val="00DD628A"/>
    <w:rsid w:val="00DD633D"/>
    <w:rsid w:val="00DD6363"/>
    <w:rsid w:val="00DD63C6"/>
    <w:rsid w:val="00DD63FD"/>
    <w:rsid w:val="00DD6558"/>
    <w:rsid w:val="00DD65A8"/>
    <w:rsid w:val="00DD65E6"/>
    <w:rsid w:val="00DD660B"/>
    <w:rsid w:val="00DD664A"/>
    <w:rsid w:val="00DD6869"/>
    <w:rsid w:val="00DD68FC"/>
    <w:rsid w:val="00DD6AAF"/>
    <w:rsid w:val="00DD6B20"/>
    <w:rsid w:val="00DD6B22"/>
    <w:rsid w:val="00DD6B98"/>
    <w:rsid w:val="00DD6BB1"/>
    <w:rsid w:val="00DD6CC8"/>
    <w:rsid w:val="00DD6D01"/>
    <w:rsid w:val="00DD6DD4"/>
    <w:rsid w:val="00DD6DEA"/>
    <w:rsid w:val="00DD6FF3"/>
    <w:rsid w:val="00DD7094"/>
    <w:rsid w:val="00DD709B"/>
    <w:rsid w:val="00DD70F4"/>
    <w:rsid w:val="00DD74A1"/>
    <w:rsid w:val="00DD74EE"/>
    <w:rsid w:val="00DD753F"/>
    <w:rsid w:val="00DD779E"/>
    <w:rsid w:val="00DD77D3"/>
    <w:rsid w:val="00DD78AD"/>
    <w:rsid w:val="00DD7A22"/>
    <w:rsid w:val="00DD7B6A"/>
    <w:rsid w:val="00DD7C20"/>
    <w:rsid w:val="00DD7CF1"/>
    <w:rsid w:val="00DD7D98"/>
    <w:rsid w:val="00DD7DF2"/>
    <w:rsid w:val="00DD7E25"/>
    <w:rsid w:val="00DE01E5"/>
    <w:rsid w:val="00DE03B6"/>
    <w:rsid w:val="00DE03E8"/>
    <w:rsid w:val="00DE0413"/>
    <w:rsid w:val="00DE041A"/>
    <w:rsid w:val="00DE0450"/>
    <w:rsid w:val="00DE0914"/>
    <w:rsid w:val="00DE09A8"/>
    <w:rsid w:val="00DE0A44"/>
    <w:rsid w:val="00DE0A7D"/>
    <w:rsid w:val="00DE0B28"/>
    <w:rsid w:val="00DE0B3D"/>
    <w:rsid w:val="00DE0BA8"/>
    <w:rsid w:val="00DE0BCD"/>
    <w:rsid w:val="00DE0CAF"/>
    <w:rsid w:val="00DE0CB8"/>
    <w:rsid w:val="00DE0F28"/>
    <w:rsid w:val="00DE121C"/>
    <w:rsid w:val="00DE1362"/>
    <w:rsid w:val="00DE13F0"/>
    <w:rsid w:val="00DE1422"/>
    <w:rsid w:val="00DE1442"/>
    <w:rsid w:val="00DE145C"/>
    <w:rsid w:val="00DE14D2"/>
    <w:rsid w:val="00DE14FE"/>
    <w:rsid w:val="00DE155F"/>
    <w:rsid w:val="00DE1575"/>
    <w:rsid w:val="00DE1625"/>
    <w:rsid w:val="00DE16FE"/>
    <w:rsid w:val="00DE184D"/>
    <w:rsid w:val="00DE18D3"/>
    <w:rsid w:val="00DE19F3"/>
    <w:rsid w:val="00DE1B06"/>
    <w:rsid w:val="00DE1C15"/>
    <w:rsid w:val="00DE1D0F"/>
    <w:rsid w:val="00DE1D8D"/>
    <w:rsid w:val="00DE1D91"/>
    <w:rsid w:val="00DE1E13"/>
    <w:rsid w:val="00DE1E79"/>
    <w:rsid w:val="00DE1EB1"/>
    <w:rsid w:val="00DE1EB4"/>
    <w:rsid w:val="00DE1EE0"/>
    <w:rsid w:val="00DE1F0E"/>
    <w:rsid w:val="00DE202B"/>
    <w:rsid w:val="00DE20EE"/>
    <w:rsid w:val="00DE226B"/>
    <w:rsid w:val="00DE229D"/>
    <w:rsid w:val="00DE22C2"/>
    <w:rsid w:val="00DE231C"/>
    <w:rsid w:val="00DE2484"/>
    <w:rsid w:val="00DE260C"/>
    <w:rsid w:val="00DE26B8"/>
    <w:rsid w:val="00DE2707"/>
    <w:rsid w:val="00DE277A"/>
    <w:rsid w:val="00DE2816"/>
    <w:rsid w:val="00DE2823"/>
    <w:rsid w:val="00DE28BF"/>
    <w:rsid w:val="00DE2973"/>
    <w:rsid w:val="00DE2A05"/>
    <w:rsid w:val="00DE2A64"/>
    <w:rsid w:val="00DE2B1B"/>
    <w:rsid w:val="00DE2BBA"/>
    <w:rsid w:val="00DE2C19"/>
    <w:rsid w:val="00DE2CF1"/>
    <w:rsid w:val="00DE2E0C"/>
    <w:rsid w:val="00DE2E74"/>
    <w:rsid w:val="00DE3121"/>
    <w:rsid w:val="00DE31D3"/>
    <w:rsid w:val="00DE3263"/>
    <w:rsid w:val="00DE32C5"/>
    <w:rsid w:val="00DE341B"/>
    <w:rsid w:val="00DE3437"/>
    <w:rsid w:val="00DE3544"/>
    <w:rsid w:val="00DE3552"/>
    <w:rsid w:val="00DE35C9"/>
    <w:rsid w:val="00DE371C"/>
    <w:rsid w:val="00DE3837"/>
    <w:rsid w:val="00DE38DC"/>
    <w:rsid w:val="00DE399D"/>
    <w:rsid w:val="00DE39C2"/>
    <w:rsid w:val="00DE39D9"/>
    <w:rsid w:val="00DE39F7"/>
    <w:rsid w:val="00DE3A72"/>
    <w:rsid w:val="00DE3AD8"/>
    <w:rsid w:val="00DE3B17"/>
    <w:rsid w:val="00DE3B93"/>
    <w:rsid w:val="00DE3BBC"/>
    <w:rsid w:val="00DE3D6C"/>
    <w:rsid w:val="00DE3DFC"/>
    <w:rsid w:val="00DE3E23"/>
    <w:rsid w:val="00DE3F0C"/>
    <w:rsid w:val="00DE3F5C"/>
    <w:rsid w:val="00DE40F5"/>
    <w:rsid w:val="00DE415A"/>
    <w:rsid w:val="00DE42D9"/>
    <w:rsid w:val="00DE44B6"/>
    <w:rsid w:val="00DE4608"/>
    <w:rsid w:val="00DE46E3"/>
    <w:rsid w:val="00DE4705"/>
    <w:rsid w:val="00DE49CC"/>
    <w:rsid w:val="00DE4A49"/>
    <w:rsid w:val="00DE4AD7"/>
    <w:rsid w:val="00DE4B8D"/>
    <w:rsid w:val="00DE4BF3"/>
    <w:rsid w:val="00DE4C76"/>
    <w:rsid w:val="00DE4EFC"/>
    <w:rsid w:val="00DE4F56"/>
    <w:rsid w:val="00DE50CB"/>
    <w:rsid w:val="00DE53D1"/>
    <w:rsid w:val="00DE5428"/>
    <w:rsid w:val="00DE5431"/>
    <w:rsid w:val="00DE54A9"/>
    <w:rsid w:val="00DE55A6"/>
    <w:rsid w:val="00DE560D"/>
    <w:rsid w:val="00DE5752"/>
    <w:rsid w:val="00DE5789"/>
    <w:rsid w:val="00DE5979"/>
    <w:rsid w:val="00DE5A86"/>
    <w:rsid w:val="00DE5B25"/>
    <w:rsid w:val="00DE5B58"/>
    <w:rsid w:val="00DE5BD0"/>
    <w:rsid w:val="00DE5C77"/>
    <w:rsid w:val="00DE5C7C"/>
    <w:rsid w:val="00DE5DFB"/>
    <w:rsid w:val="00DE5E93"/>
    <w:rsid w:val="00DE5F3B"/>
    <w:rsid w:val="00DE5F85"/>
    <w:rsid w:val="00DE6195"/>
    <w:rsid w:val="00DE6271"/>
    <w:rsid w:val="00DE62CF"/>
    <w:rsid w:val="00DE6369"/>
    <w:rsid w:val="00DE6417"/>
    <w:rsid w:val="00DE6578"/>
    <w:rsid w:val="00DE658D"/>
    <w:rsid w:val="00DE66C1"/>
    <w:rsid w:val="00DE68D0"/>
    <w:rsid w:val="00DE6948"/>
    <w:rsid w:val="00DE69B2"/>
    <w:rsid w:val="00DE6ACE"/>
    <w:rsid w:val="00DE6B4B"/>
    <w:rsid w:val="00DE6D30"/>
    <w:rsid w:val="00DE6D74"/>
    <w:rsid w:val="00DE6E70"/>
    <w:rsid w:val="00DE7078"/>
    <w:rsid w:val="00DE70FD"/>
    <w:rsid w:val="00DE715B"/>
    <w:rsid w:val="00DE724D"/>
    <w:rsid w:val="00DE743F"/>
    <w:rsid w:val="00DE7559"/>
    <w:rsid w:val="00DE75C1"/>
    <w:rsid w:val="00DE7810"/>
    <w:rsid w:val="00DE7986"/>
    <w:rsid w:val="00DE79B9"/>
    <w:rsid w:val="00DE79C7"/>
    <w:rsid w:val="00DE7A3A"/>
    <w:rsid w:val="00DE7A85"/>
    <w:rsid w:val="00DE7ACF"/>
    <w:rsid w:val="00DE7D25"/>
    <w:rsid w:val="00DE7D80"/>
    <w:rsid w:val="00DE7ED4"/>
    <w:rsid w:val="00DE7F4A"/>
    <w:rsid w:val="00DE7FB2"/>
    <w:rsid w:val="00DF0042"/>
    <w:rsid w:val="00DF0259"/>
    <w:rsid w:val="00DF033C"/>
    <w:rsid w:val="00DF040F"/>
    <w:rsid w:val="00DF0418"/>
    <w:rsid w:val="00DF0603"/>
    <w:rsid w:val="00DF0735"/>
    <w:rsid w:val="00DF0747"/>
    <w:rsid w:val="00DF08D0"/>
    <w:rsid w:val="00DF091D"/>
    <w:rsid w:val="00DF093B"/>
    <w:rsid w:val="00DF0992"/>
    <w:rsid w:val="00DF0B15"/>
    <w:rsid w:val="00DF0B17"/>
    <w:rsid w:val="00DF0B57"/>
    <w:rsid w:val="00DF0BCF"/>
    <w:rsid w:val="00DF0BFE"/>
    <w:rsid w:val="00DF0C08"/>
    <w:rsid w:val="00DF0C83"/>
    <w:rsid w:val="00DF0DB6"/>
    <w:rsid w:val="00DF0E73"/>
    <w:rsid w:val="00DF113A"/>
    <w:rsid w:val="00DF1227"/>
    <w:rsid w:val="00DF125D"/>
    <w:rsid w:val="00DF13E8"/>
    <w:rsid w:val="00DF1656"/>
    <w:rsid w:val="00DF16DC"/>
    <w:rsid w:val="00DF17B3"/>
    <w:rsid w:val="00DF185E"/>
    <w:rsid w:val="00DF1A13"/>
    <w:rsid w:val="00DF1A78"/>
    <w:rsid w:val="00DF1B80"/>
    <w:rsid w:val="00DF1BF7"/>
    <w:rsid w:val="00DF1C87"/>
    <w:rsid w:val="00DF1DC2"/>
    <w:rsid w:val="00DF1F6C"/>
    <w:rsid w:val="00DF1F92"/>
    <w:rsid w:val="00DF205C"/>
    <w:rsid w:val="00DF2198"/>
    <w:rsid w:val="00DF2264"/>
    <w:rsid w:val="00DF22BA"/>
    <w:rsid w:val="00DF22D7"/>
    <w:rsid w:val="00DF22E9"/>
    <w:rsid w:val="00DF239A"/>
    <w:rsid w:val="00DF23BD"/>
    <w:rsid w:val="00DF24B2"/>
    <w:rsid w:val="00DF2525"/>
    <w:rsid w:val="00DF25D3"/>
    <w:rsid w:val="00DF267F"/>
    <w:rsid w:val="00DF290C"/>
    <w:rsid w:val="00DF2AF8"/>
    <w:rsid w:val="00DF2B46"/>
    <w:rsid w:val="00DF2B4F"/>
    <w:rsid w:val="00DF2C93"/>
    <w:rsid w:val="00DF2CBD"/>
    <w:rsid w:val="00DF2DC7"/>
    <w:rsid w:val="00DF2EC6"/>
    <w:rsid w:val="00DF2F34"/>
    <w:rsid w:val="00DF2F7C"/>
    <w:rsid w:val="00DF3034"/>
    <w:rsid w:val="00DF30EC"/>
    <w:rsid w:val="00DF30F5"/>
    <w:rsid w:val="00DF313E"/>
    <w:rsid w:val="00DF332F"/>
    <w:rsid w:val="00DF343D"/>
    <w:rsid w:val="00DF345B"/>
    <w:rsid w:val="00DF3654"/>
    <w:rsid w:val="00DF3682"/>
    <w:rsid w:val="00DF36B3"/>
    <w:rsid w:val="00DF36C8"/>
    <w:rsid w:val="00DF36D2"/>
    <w:rsid w:val="00DF3701"/>
    <w:rsid w:val="00DF3724"/>
    <w:rsid w:val="00DF37AD"/>
    <w:rsid w:val="00DF37D3"/>
    <w:rsid w:val="00DF381F"/>
    <w:rsid w:val="00DF3949"/>
    <w:rsid w:val="00DF3A10"/>
    <w:rsid w:val="00DF3A2E"/>
    <w:rsid w:val="00DF3A31"/>
    <w:rsid w:val="00DF3D6C"/>
    <w:rsid w:val="00DF3DD9"/>
    <w:rsid w:val="00DF3E34"/>
    <w:rsid w:val="00DF3EB7"/>
    <w:rsid w:val="00DF3F0B"/>
    <w:rsid w:val="00DF3F5E"/>
    <w:rsid w:val="00DF3FB6"/>
    <w:rsid w:val="00DF4023"/>
    <w:rsid w:val="00DF40E5"/>
    <w:rsid w:val="00DF4246"/>
    <w:rsid w:val="00DF42ED"/>
    <w:rsid w:val="00DF43A8"/>
    <w:rsid w:val="00DF45AA"/>
    <w:rsid w:val="00DF45FD"/>
    <w:rsid w:val="00DF4643"/>
    <w:rsid w:val="00DF4676"/>
    <w:rsid w:val="00DF478E"/>
    <w:rsid w:val="00DF4890"/>
    <w:rsid w:val="00DF4997"/>
    <w:rsid w:val="00DF49EA"/>
    <w:rsid w:val="00DF4A27"/>
    <w:rsid w:val="00DF4C4F"/>
    <w:rsid w:val="00DF4D24"/>
    <w:rsid w:val="00DF4DA6"/>
    <w:rsid w:val="00DF4F37"/>
    <w:rsid w:val="00DF4F59"/>
    <w:rsid w:val="00DF4FAE"/>
    <w:rsid w:val="00DF4FB2"/>
    <w:rsid w:val="00DF50C8"/>
    <w:rsid w:val="00DF51C5"/>
    <w:rsid w:val="00DF5251"/>
    <w:rsid w:val="00DF5260"/>
    <w:rsid w:val="00DF5352"/>
    <w:rsid w:val="00DF53C9"/>
    <w:rsid w:val="00DF540F"/>
    <w:rsid w:val="00DF5421"/>
    <w:rsid w:val="00DF5729"/>
    <w:rsid w:val="00DF57C4"/>
    <w:rsid w:val="00DF57F7"/>
    <w:rsid w:val="00DF5835"/>
    <w:rsid w:val="00DF5891"/>
    <w:rsid w:val="00DF5935"/>
    <w:rsid w:val="00DF5939"/>
    <w:rsid w:val="00DF5A56"/>
    <w:rsid w:val="00DF5B24"/>
    <w:rsid w:val="00DF5BE1"/>
    <w:rsid w:val="00DF5C71"/>
    <w:rsid w:val="00DF5C97"/>
    <w:rsid w:val="00DF5D36"/>
    <w:rsid w:val="00DF5DA5"/>
    <w:rsid w:val="00DF5DD8"/>
    <w:rsid w:val="00DF5E2A"/>
    <w:rsid w:val="00DF5E90"/>
    <w:rsid w:val="00DF5E98"/>
    <w:rsid w:val="00DF5F84"/>
    <w:rsid w:val="00DF6017"/>
    <w:rsid w:val="00DF606E"/>
    <w:rsid w:val="00DF6097"/>
    <w:rsid w:val="00DF62A1"/>
    <w:rsid w:val="00DF62B8"/>
    <w:rsid w:val="00DF62C5"/>
    <w:rsid w:val="00DF634A"/>
    <w:rsid w:val="00DF644F"/>
    <w:rsid w:val="00DF6505"/>
    <w:rsid w:val="00DF650D"/>
    <w:rsid w:val="00DF66BF"/>
    <w:rsid w:val="00DF66F1"/>
    <w:rsid w:val="00DF672A"/>
    <w:rsid w:val="00DF67A3"/>
    <w:rsid w:val="00DF6806"/>
    <w:rsid w:val="00DF690A"/>
    <w:rsid w:val="00DF6B20"/>
    <w:rsid w:val="00DF6D36"/>
    <w:rsid w:val="00DF6E99"/>
    <w:rsid w:val="00DF6F4E"/>
    <w:rsid w:val="00DF70B4"/>
    <w:rsid w:val="00DF729A"/>
    <w:rsid w:val="00DF7342"/>
    <w:rsid w:val="00DF734E"/>
    <w:rsid w:val="00DF73B9"/>
    <w:rsid w:val="00DF74FF"/>
    <w:rsid w:val="00DF7507"/>
    <w:rsid w:val="00DF75CB"/>
    <w:rsid w:val="00DF75DB"/>
    <w:rsid w:val="00DF761B"/>
    <w:rsid w:val="00DF7637"/>
    <w:rsid w:val="00DF7856"/>
    <w:rsid w:val="00DF7859"/>
    <w:rsid w:val="00DF78A0"/>
    <w:rsid w:val="00DF7955"/>
    <w:rsid w:val="00DF7A96"/>
    <w:rsid w:val="00DF7A98"/>
    <w:rsid w:val="00DF7AAC"/>
    <w:rsid w:val="00DF7ABA"/>
    <w:rsid w:val="00DF7CCB"/>
    <w:rsid w:val="00DF7CD1"/>
    <w:rsid w:val="00DF7D20"/>
    <w:rsid w:val="00DF7D82"/>
    <w:rsid w:val="00DF7E38"/>
    <w:rsid w:val="00DF7E65"/>
    <w:rsid w:val="00DF7F47"/>
    <w:rsid w:val="00DF7FFA"/>
    <w:rsid w:val="00E00054"/>
    <w:rsid w:val="00E00111"/>
    <w:rsid w:val="00E0024E"/>
    <w:rsid w:val="00E003D3"/>
    <w:rsid w:val="00E00427"/>
    <w:rsid w:val="00E00441"/>
    <w:rsid w:val="00E00447"/>
    <w:rsid w:val="00E00491"/>
    <w:rsid w:val="00E004B5"/>
    <w:rsid w:val="00E00522"/>
    <w:rsid w:val="00E005EE"/>
    <w:rsid w:val="00E005F0"/>
    <w:rsid w:val="00E006D7"/>
    <w:rsid w:val="00E006E8"/>
    <w:rsid w:val="00E008D9"/>
    <w:rsid w:val="00E009E4"/>
    <w:rsid w:val="00E00A76"/>
    <w:rsid w:val="00E00A98"/>
    <w:rsid w:val="00E00B29"/>
    <w:rsid w:val="00E00BBB"/>
    <w:rsid w:val="00E00C90"/>
    <w:rsid w:val="00E00D2C"/>
    <w:rsid w:val="00E00D48"/>
    <w:rsid w:val="00E00DAA"/>
    <w:rsid w:val="00E00EBF"/>
    <w:rsid w:val="00E00EF2"/>
    <w:rsid w:val="00E00F4C"/>
    <w:rsid w:val="00E0102A"/>
    <w:rsid w:val="00E01074"/>
    <w:rsid w:val="00E01084"/>
    <w:rsid w:val="00E012C2"/>
    <w:rsid w:val="00E012F8"/>
    <w:rsid w:val="00E0137C"/>
    <w:rsid w:val="00E01393"/>
    <w:rsid w:val="00E013EA"/>
    <w:rsid w:val="00E01463"/>
    <w:rsid w:val="00E014C6"/>
    <w:rsid w:val="00E015A5"/>
    <w:rsid w:val="00E01655"/>
    <w:rsid w:val="00E0166F"/>
    <w:rsid w:val="00E0169E"/>
    <w:rsid w:val="00E01767"/>
    <w:rsid w:val="00E017DE"/>
    <w:rsid w:val="00E01869"/>
    <w:rsid w:val="00E01870"/>
    <w:rsid w:val="00E018BF"/>
    <w:rsid w:val="00E01954"/>
    <w:rsid w:val="00E0196F"/>
    <w:rsid w:val="00E01975"/>
    <w:rsid w:val="00E019A1"/>
    <w:rsid w:val="00E019DF"/>
    <w:rsid w:val="00E01AFE"/>
    <w:rsid w:val="00E01DA5"/>
    <w:rsid w:val="00E01DA8"/>
    <w:rsid w:val="00E01E72"/>
    <w:rsid w:val="00E01F6C"/>
    <w:rsid w:val="00E01F83"/>
    <w:rsid w:val="00E01FAE"/>
    <w:rsid w:val="00E01FEA"/>
    <w:rsid w:val="00E02010"/>
    <w:rsid w:val="00E0201F"/>
    <w:rsid w:val="00E020C4"/>
    <w:rsid w:val="00E021CA"/>
    <w:rsid w:val="00E021D2"/>
    <w:rsid w:val="00E021F6"/>
    <w:rsid w:val="00E02346"/>
    <w:rsid w:val="00E02366"/>
    <w:rsid w:val="00E023DC"/>
    <w:rsid w:val="00E02411"/>
    <w:rsid w:val="00E02450"/>
    <w:rsid w:val="00E024D6"/>
    <w:rsid w:val="00E02500"/>
    <w:rsid w:val="00E02507"/>
    <w:rsid w:val="00E02714"/>
    <w:rsid w:val="00E027B7"/>
    <w:rsid w:val="00E027E3"/>
    <w:rsid w:val="00E028FD"/>
    <w:rsid w:val="00E02A57"/>
    <w:rsid w:val="00E02CBE"/>
    <w:rsid w:val="00E02F94"/>
    <w:rsid w:val="00E03010"/>
    <w:rsid w:val="00E03021"/>
    <w:rsid w:val="00E0314A"/>
    <w:rsid w:val="00E03153"/>
    <w:rsid w:val="00E031E5"/>
    <w:rsid w:val="00E03281"/>
    <w:rsid w:val="00E032A4"/>
    <w:rsid w:val="00E0342B"/>
    <w:rsid w:val="00E034FE"/>
    <w:rsid w:val="00E0356C"/>
    <w:rsid w:val="00E03668"/>
    <w:rsid w:val="00E03738"/>
    <w:rsid w:val="00E0374B"/>
    <w:rsid w:val="00E0374D"/>
    <w:rsid w:val="00E03769"/>
    <w:rsid w:val="00E0385A"/>
    <w:rsid w:val="00E038AE"/>
    <w:rsid w:val="00E038D2"/>
    <w:rsid w:val="00E03964"/>
    <w:rsid w:val="00E03C61"/>
    <w:rsid w:val="00E03E51"/>
    <w:rsid w:val="00E03E99"/>
    <w:rsid w:val="00E03EC3"/>
    <w:rsid w:val="00E03EC4"/>
    <w:rsid w:val="00E03EEB"/>
    <w:rsid w:val="00E03FF4"/>
    <w:rsid w:val="00E04141"/>
    <w:rsid w:val="00E0415E"/>
    <w:rsid w:val="00E0417C"/>
    <w:rsid w:val="00E0417D"/>
    <w:rsid w:val="00E04263"/>
    <w:rsid w:val="00E042AD"/>
    <w:rsid w:val="00E04301"/>
    <w:rsid w:val="00E04465"/>
    <w:rsid w:val="00E044CB"/>
    <w:rsid w:val="00E044EC"/>
    <w:rsid w:val="00E04B10"/>
    <w:rsid w:val="00E04BAE"/>
    <w:rsid w:val="00E04CAE"/>
    <w:rsid w:val="00E04CD8"/>
    <w:rsid w:val="00E04D43"/>
    <w:rsid w:val="00E04E14"/>
    <w:rsid w:val="00E04E58"/>
    <w:rsid w:val="00E04E66"/>
    <w:rsid w:val="00E04FA2"/>
    <w:rsid w:val="00E05022"/>
    <w:rsid w:val="00E05105"/>
    <w:rsid w:val="00E05171"/>
    <w:rsid w:val="00E05207"/>
    <w:rsid w:val="00E05244"/>
    <w:rsid w:val="00E05268"/>
    <w:rsid w:val="00E0562F"/>
    <w:rsid w:val="00E057D2"/>
    <w:rsid w:val="00E057F6"/>
    <w:rsid w:val="00E05830"/>
    <w:rsid w:val="00E058CA"/>
    <w:rsid w:val="00E058CE"/>
    <w:rsid w:val="00E05B1B"/>
    <w:rsid w:val="00E05E8C"/>
    <w:rsid w:val="00E05EB9"/>
    <w:rsid w:val="00E05FB5"/>
    <w:rsid w:val="00E06186"/>
    <w:rsid w:val="00E061CD"/>
    <w:rsid w:val="00E0636A"/>
    <w:rsid w:val="00E0642C"/>
    <w:rsid w:val="00E06486"/>
    <w:rsid w:val="00E0653D"/>
    <w:rsid w:val="00E06580"/>
    <w:rsid w:val="00E06681"/>
    <w:rsid w:val="00E06806"/>
    <w:rsid w:val="00E06876"/>
    <w:rsid w:val="00E0688E"/>
    <w:rsid w:val="00E068CF"/>
    <w:rsid w:val="00E068F6"/>
    <w:rsid w:val="00E06927"/>
    <w:rsid w:val="00E06999"/>
    <w:rsid w:val="00E06A24"/>
    <w:rsid w:val="00E06C65"/>
    <w:rsid w:val="00E06DAE"/>
    <w:rsid w:val="00E06ED5"/>
    <w:rsid w:val="00E06EEB"/>
    <w:rsid w:val="00E06F07"/>
    <w:rsid w:val="00E06F44"/>
    <w:rsid w:val="00E06FA1"/>
    <w:rsid w:val="00E06FE2"/>
    <w:rsid w:val="00E070DC"/>
    <w:rsid w:val="00E072CF"/>
    <w:rsid w:val="00E07371"/>
    <w:rsid w:val="00E073BD"/>
    <w:rsid w:val="00E0744C"/>
    <w:rsid w:val="00E076B0"/>
    <w:rsid w:val="00E0776A"/>
    <w:rsid w:val="00E077F1"/>
    <w:rsid w:val="00E078BB"/>
    <w:rsid w:val="00E078FA"/>
    <w:rsid w:val="00E07925"/>
    <w:rsid w:val="00E07AC3"/>
    <w:rsid w:val="00E07B58"/>
    <w:rsid w:val="00E07C03"/>
    <w:rsid w:val="00E07CC0"/>
    <w:rsid w:val="00E07D9D"/>
    <w:rsid w:val="00E07EA2"/>
    <w:rsid w:val="00E07FAF"/>
    <w:rsid w:val="00E1002D"/>
    <w:rsid w:val="00E101C7"/>
    <w:rsid w:val="00E10236"/>
    <w:rsid w:val="00E10336"/>
    <w:rsid w:val="00E106AA"/>
    <w:rsid w:val="00E1079C"/>
    <w:rsid w:val="00E107AF"/>
    <w:rsid w:val="00E1086A"/>
    <w:rsid w:val="00E109FB"/>
    <w:rsid w:val="00E10A5E"/>
    <w:rsid w:val="00E10A94"/>
    <w:rsid w:val="00E10B5F"/>
    <w:rsid w:val="00E10BB5"/>
    <w:rsid w:val="00E10BFF"/>
    <w:rsid w:val="00E10C93"/>
    <w:rsid w:val="00E10C9E"/>
    <w:rsid w:val="00E10D4D"/>
    <w:rsid w:val="00E10DD2"/>
    <w:rsid w:val="00E10E5B"/>
    <w:rsid w:val="00E10E73"/>
    <w:rsid w:val="00E110D5"/>
    <w:rsid w:val="00E11133"/>
    <w:rsid w:val="00E1118E"/>
    <w:rsid w:val="00E1119E"/>
    <w:rsid w:val="00E11221"/>
    <w:rsid w:val="00E11249"/>
    <w:rsid w:val="00E11304"/>
    <w:rsid w:val="00E11320"/>
    <w:rsid w:val="00E113A6"/>
    <w:rsid w:val="00E11468"/>
    <w:rsid w:val="00E11658"/>
    <w:rsid w:val="00E116B3"/>
    <w:rsid w:val="00E1170C"/>
    <w:rsid w:val="00E117CD"/>
    <w:rsid w:val="00E11964"/>
    <w:rsid w:val="00E11983"/>
    <w:rsid w:val="00E11D83"/>
    <w:rsid w:val="00E11DB8"/>
    <w:rsid w:val="00E11DC0"/>
    <w:rsid w:val="00E11E42"/>
    <w:rsid w:val="00E12066"/>
    <w:rsid w:val="00E122D0"/>
    <w:rsid w:val="00E122DF"/>
    <w:rsid w:val="00E12336"/>
    <w:rsid w:val="00E1237F"/>
    <w:rsid w:val="00E1238D"/>
    <w:rsid w:val="00E123D7"/>
    <w:rsid w:val="00E12604"/>
    <w:rsid w:val="00E126E8"/>
    <w:rsid w:val="00E12955"/>
    <w:rsid w:val="00E12CC0"/>
    <w:rsid w:val="00E12CCC"/>
    <w:rsid w:val="00E12D2C"/>
    <w:rsid w:val="00E12D71"/>
    <w:rsid w:val="00E12E87"/>
    <w:rsid w:val="00E12EB6"/>
    <w:rsid w:val="00E12EDD"/>
    <w:rsid w:val="00E12F04"/>
    <w:rsid w:val="00E130A8"/>
    <w:rsid w:val="00E130F4"/>
    <w:rsid w:val="00E1324F"/>
    <w:rsid w:val="00E13254"/>
    <w:rsid w:val="00E133EB"/>
    <w:rsid w:val="00E133F6"/>
    <w:rsid w:val="00E133FB"/>
    <w:rsid w:val="00E13596"/>
    <w:rsid w:val="00E1360C"/>
    <w:rsid w:val="00E13671"/>
    <w:rsid w:val="00E13892"/>
    <w:rsid w:val="00E138A6"/>
    <w:rsid w:val="00E138AD"/>
    <w:rsid w:val="00E138F4"/>
    <w:rsid w:val="00E1391C"/>
    <w:rsid w:val="00E13B81"/>
    <w:rsid w:val="00E13B94"/>
    <w:rsid w:val="00E13BFC"/>
    <w:rsid w:val="00E13C45"/>
    <w:rsid w:val="00E13F29"/>
    <w:rsid w:val="00E13FD0"/>
    <w:rsid w:val="00E13FFE"/>
    <w:rsid w:val="00E1410D"/>
    <w:rsid w:val="00E14226"/>
    <w:rsid w:val="00E142F0"/>
    <w:rsid w:val="00E14343"/>
    <w:rsid w:val="00E14419"/>
    <w:rsid w:val="00E14700"/>
    <w:rsid w:val="00E14799"/>
    <w:rsid w:val="00E14951"/>
    <w:rsid w:val="00E149DD"/>
    <w:rsid w:val="00E149EB"/>
    <w:rsid w:val="00E149FB"/>
    <w:rsid w:val="00E14A16"/>
    <w:rsid w:val="00E14A7D"/>
    <w:rsid w:val="00E14C4C"/>
    <w:rsid w:val="00E14C52"/>
    <w:rsid w:val="00E14CF3"/>
    <w:rsid w:val="00E14D01"/>
    <w:rsid w:val="00E14D0F"/>
    <w:rsid w:val="00E14D21"/>
    <w:rsid w:val="00E14D6A"/>
    <w:rsid w:val="00E14E80"/>
    <w:rsid w:val="00E14F72"/>
    <w:rsid w:val="00E15016"/>
    <w:rsid w:val="00E15018"/>
    <w:rsid w:val="00E15030"/>
    <w:rsid w:val="00E151E9"/>
    <w:rsid w:val="00E153B0"/>
    <w:rsid w:val="00E157A0"/>
    <w:rsid w:val="00E15967"/>
    <w:rsid w:val="00E15A2C"/>
    <w:rsid w:val="00E15A60"/>
    <w:rsid w:val="00E15A8C"/>
    <w:rsid w:val="00E15AC6"/>
    <w:rsid w:val="00E15B14"/>
    <w:rsid w:val="00E15B40"/>
    <w:rsid w:val="00E15BBE"/>
    <w:rsid w:val="00E15C2E"/>
    <w:rsid w:val="00E15C3D"/>
    <w:rsid w:val="00E15D6B"/>
    <w:rsid w:val="00E15D7F"/>
    <w:rsid w:val="00E15E00"/>
    <w:rsid w:val="00E15EB9"/>
    <w:rsid w:val="00E15FA1"/>
    <w:rsid w:val="00E15FC1"/>
    <w:rsid w:val="00E161E2"/>
    <w:rsid w:val="00E162B4"/>
    <w:rsid w:val="00E16323"/>
    <w:rsid w:val="00E163FA"/>
    <w:rsid w:val="00E163FB"/>
    <w:rsid w:val="00E16452"/>
    <w:rsid w:val="00E1647B"/>
    <w:rsid w:val="00E164BC"/>
    <w:rsid w:val="00E16525"/>
    <w:rsid w:val="00E1659F"/>
    <w:rsid w:val="00E166B9"/>
    <w:rsid w:val="00E166E1"/>
    <w:rsid w:val="00E1671E"/>
    <w:rsid w:val="00E16859"/>
    <w:rsid w:val="00E16872"/>
    <w:rsid w:val="00E1691C"/>
    <w:rsid w:val="00E16947"/>
    <w:rsid w:val="00E169C8"/>
    <w:rsid w:val="00E16AAE"/>
    <w:rsid w:val="00E16B0F"/>
    <w:rsid w:val="00E16BD9"/>
    <w:rsid w:val="00E16C24"/>
    <w:rsid w:val="00E16C5B"/>
    <w:rsid w:val="00E16CB0"/>
    <w:rsid w:val="00E16CB1"/>
    <w:rsid w:val="00E16D20"/>
    <w:rsid w:val="00E16D24"/>
    <w:rsid w:val="00E16DAA"/>
    <w:rsid w:val="00E16E51"/>
    <w:rsid w:val="00E16E89"/>
    <w:rsid w:val="00E16EBD"/>
    <w:rsid w:val="00E16F79"/>
    <w:rsid w:val="00E17018"/>
    <w:rsid w:val="00E17023"/>
    <w:rsid w:val="00E17096"/>
    <w:rsid w:val="00E1713F"/>
    <w:rsid w:val="00E171E2"/>
    <w:rsid w:val="00E172B7"/>
    <w:rsid w:val="00E172C1"/>
    <w:rsid w:val="00E1731A"/>
    <w:rsid w:val="00E17551"/>
    <w:rsid w:val="00E17661"/>
    <w:rsid w:val="00E17851"/>
    <w:rsid w:val="00E17854"/>
    <w:rsid w:val="00E178C0"/>
    <w:rsid w:val="00E178D5"/>
    <w:rsid w:val="00E1794D"/>
    <w:rsid w:val="00E17982"/>
    <w:rsid w:val="00E17A73"/>
    <w:rsid w:val="00E17A9B"/>
    <w:rsid w:val="00E17AA7"/>
    <w:rsid w:val="00E17B4B"/>
    <w:rsid w:val="00E17D59"/>
    <w:rsid w:val="00E17D61"/>
    <w:rsid w:val="00E17DB5"/>
    <w:rsid w:val="00E17E67"/>
    <w:rsid w:val="00E17EA7"/>
    <w:rsid w:val="00E17EE5"/>
    <w:rsid w:val="00E17EEB"/>
    <w:rsid w:val="00E17F9E"/>
    <w:rsid w:val="00E17FF3"/>
    <w:rsid w:val="00E20046"/>
    <w:rsid w:val="00E20335"/>
    <w:rsid w:val="00E2065F"/>
    <w:rsid w:val="00E206E4"/>
    <w:rsid w:val="00E207CE"/>
    <w:rsid w:val="00E20944"/>
    <w:rsid w:val="00E209EC"/>
    <w:rsid w:val="00E20A53"/>
    <w:rsid w:val="00E20AC2"/>
    <w:rsid w:val="00E20B0C"/>
    <w:rsid w:val="00E20B2A"/>
    <w:rsid w:val="00E20CA4"/>
    <w:rsid w:val="00E20D03"/>
    <w:rsid w:val="00E20D6A"/>
    <w:rsid w:val="00E20D6E"/>
    <w:rsid w:val="00E20EB2"/>
    <w:rsid w:val="00E20ED6"/>
    <w:rsid w:val="00E20F8B"/>
    <w:rsid w:val="00E21038"/>
    <w:rsid w:val="00E2104F"/>
    <w:rsid w:val="00E21060"/>
    <w:rsid w:val="00E2110E"/>
    <w:rsid w:val="00E212DC"/>
    <w:rsid w:val="00E2134B"/>
    <w:rsid w:val="00E21438"/>
    <w:rsid w:val="00E214A2"/>
    <w:rsid w:val="00E21612"/>
    <w:rsid w:val="00E21860"/>
    <w:rsid w:val="00E2187C"/>
    <w:rsid w:val="00E218D0"/>
    <w:rsid w:val="00E21929"/>
    <w:rsid w:val="00E21940"/>
    <w:rsid w:val="00E219A8"/>
    <w:rsid w:val="00E21B0C"/>
    <w:rsid w:val="00E21B66"/>
    <w:rsid w:val="00E21B6F"/>
    <w:rsid w:val="00E21BD9"/>
    <w:rsid w:val="00E21BEF"/>
    <w:rsid w:val="00E21C4A"/>
    <w:rsid w:val="00E21E6F"/>
    <w:rsid w:val="00E21E81"/>
    <w:rsid w:val="00E21EAC"/>
    <w:rsid w:val="00E21FE1"/>
    <w:rsid w:val="00E22046"/>
    <w:rsid w:val="00E220B9"/>
    <w:rsid w:val="00E22132"/>
    <w:rsid w:val="00E222F8"/>
    <w:rsid w:val="00E22379"/>
    <w:rsid w:val="00E223F1"/>
    <w:rsid w:val="00E2240C"/>
    <w:rsid w:val="00E225AF"/>
    <w:rsid w:val="00E2264C"/>
    <w:rsid w:val="00E22651"/>
    <w:rsid w:val="00E226BD"/>
    <w:rsid w:val="00E226D7"/>
    <w:rsid w:val="00E22707"/>
    <w:rsid w:val="00E22720"/>
    <w:rsid w:val="00E228D0"/>
    <w:rsid w:val="00E228EE"/>
    <w:rsid w:val="00E22937"/>
    <w:rsid w:val="00E2297B"/>
    <w:rsid w:val="00E22A9A"/>
    <w:rsid w:val="00E22B4E"/>
    <w:rsid w:val="00E22E2E"/>
    <w:rsid w:val="00E22E4E"/>
    <w:rsid w:val="00E22E6A"/>
    <w:rsid w:val="00E230D3"/>
    <w:rsid w:val="00E23189"/>
    <w:rsid w:val="00E232B3"/>
    <w:rsid w:val="00E232C7"/>
    <w:rsid w:val="00E23379"/>
    <w:rsid w:val="00E2344E"/>
    <w:rsid w:val="00E2353E"/>
    <w:rsid w:val="00E235AB"/>
    <w:rsid w:val="00E235B7"/>
    <w:rsid w:val="00E235C8"/>
    <w:rsid w:val="00E236C6"/>
    <w:rsid w:val="00E23724"/>
    <w:rsid w:val="00E23858"/>
    <w:rsid w:val="00E238A0"/>
    <w:rsid w:val="00E2399E"/>
    <w:rsid w:val="00E239B0"/>
    <w:rsid w:val="00E23A86"/>
    <w:rsid w:val="00E23A9A"/>
    <w:rsid w:val="00E23AA8"/>
    <w:rsid w:val="00E23B00"/>
    <w:rsid w:val="00E23B0D"/>
    <w:rsid w:val="00E23CDE"/>
    <w:rsid w:val="00E23E24"/>
    <w:rsid w:val="00E23E9C"/>
    <w:rsid w:val="00E23FA1"/>
    <w:rsid w:val="00E24177"/>
    <w:rsid w:val="00E241E9"/>
    <w:rsid w:val="00E24314"/>
    <w:rsid w:val="00E243C5"/>
    <w:rsid w:val="00E243E1"/>
    <w:rsid w:val="00E24575"/>
    <w:rsid w:val="00E245F3"/>
    <w:rsid w:val="00E24687"/>
    <w:rsid w:val="00E246E3"/>
    <w:rsid w:val="00E246F2"/>
    <w:rsid w:val="00E24728"/>
    <w:rsid w:val="00E24873"/>
    <w:rsid w:val="00E248B3"/>
    <w:rsid w:val="00E2491D"/>
    <w:rsid w:val="00E24929"/>
    <w:rsid w:val="00E24997"/>
    <w:rsid w:val="00E24999"/>
    <w:rsid w:val="00E24B21"/>
    <w:rsid w:val="00E24B93"/>
    <w:rsid w:val="00E24D13"/>
    <w:rsid w:val="00E24EAF"/>
    <w:rsid w:val="00E24EFB"/>
    <w:rsid w:val="00E24F28"/>
    <w:rsid w:val="00E24FF0"/>
    <w:rsid w:val="00E250AF"/>
    <w:rsid w:val="00E250E7"/>
    <w:rsid w:val="00E25109"/>
    <w:rsid w:val="00E25153"/>
    <w:rsid w:val="00E25289"/>
    <w:rsid w:val="00E25298"/>
    <w:rsid w:val="00E254C5"/>
    <w:rsid w:val="00E25542"/>
    <w:rsid w:val="00E2554D"/>
    <w:rsid w:val="00E25650"/>
    <w:rsid w:val="00E256E7"/>
    <w:rsid w:val="00E2594B"/>
    <w:rsid w:val="00E25960"/>
    <w:rsid w:val="00E259F7"/>
    <w:rsid w:val="00E25A53"/>
    <w:rsid w:val="00E25B38"/>
    <w:rsid w:val="00E25C94"/>
    <w:rsid w:val="00E25D15"/>
    <w:rsid w:val="00E25DDA"/>
    <w:rsid w:val="00E25E50"/>
    <w:rsid w:val="00E26147"/>
    <w:rsid w:val="00E261D0"/>
    <w:rsid w:val="00E26345"/>
    <w:rsid w:val="00E26498"/>
    <w:rsid w:val="00E26539"/>
    <w:rsid w:val="00E26578"/>
    <w:rsid w:val="00E2657D"/>
    <w:rsid w:val="00E2658B"/>
    <w:rsid w:val="00E26622"/>
    <w:rsid w:val="00E266A2"/>
    <w:rsid w:val="00E267B4"/>
    <w:rsid w:val="00E269A2"/>
    <w:rsid w:val="00E269D9"/>
    <w:rsid w:val="00E26A91"/>
    <w:rsid w:val="00E26B44"/>
    <w:rsid w:val="00E26B72"/>
    <w:rsid w:val="00E26BAB"/>
    <w:rsid w:val="00E26BAC"/>
    <w:rsid w:val="00E26CC3"/>
    <w:rsid w:val="00E26DA5"/>
    <w:rsid w:val="00E26E92"/>
    <w:rsid w:val="00E2701C"/>
    <w:rsid w:val="00E27096"/>
    <w:rsid w:val="00E271E0"/>
    <w:rsid w:val="00E27391"/>
    <w:rsid w:val="00E274A7"/>
    <w:rsid w:val="00E274CF"/>
    <w:rsid w:val="00E2758C"/>
    <w:rsid w:val="00E27682"/>
    <w:rsid w:val="00E2768C"/>
    <w:rsid w:val="00E27740"/>
    <w:rsid w:val="00E27862"/>
    <w:rsid w:val="00E278DB"/>
    <w:rsid w:val="00E2791C"/>
    <w:rsid w:val="00E27956"/>
    <w:rsid w:val="00E279FD"/>
    <w:rsid w:val="00E27B41"/>
    <w:rsid w:val="00E27BB5"/>
    <w:rsid w:val="00E27BD9"/>
    <w:rsid w:val="00E27C87"/>
    <w:rsid w:val="00E27CE9"/>
    <w:rsid w:val="00E27E0A"/>
    <w:rsid w:val="00E300A1"/>
    <w:rsid w:val="00E300F5"/>
    <w:rsid w:val="00E304BD"/>
    <w:rsid w:val="00E305AB"/>
    <w:rsid w:val="00E305D6"/>
    <w:rsid w:val="00E30657"/>
    <w:rsid w:val="00E306AB"/>
    <w:rsid w:val="00E306D3"/>
    <w:rsid w:val="00E3078B"/>
    <w:rsid w:val="00E307B1"/>
    <w:rsid w:val="00E307B4"/>
    <w:rsid w:val="00E307D6"/>
    <w:rsid w:val="00E30861"/>
    <w:rsid w:val="00E3089C"/>
    <w:rsid w:val="00E308BD"/>
    <w:rsid w:val="00E308F6"/>
    <w:rsid w:val="00E3092C"/>
    <w:rsid w:val="00E30973"/>
    <w:rsid w:val="00E30993"/>
    <w:rsid w:val="00E309C6"/>
    <w:rsid w:val="00E30A07"/>
    <w:rsid w:val="00E30AA8"/>
    <w:rsid w:val="00E30B71"/>
    <w:rsid w:val="00E30CAA"/>
    <w:rsid w:val="00E30E26"/>
    <w:rsid w:val="00E30E58"/>
    <w:rsid w:val="00E31054"/>
    <w:rsid w:val="00E310CB"/>
    <w:rsid w:val="00E31133"/>
    <w:rsid w:val="00E31164"/>
    <w:rsid w:val="00E311D3"/>
    <w:rsid w:val="00E31237"/>
    <w:rsid w:val="00E31505"/>
    <w:rsid w:val="00E315A7"/>
    <w:rsid w:val="00E315B3"/>
    <w:rsid w:val="00E315ED"/>
    <w:rsid w:val="00E3173C"/>
    <w:rsid w:val="00E31772"/>
    <w:rsid w:val="00E31777"/>
    <w:rsid w:val="00E31786"/>
    <w:rsid w:val="00E317B9"/>
    <w:rsid w:val="00E3182B"/>
    <w:rsid w:val="00E3188F"/>
    <w:rsid w:val="00E318A2"/>
    <w:rsid w:val="00E318CB"/>
    <w:rsid w:val="00E3198D"/>
    <w:rsid w:val="00E319F6"/>
    <w:rsid w:val="00E319F8"/>
    <w:rsid w:val="00E31A56"/>
    <w:rsid w:val="00E31A7D"/>
    <w:rsid w:val="00E31AA3"/>
    <w:rsid w:val="00E31AB6"/>
    <w:rsid w:val="00E31AC8"/>
    <w:rsid w:val="00E31AE8"/>
    <w:rsid w:val="00E31B7E"/>
    <w:rsid w:val="00E31B89"/>
    <w:rsid w:val="00E31C15"/>
    <w:rsid w:val="00E31E50"/>
    <w:rsid w:val="00E31F1A"/>
    <w:rsid w:val="00E31FEB"/>
    <w:rsid w:val="00E32006"/>
    <w:rsid w:val="00E320C0"/>
    <w:rsid w:val="00E3211F"/>
    <w:rsid w:val="00E32123"/>
    <w:rsid w:val="00E322D1"/>
    <w:rsid w:val="00E3232C"/>
    <w:rsid w:val="00E323A7"/>
    <w:rsid w:val="00E323EA"/>
    <w:rsid w:val="00E3244F"/>
    <w:rsid w:val="00E324BE"/>
    <w:rsid w:val="00E32564"/>
    <w:rsid w:val="00E32652"/>
    <w:rsid w:val="00E327D8"/>
    <w:rsid w:val="00E32A3A"/>
    <w:rsid w:val="00E32A41"/>
    <w:rsid w:val="00E32AE2"/>
    <w:rsid w:val="00E32B5F"/>
    <w:rsid w:val="00E32C75"/>
    <w:rsid w:val="00E32F3D"/>
    <w:rsid w:val="00E32FA6"/>
    <w:rsid w:val="00E33060"/>
    <w:rsid w:val="00E3317A"/>
    <w:rsid w:val="00E3333B"/>
    <w:rsid w:val="00E33397"/>
    <w:rsid w:val="00E333A5"/>
    <w:rsid w:val="00E33442"/>
    <w:rsid w:val="00E3357E"/>
    <w:rsid w:val="00E3362C"/>
    <w:rsid w:val="00E336DC"/>
    <w:rsid w:val="00E338E8"/>
    <w:rsid w:val="00E339F5"/>
    <w:rsid w:val="00E33A28"/>
    <w:rsid w:val="00E33BEF"/>
    <w:rsid w:val="00E33CEF"/>
    <w:rsid w:val="00E33D6C"/>
    <w:rsid w:val="00E33E19"/>
    <w:rsid w:val="00E33FBE"/>
    <w:rsid w:val="00E34012"/>
    <w:rsid w:val="00E34172"/>
    <w:rsid w:val="00E341D2"/>
    <w:rsid w:val="00E34255"/>
    <w:rsid w:val="00E343AB"/>
    <w:rsid w:val="00E34747"/>
    <w:rsid w:val="00E3495D"/>
    <w:rsid w:val="00E349BB"/>
    <w:rsid w:val="00E34C5D"/>
    <w:rsid w:val="00E34D31"/>
    <w:rsid w:val="00E34D49"/>
    <w:rsid w:val="00E34D7E"/>
    <w:rsid w:val="00E34EDE"/>
    <w:rsid w:val="00E34F22"/>
    <w:rsid w:val="00E35234"/>
    <w:rsid w:val="00E352AA"/>
    <w:rsid w:val="00E352B4"/>
    <w:rsid w:val="00E3531A"/>
    <w:rsid w:val="00E35324"/>
    <w:rsid w:val="00E353E9"/>
    <w:rsid w:val="00E35528"/>
    <w:rsid w:val="00E35591"/>
    <w:rsid w:val="00E355C2"/>
    <w:rsid w:val="00E35674"/>
    <w:rsid w:val="00E356E4"/>
    <w:rsid w:val="00E3571F"/>
    <w:rsid w:val="00E3583D"/>
    <w:rsid w:val="00E3592A"/>
    <w:rsid w:val="00E35953"/>
    <w:rsid w:val="00E359A2"/>
    <w:rsid w:val="00E359CB"/>
    <w:rsid w:val="00E35A11"/>
    <w:rsid w:val="00E35A96"/>
    <w:rsid w:val="00E35BAC"/>
    <w:rsid w:val="00E35BB3"/>
    <w:rsid w:val="00E35C10"/>
    <w:rsid w:val="00E35CA1"/>
    <w:rsid w:val="00E35D38"/>
    <w:rsid w:val="00E35D7D"/>
    <w:rsid w:val="00E35DB9"/>
    <w:rsid w:val="00E35E99"/>
    <w:rsid w:val="00E35F03"/>
    <w:rsid w:val="00E361C7"/>
    <w:rsid w:val="00E36231"/>
    <w:rsid w:val="00E36895"/>
    <w:rsid w:val="00E36A17"/>
    <w:rsid w:val="00E36A3C"/>
    <w:rsid w:val="00E36B26"/>
    <w:rsid w:val="00E36B6C"/>
    <w:rsid w:val="00E36BD7"/>
    <w:rsid w:val="00E36C26"/>
    <w:rsid w:val="00E36CE3"/>
    <w:rsid w:val="00E36D9F"/>
    <w:rsid w:val="00E36E80"/>
    <w:rsid w:val="00E36F0A"/>
    <w:rsid w:val="00E36F1A"/>
    <w:rsid w:val="00E36F28"/>
    <w:rsid w:val="00E37030"/>
    <w:rsid w:val="00E3742F"/>
    <w:rsid w:val="00E37508"/>
    <w:rsid w:val="00E376AE"/>
    <w:rsid w:val="00E37794"/>
    <w:rsid w:val="00E377CD"/>
    <w:rsid w:val="00E378E1"/>
    <w:rsid w:val="00E378E5"/>
    <w:rsid w:val="00E378E8"/>
    <w:rsid w:val="00E3790F"/>
    <w:rsid w:val="00E37995"/>
    <w:rsid w:val="00E37A04"/>
    <w:rsid w:val="00E37A61"/>
    <w:rsid w:val="00E37A8E"/>
    <w:rsid w:val="00E37B54"/>
    <w:rsid w:val="00E37C32"/>
    <w:rsid w:val="00E37C69"/>
    <w:rsid w:val="00E37D4D"/>
    <w:rsid w:val="00E37DC4"/>
    <w:rsid w:val="00E37DDF"/>
    <w:rsid w:val="00E37E23"/>
    <w:rsid w:val="00E37E87"/>
    <w:rsid w:val="00E37EC4"/>
    <w:rsid w:val="00E37FA1"/>
    <w:rsid w:val="00E40045"/>
    <w:rsid w:val="00E4009E"/>
    <w:rsid w:val="00E40361"/>
    <w:rsid w:val="00E40383"/>
    <w:rsid w:val="00E403BE"/>
    <w:rsid w:val="00E40470"/>
    <w:rsid w:val="00E405C8"/>
    <w:rsid w:val="00E406F7"/>
    <w:rsid w:val="00E40707"/>
    <w:rsid w:val="00E40711"/>
    <w:rsid w:val="00E40792"/>
    <w:rsid w:val="00E40984"/>
    <w:rsid w:val="00E40B0F"/>
    <w:rsid w:val="00E40B2B"/>
    <w:rsid w:val="00E40B3F"/>
    <w:rsid w:val="00E40BE2"/>
    <w:rsid w:val="00E40C53"/>
    <w:rsid w:val="00E40C5E"/>
    <w:rsid w:val="00E40CF9"/>
    <w:rsid w:val="00E40ED2"/>
    <w:rsid w:val="00E410B7"/>
    <w:rsid w:val="00E410D8"/>
    <w:rsid w:val="00E410EE"/>
    <w:rsid w:val="00E41192"/>
    <w:rsid w:val="00E41364"/>
    <w:rsid w:val="00E4139B"/>
    <w:rsid w:val="00E413FD"/>
    <w:rsid w:val="00E4142E"/>
    <w:rsid w:val="00E414EA"/>
    <w:rsid w:val="00E4150B"/>
    <w:rsid w:val="00E4157A"/>
    <w:rsid w:val="00E415EC"/>
    <w:rsid w:val="00E416D6"/>
    <w:rsid w:val="00E417EB"/>
    <w:rsid w:val="00E419DF"/>
    <w:rsid w:val="00E41BB5"/>
    <w:rsid w:val="00E41C5F"/>
    <w:rsid w:val="00E41C90"/>
    <w:rsid w:val="00E41D4D"/>
    <w:rsid w:val="00E41DE5"/>
    <w:rsid w:val="00E41E3B"/>
    <w:rsid w:val="00E42178"/>
    <w:rsid w:val="00E421E6"/>
    <w:rsid w:val="00E422C0"/>
    <w:rsid w:val="00E422E1"/>
    <w:rsid w:val="00E42316"/>
    <w:rsid w:val="00E4240F"/>
    <w:rsid w:val="00E424A7"/>
    <w:rsid w:val="00E424CC"/>
    <w:rsid w:val="00E42532"/>
    <w:rsid w:val="00E425A0"/>
    <w:rsid w:val="00E4266F"/>
    <w:rsid w:val="00E4268A"/>
    <w:rsid w:val="00E42698"/>
    <w:rsid w:val="00E42704"/>
    <w:rsid w:val="00E427B9"/>
    <w:rsid w:val="00E428DE"/>
    <w:rsid w:val="00E42908"/>
    <w:rsid w:val="00E4293C"/>
    <w:rsid w:val="00E42B22"/>
    <w:rsid w:val="00E42B69"/>
    <w:rsid w:val="00E42BF0"/>
    <w:rsid w:val="00E42C23"/>
    <w:rsid w:val="00E42C65"/>
    <w:rsid w:val="00E42DE7"/>
    <w:rsid w:val="00E42F0B"/>
    <w:rsid w:val="00E43023"/>
    <w:rsid w:val="00E43049"/>
    <w:rsid w:val="00E4309A"/>
    <w:rsid w:val="00E431AB"/>
    <w:rsid w:val="00E4332C"/>
    <w:rsid w:val="00E433E5"/>
    <w:rsid w:val="00E434B7"/>
    <w:rsid w:val="00E436E7"/>
    <w:rsid w:val="00E43B87"/>
    <w:rsid w:val="00E43DFD"/>
    <w:rsid w:val="00E43E1A"/>
    <w:rsid w:val="00E44134"/>
    <w:rsid w:val="00E44165"/>
    <w:rsid w:val="00E44269"/>
    <w:rsid w:val="00E442F5"/>
    <w:rsid w:val="00E44342"/>
    <w:rsid w:val="00E443B2"/>
    <w:rsid w:val="00E443E8"/>
    <w:rsid w:val="00E44447"/>
    <w:rsid w:val="00E44506"/>
    <w:rsid w:val="00E4452E"/>
    <w:rsid w:val="00E4459A"/>
    <w:rsid w:val="00E445E6"/>
    <w:rsid w:val="00E4470F"/>
    <w:rsid w:val="00E44714"/>
    <w:rsid w:val="00E44742"/>
    <w:rsid w:val="00E44779"/>
    <w:rsid w:val="00E448AB"/>
    <w:rsid w:val="00E44A14"/>
    <w:rsid w:val="00E44A6D"/>
    <w:rsid w:val="00E44BD3"/>
    <w:rsid w:val="00E44BF1"/>
    <w:rsid w:val="00E44C9C"/>
    <w:rsid w:val="00E44CB5"/>
    <w:rsid w:val="00E44D1A"/>
    <w:rsid w:val="00E44DE6"/>
    <w:rsid w:val="00E44EDD"/>
    <w:rsid w:val="00E44F28"/>
    <w:rsid w:val="00E44F7A"/>
    <w:rsid w:val="00E450EF"/>
    <w:rsid w:val="00E4514A"/>
    <w:rsid w:val="00E451D1"/>
    <w:rsid w:val="00E45298"/>
    <w:rsid w:val="00E452C8"/>
    <w:rsid w:val="00E453B2"/>
    <w:rsid w:val="00E453F0"/>
    <w:rsid w:val="00E454DD"/>
    <w:rsid w:val="00E45507"/>
    <w:rsid w:val="00E45508"/>
    <w:rsid w:val="00E4551B"/>
    <w:rsid w:val="00E45582"/>
    <w:rsid w:val="00E45799"/>
    <w:rsid w:val="00E4584B"/>
    <w:rsid w:val="00E4586B"/>
    <w:rsid w:val="00E45896"/>
    <w:rsid w:val="00E45957"/>
    <w:rsid w:val="00E45B7D"/>
    <w:rsid w:val="00E45D29"/>
    <w:rsid w:val="00E45DD8"/>
    <w:rsid w:val="00E45E58"/>
    <w:rsid w:val="00E45EEB"/>
    <w:rsid w:val="00E45F74"/>
    <w:rsid w:val="00E45F92"/>
    <w:rsid w:val="00E46019"/>
    <w:rsid w:val="00E46109"/>
    <w:rsid w:val="00E4616D"/>
    <w:rsid w:val="00E46270"/>
    <w:rsid w:val="00E46344"/>
    <w:rsid w:val="00E463A5"/>
    <w:rsid w:val="00E464FE"/>
    <w:rsid w:val="00E465B8"/>
    <w:rsid w:val="00E46641"/>
    <w:rsid w:val="00E4678F"/>
    <w:rsid w:val="00E4679B"/>
    <w:rsid w:val="00E467FF"/>
    <w:rsid w:val="00E46824"/>
    <w:rsid w:val="00E4687D"/>
    <w:rsid w:val="00E468B6"/>
    <w:rsid w:val="00E468C6"/>
    <w:rsid w:val="00E46926"/>
    <w:rsid w:val="00E469A3"/>
    <w:rsid w:val="00E46CDF"/>
    <w:rsid w:val="00E46EBD"/>
    <w:rsid w:val="00E46FE3"/>
    <w:rsid w:val="00E470D5"/>
    <w:rsid w:val="00E47194"/>
    <w:rsid w:val="00E4736E"/>
    <w:rsid w:val="00E473DD"/>
    <w:rsid w:val="00E47405"/>
    <w:rsid w:val="00E4749F"/>
    <w:rsid w:val="00E476A9"/>
    <w:rsid w:val="00E47882"/>
    <w:rsid w:val="00E478FC"/>
    <w:rsid w:val="00E479B1"/>
    <w:rsid w:val="00E47B1D"/>
    <w:rsid w:val="00E47C3A"/>
    <w:rsid w:val="00E47CD7"/>
    <w:rsid w:val="00E5004B"/>
    <w:rsid w:val="00E50059"/>
    <w:rsid w:val="00E50065"/>
    <w:rsid w:val="00E500DB"/>
    <w:rsid w:val="00E503BF"/>
    <w:rsid w:val="00E50550"/>
    <w:rsid w:val="00E50628"/>
    <w:rsid w:val="00E506BC"/>
    <w:rsid w:val="00E50768"/>
    <w:rsid w:val="00E50772"/>
    <w:rsid w:val="00E507DF"/>
    <w:rsid w:val="00E50885"/>
    <w:rsid w:val="00E50998"/>
    <w:rsid w:val="00E50B57"/>
    <w:rsid w:val="00E50BDC"/>
    <w:rsid w:val="00E50C81"/>
    <w:rsid w:val="00E50F0D"/>
    <w:rsid w:val="00E50F6E"/>
    <w:rsid w:val="00E5109E"/>
    <w:rsid w:val="00E510B1"/>
    <w:rsid w:val="00E510D0"/>
    <w:rsid w:val="00E510EE"/>
    <w:rsid w:val="00E51190"/>
    <w:rsid w:val="00E5120E"/>
    <w:rsid w:val="00E5133B"/>
    <w:rsid w:val="00E514CF"/>
    <w:rsid w:val="00E51502"/>
    <w:rsid w:val="00E51534"/>
    <w:rsid w:val="00E5154E"/>
    <w:rsid w:val="00E515B1"/>
    <w:rsid w:val="00E51631"/>
    <w:rsid w:val="00E51646"/>
    <w:rsid w:val="00E51665"/>
    <w:rsid w:val="00E518AD"/>
    <w:rsid w:val="00E51907"/>
    <w:rsid w:val="00E51952"/>
    <w:rsid w:val="00E51986"/>
    <w:rsid w:val="00E519EE"/>
    <w:rsid w:val="00E51A00"/>
    <w:rsid w:val="00E51A5C"/>
    <w:rsid w:val="00E51A70"/>
    <w:rsid w:val="00E51ADF"/>
    <w:rsid w:val="00E51AED"/>
    <w:rsid w:val="00E51B32"/>
    <w:rsid w:val="00E51B62"/>
    <w:rsid w:val="00E51C2B"/>
    <w:rsid w:val="00E51D2F"/>
    <w:rsid w:val="00E51DB6"/>
    <w:rsid w:val="00E51F08"/>
    <w:rsid w:val="00E520D7"/>
    <w:rsid w:val="00E52407"/>
    <w:rsid w:val="00E5242C"/>
    <w:rsid w:val="00E524DF"/>
    <w:rsid w:val="00E524FD"/>
    <w:rsid w:val="00E5260C"/>
    <w:rsid w:val="00E526C2"/>
    <w:rsid w:val="00E52799"/>
    <w:rsid w:val="00E52841"/>
    <w:rsid w:val="00E528EF"/>
    <w:rsid w:val="00E52909"/>
    <w:rsid w:val="00E529FA"/>
    <w:rsid w:val="00E52A55"/>
    <w:rsid w:val="00E52C2D"/>
    <w:rsid w:val="00E52C85"/>
    <w:rsid w:val="00E52C93"/>
    <w:rsid w:val="00E52D46"/>
    <w:rsid w:val="00E52E05"/>
    <w:rsid w:val="00E52E93"/>
    <w:rsid w:val="00E52F14"/>
    <w:rsid w:val="00E52FF6"/>
    <w:rsid w:val="00E5307A"/>
    <w:rsid w:val="00E53198"/>
    <w:rsid w:val="00E531EE"/>
    <w:rsid w:val="00E532CC"/>
    <w:rsid w:val="00E532DF"/>
    <w:rsid w:val="00E53322"/>
    <w:rsid w:val="00E53398"/>
    <w:rsid w:val="00E53457"/>
    <w:rsid w:val="00E534B3"/>
    <w:rsid w:val="00E534C1"/>
    <w:rsid w:val="00E534E2"/>
    <w:rsid w:val="00E53532"/>
    <w:rsid w:val="00E5359A"/>
    <w:rsid w:val="00E53650"/>
    <w:rsid w:val="00E536D6"/>
    <w:rsid w:val="00E536F6"/>
    <w:rsid w:val="00E53841"/>
    <w:rsid w:val="00E538AD"/>
    <w:rsid w:val="00E53948"/>
    <w:rsid w:val="00E539D8"/>
    <w:rsid w:val="00E539F3"/>
    <w:rsid w:val="00E53AA5"/>
    <w:rsid w:val="00E53AD4"/>
    <w:rsid w:val="00E53B6F"/>
    <w:rsid w:val="00E53B75"/>
    <w:rsid w:val="00E53BA8"/>
    <w:rsid w:val="00E53D3D"/>
    <w:rsid w:val="00E53E36"/>
    <w:rsid w:val="00E53E7E"/>
    <w:rsid w:val="00E53EB7"/>
    <w:rsid w:val="00E53F9E"/>
    <w:rsid w:val="00E54066"/>
    <w:rsid w:val="00E540E1"/>
    <w:rsid w:val="00E54159"/>
    <w:rsid w:val="00E54185"/>
    <w:rsid w:val="00E54214"/>
    <w:rsid w:val="00E54248"/>
    <w:rsid w:val="00E5424D"/>
    <w:rsid w:val="00E54264"/>
    <w:rsid w:val="00E5439F"/>
    <w:rsid w:val="00E54436"/>
    <w:rsid w:val="00E546D8"/>
    <w:rsid w:val="00E5470A"/>
    <w:rsid w:val="00E54748"/>
    <w:rsid w:val="00E5474B"/>
    <w:rsid w:val="00E5476E"/>
    <w:rsid w:val="00E54884"/>
    <w:rsid w:val="00E54943"/>
    <w:rsid w:val="00E549A7"/>
    <w:rsid w:val="00E549DD"/>
    <w:rsid w:val="00E54A5B"/>
    <w:rsid w:val="00E54A70"/>
    <w:rsid w:val="00E54B0C"/>
    <w:rsid w:val="00E54BAA"/>
    <w:rsid w:val="00E54CCD"/>
    <w:rsid w:val="00E54D75"/>
    <w:rsid w:val="00E54DE9"/>
    <w:rsid w:val="00E54E12"/>
    <w:rsid w:val="00E54E1C"/>
    <w:rsid w:val="00E54FDD"/>
    <w:rsid w:val="00E5504B"/>
    <w:rsid w:val="00E55196"/>
    <w:rsid w:val="00E552DE"/>
    <w:rsid w:val="00E5532A"/>
    <w:rsid w:val="00E55332"/>
    <w:rsid w:val="00E5546A"/>
    <w:rsid w:val="00E5558E"/>
    <w:rsid w:val="00E55600"/>
    <w:rsid w:val="00E557AA"/>
    <w:rsid w:val="00E55816"/>
    <w:rsid w:val="00E55824"/>
    <w:rsid w:val="00E558B0"/>
    <w:rsid w:val="00E559AE"/>
    <w:rsid w:val="00E559FB"/>
    <w:rsid w:val="00E55A9C"/>
    <w:rsid w:val="00E55B5D"/>
    <w:rsid w:val="00E55B5F"/>
    <w:rsid w:val="00E55C75"/>
    <w:rsid w:val="00E55CB6"/>
    <w:rsid w:val="00E55D0A"/>
    <w:rsid w:val="00E55DF7"/>
    <w:rsid w:val="00E55EC4"/>
    <w:rsid w:val="00E55EF8"/>
    <w:rsid w:val="00E55F4C"/>
    <w:rsid w:val="00E55F68"/>
    <w:rsid w:val="00E56102"/>
    <w:rsid w:val="00E5613A"/>
    <w:rsid w:val="00E56166"/>
    <w:rsid w:val="00E56247"/>
    <w:rsid w:val="00E562D6"/>
    <w:rsid w:val="00E5631E"/>
    <w:rsid w:val="00E5642E"/>
    <w:rsid w:val="00E56510"/>
    <w:rsid w:val="00E56536"/>
    <w:rsid w:val="00E5675D"/>
    <w:rsid w:val="00E567E6"/>
    <w:rsid w:val="00E56979"/>
    <w:rsid w:val="00E5697D"/>
    <w:rsid w:val="00E56AE0"/>
    <w:rsid w:val="00E56AF7"/>
    <w:rsid w:val="00E56C0E"/>
    <w:rsid w:val="00E56DB6"/>
    <w:rsid w:val="00E56FCF"/>
    <w:rsid w:val="00E57201"/>
    <w:rsid w:val="00E57292"/>
    <w:rsid w:val="00E5739C"/>
    <w:rsid w:val="00E573B6"/>
    <w:rsid w:val="00E5740F"/>
    <w:rsid w:val="00E574A4"/>
    <w:rsid w:val="00E574D2"/>
    <w:rsid w:val="00E575C0"/>
    <w:rsid w:val="00E57753"/>
    <w:rsid w:val="00E57838"/>
    <w:rsid w:val="00E57944"/>
    <w:rsid w:val="00E57B14"/>
    <w:rsid w:val="00E57B80"/>
    <w:rsid w:val="00E57E5C"/>
    <w:rsid w:val="00E57F8B"/>
    <w:rsid w:val="00E57F92"/>
    <w:rsid w:val="00E600BE"/>
    <w:rsid w:val="00E60178"/>
    <w:rsid w:val="00E601A2"/>
    <w:rsid w:val="00E602A9"/>
    <w:rsid w:val="00E603D1"/>
    <w:rsid w:val="00E6077C"/>
    <w:rsid w:val="00E607BD"/>
    <w:rsid w:val="00E60846"/>
    <w:rsid w:val="00E608B4"/>
    <w:rsid w:val="00E608BB"/>
    <w:rsid w:val="00E608D3"/>
    <w:rsid w:val="00E609BA"/>
    <w:rsid w:val="00E60B40"/>
    <w:rsid w:val="00E60B90"/>
    <w:rsid w:val="00E60BDF"/>
    <w:rsid w:val="00E60CE2"/>
    <w:rsid w:val="00E60D29"/>
    <w:rsid w:val="00E60EA8"/>
    <w:rsid w:val="00E60F93"/>
    <w:rsid w:val="00E611F3"/>
    <w:rsid w:val="00E611FC"/>
    <w:rsid w:val="00E612D2"/>
    <w:rsid w:val="00E61318"/>
    <w:rsid w:val="00E61488"/>
    <w:rsid w:val="00E61548"/>
    <w:rsid w:val="00E61644"/>
    <w:rsid w:val="00E61694"/>
    <w:rsid w:val="00E616F0"/>
    <w:rsid w:val="00E617F5"/>
    <w:rsid w:val="00E61882"/>
    <w:rsid w:val="00E61960"/>
    <w:rsid w:val="00E61980"/>
    <w:rsid w:val="00E61B77"/>
    <w:rsid w:val="00E61CFA"/>
    <w:rsid w:val="00E61E13"/>
    <w:rsid w:val="00E61E2F"/>
    <w:rsid w:val="00E62174"/>
    <w:rsid w:val="00E62195"/>
    <w:rsid w:val="00E623B2"/>
    <w:rsid w:val="00E62468"/>
    <w:rsid w:val="00E6247F"/>
    <w:rsid w:val="00E625BE"/>
    <w:rsid w:val="00E625C0"/>
    <w:rsid w:val="00E625E9"/>
    <w:rsid w:val="00E62609"/>
    <w:rsid w:val="00E62715"/>
    <w:rsid w:val="00E6279C"/>
    <w:rsid w:val="00E627CB"/>
    <w:rsid w:val="00E628C1"/>
    <w:rsid w:val="00E62970"/>
    <w:rsid w:val="00E629DC"/>
    <w:rsid w:val="00E62A18"/>
    <w:rsid w:val="00E62A4D"/>
    <w:rsid w:val="00E62B70"/>
    <w:rsid w:val="00E62B7A"/>
    <w:rsid w:val="00E62BA3"/>
    <w:rsid w:val="00E62C52"/>
    <w:rsid w:val="00E62D00"/>
    <w:rsid w:val="00E62D96"/>
    <w:rsid w:val="00E62DB5"/>
    <w:rsid w:val="00E62DD8"/>
    <w:rsid w:val="00E62DFB"/>
    <w:rsid w:val="00E62E04"/>
    <w:rsid w:val="00E62EDE"/>
    <w:rsid w:val="00E63147"/>
    <w:rsid w:val="00E63158"/>
    <w:rsid w:val="00E6318F"/>
    <w:rsid w:val="00E63256"/>
    <w:rsid w:val="00E63278"/>
    <w:rsid w:val="00E633B8"/>
    <w:rsid w:val="00E6369F"/>
    <w:rsid w:val="00E637FA"/>
    <w:rsid w:val="00E638CE"/>
    <w:rsid w:val="00E639BD"/>
    <w:rsid w:val="00E63AFF"/>
    <w:rsid w:val="00E63B9B"/>
    <w:rsid w:val="00E63BA9"/>
    <w:rsid w:val="00E63C73"/>
    <w:rsid w:val="00E63DA4"/>
    <w:rsid w:val="00E63F32"/>
    <w:rsid w:val="00E6404A"/>
    <w:rsid w:val="00E64055"/>
    <w:rsid w:val="00E64088"/>
    <w:rsid w:val="00E641A7"/>
    <w:rsid w:val="00E641CD"/>
    <w:rsid w:val="00E64317"/>
    <w:rsid w:val="00E644FE"/>
    <w:rsid w:val="00E64522"/>
    <w:rsid w:val="00E64614"/>
    <w:rsid w:val="00E64637"/>
    <w:rsid w:val="00E6464D"/>
    <w:rsid w:val="00E64743"/>
    <w:rsid w:val="00E647A9"/>
    <w:rsid w:val="00E64A6D"/>
    <w:rsid w:val="00E64AB0"/>
    <w:rsid w:val="00E64B44"/>
    <w:rsid w:val="00E64F1A"/>
    <w:rsid w:val="00E64F82"/>
    <w:rsid w:val="00E64FF9"/>
    <w:rsid w:val="00E6502E"/>
    <w:rsid w:val="00E650B0"/>
    <w:rsid w:val="00E65247"/>
    <w:rsid w:val="00E652AC"/>
    <w:rsid w:val="00E65339"/>
    <w:rsid w:val="00E653C2"/>
    <w:rsid w:val="00E65647"/>
    <w:rsid w:val="00E656F6"/>
    <w:rsid w:val="00E65796"/>
    <w:rsid w:val="00E6582B"/>
    <w:rsid w:val="00E6586B"/>
    <w:rsid w:val="00E65A3C"/>
    <w:rsid w:val="00E65B52"/>
    <w:rsid w:val="00E65C78"/>
    <w:rsid w:val="00E65CD9"/>
    <w:rsid w:val="00E65D30"/>
    <w:rsid w:val="00E65D8F"/>
    <w:rsid w:val="00E65DD5"/>
    <w:rsid w:val="00E65FE4"/>
    <w:rsid w:val="00E660CE"/>
    <w:rsid w:val="00E66120"/>
    <w:rsid w:val="00E6612D"/>
    <w:rsid w:val="00E6624B"/>
    <w:rsid w:val="00E6629E"/>
    <w:rsid w:val="00E66309"/>
    <w:rsid w:val="00E6635B"/>
    <w:rsid w:val="00E66392"/>
    <w:rsid w:val="00E663B4"/>
    <w:rsid w:val="00E66427"/>
    <w:rsid w:val="00E66598"/>
    <w:rsid w:val="00E66678"/>
    <w:rsid w:val="00E6669C"/>
    <w:rsid w:val="00E6695B"/>
    <w:rsid w:val="00E669CF"/>
    <w:rsid w:val="00E66B15"/>
    <w:rsid w:val="00E66C74"/>
    <w:rsid w:val="00E66C7C"/>
    <w:rsid w:val="00E66CE3"/>
    <w:rsid w:val="00E66D2A"/>
    <w:rsid w:val="00E66DCB"/>
    <w:rsid w:val="00E66EBA"/>
    <w:rsid w:val="00E66EFF"/>
    <w:rsid w:val="00E67099"/>
    <w:rsid w:val="00E670F0"/>
    <w:rsid w:val="00E67104"/>
    <w:rsid w:val="00E67444"/>
    <w:rsid w:val="00E674E0"/>
    <w:rsid w:val="00E6757A"/>
    <w:rsid w:val="00E675A7"/>
    <w:rsid w:val="00E675D9"/>
    <w:rsid w:val="00E676B8"/>
    <w:rsid w:val="00E67759"/>
    <w:rsid w:val="00E67904"/>
    <w:rsid w:val="00E679E1"/>
    <w:rsid w:val="00E67A5D"/>
    <w:rsid w:val="00E67A7E"/>
    <w:rsid w:val="00E67BF5"/>
    <w:rsid w:val="00E67D81"/>
    <w:rsid w:val="00E67DF2"/>
    <w:rsid w:val="00E67E16"/>
    <w:rsid w:val="00E67E88"/>
    <w:rsid w:val="00E67F49"/>
    <w:rsid w:val="00E67F5C"/>
    <w:rsid w:val="00E67FBB"/>
    <w:rsid w:val="00E7015B"/>
    <w:rsid w:val="00E701C3"/>
    <w:rsid w:val="00E70213"/>
    <w:rsid w:val="00E702A5"/>
    <w:rsid w:val="00E7032B"/>
    <w:rsid w:val="00E70343"/>
    <w:rsid w:val="00E703A7"/>
    <w:rsid w:val="00E703D1"/>
    <w:rsid w:val="00E70496"/>
    <w:rsid w:val="00E70512"/>
    <w:rsid w:val="00E70640"/>
    <w:rsid w:val="00E70678"/>
    <w:rsid w:val="00E70735"/>
    <w:rsid w:val="00E70A56"/>
    <w:rsid w:val="00E70A7E"/>
    <w:rsid w:val="00E70AA8"/>
    <w:rsid w:val="00E70B5D"/>
    <w:rsid w:val="00E70C72"/>
    <w:rsid w:val="00E70CFD"/>
    <w:rsid w:val="00E70D03"/>
    <w:rsid w:val="00E70D13"/>
    <w:rsid w:val="00E70DD6"/>
    <w:rsid w:val="00E70E6D"/>
    <w:rsid w:val="00E70EE5"/>
    <w:rsid w:val="00E710CD"/>
    <w:rsid w:val="00E7110D"/>
    <w:rsid w:val="00E711E3"/>
    <w:rsid w:val="00E712AF"/>
    <w:rsid w:val="00E71303"/>
    <w:rsid w:val="00E7148E"/>
    <w:rsid w:val="00E71524"/>
    <w:rsid w:val="00E71567"/>
    <w:rsid w:val="00E71586"/>
    <w:rsid w:val="00E71588"/>
    <w:rsid w:val="00E715DB"/>
    <w:rsid w:val="00E7168C"/>
    <w:rsid w:val="00E716B5"/>
    <w:rsid w:val="00E717E0"/>
    <w:rsid w:val="00E71818"/>
    <w:rsid w:val="00E718F8"/>
    <w:rsid w:val="00E71932"/>
    <w:rsid w:val="00E71977"/>
    <w:rsid w:val="00E71A3F"/>
    <w:rsid w:val="00E71A6F"/>
    <w:rsid w:val="00E71C2F"/>
    <w:rsid w:val="00E71C4B"/>
    <w:rsid w:val="00E71DBE"/>
    <w:rsid w:val="00E71DD1"/>
    <w:rsid w:val="00E71E18"/>
    <w:rsid w:val="00E71E4B"/>
    <w:rsid w:val="00E71E96"/>
    <w:rsid w:val="00E71F4D"/>
    <w:rsid w:val="00E71FA0"/>
    <w:rsid w:val="00E71FDC"/>
    <w:rsid w:val="00E71FF6"/>
    <w:rsid w:val="00E7202D"/>
    <w:rsid w:val="00E72079"/>
    <w:rsid w:val="00E72090"/>
    <w:rsid w:val="00E72117"/>
    <w:rsid w:val="00E721BC"/>
    <w:rsid w:val="00E72679"/>
    <w:rsid w:val="00E7269B"/>
    <w:rsid w:val="00E7275E"/>
    <w:rsid w:val="00E727C9"/>
    <w:rsid w:val="00E728BF"/>
    <w:rsid w:val="00E728C8"/>
    <w:rsid w:val="00E728D7"/>
    <w:rsid w:val="00E728E9"/>
    <w:rsid w:val="00E72A90"/>
    <w:rsid w:val="00E72ADB"/>
    <w:rsid w:val="00E72BA7"/>
    <w:rsid w:val="00E72BEE"/>
    <w:rsid w:val="00E72C45"/>
    <w:rsid w:val="00E72C5E"/>
    <w:rsid w:val="00E72E65"/>
    <w:rsid w:val="00E72E68"/>
    <w:rsid w:val="00E72EC2"/>
    <w:rsid w:val="00E72EED"/>
    <w:rsid w:val="00E7306F"/>
    <w:rsid w:val="00E733DA"/>
    <w:rsid w:val="00E7350D"/>
    <w:rsid w:val="00E73528"/>
    <w:rsid w:val="00E73592"/>
    <w:rsid w:val="00E7363C"/>
    <w:rsid w:val="00E737E0"/>
    <w:rsid w:val="00E7389D"/>
    <w:rsid w:val="00E738C5"/>
    <w:rsid w:val="00E73916"/>
    <w:rsid w:val="00E7392D"/>
    <w:rsid w:val="00E73A14"/>
    <w:rsid w:val="00E73A1B"/>
    <w:rsid w:val="00E73AC6"/>
    <w:rsid w:val="00E73B98"/>
    <w:rsid w:val="00E73CBF"/>
    <w:rsid w:val="00E73D2A"/>
    <w:rsid w:val="00E73D3A"/>
    <w:rsid w:val="00E73E02"/>
    <w:rsid w:val="00E73EE7"/>
    <w:rsid w:val="00E73F19"/>
    <w:rsid w:val="00E73F69"/>
    <w:rsid w:val="00E73FAC"/>
    <w:rsid w:val="00E74743"/>
    <w:rsid w:val="00E748E9"/>
    <w:rsid w:val="00E74A99"/>
    <w:rsid w:val="00E74AE1"/>
    <w:rsid w:val="00E74B90"/>
    <w:rsid w:val="00E74C37"/>
    <w:rsid w:val="00E74C64"/>
    <w:rsid w:val="00E74D0C"/>
    <w:rsid w:val="00E74D36"/>
    <w:rsid w:val="00E74EE6"/>
    <w:rsid w:val="00E74F3D"/>
    <w:rsid w:val="00E74FD7"/>
    <w:rsid w:val="00E75229"/>
    <w:rsid w:val="00E75378"/>
    <w:rsid w:val="00E7549C"/>
    <w:rsid w:val="00E7568B"/>
    <w:rsid w:val="00E756D7"/>
    <w:rsid w:val="00E75789"/>
    <w:rsid w:val="00E75936"/>
    <w:rsid w:val="00E75A9E"/>
    <w:rsid w:val="00E75BB3"/>
    <w:rsid w:val="00E75C3D"/>
    <w:rsid w:val="00E75C94"/>
    <w:rsid w:val="00E75CC1"/>
    <w:rsid w:val="00E75E1A"/>
    <w:rsid w:val="00E75E6C"/>
    <w:rsid w:val="00E75FA1"/>
    <w:rsid w:val="00E76018"/>
    <w:rsid w:val="00E76189"/>
    <w:rsid w:val="00E761B7"/>
    <w:rsid w:val="00E76445"/>
    <w:rsid w:val="00E764AD"/>
    <w:rsid w:val="00E76527"/>
    <w:rsid w:val="00E76546"/>
    <w:rsid w:val="00E76570"/>
    <w:rsid w:val="00E765A8"/>
    <w:rsid w:val="00E7681F"/>
    <w:rsid w:val="00E76835"/>
    <w:rsid w:val="00E76963"/>
    <w:rsid w:val="00E769FA"/>
    <w:rsid w:val="00E76A3E"/>
    <w:rsid w:val="00E76A58"/>
    <w:rsid w:val="00E76BF0"/>
    <w:rsid w:val="00E76CA7"/>
    <w:rsid w:val="00E76F29"/>
    <w:rsid w:val="00E76F47"/>
    <w:rsid w:val="00E77015"/>
    <w:rsid w:val="00E7701E"/>
    <w:rsid w:val="00E77027"/>
    <w:rsid w:val="00E770E6"/>
    <w:rsid w:val="00E77281"/>
    <w:rsid w:val="00E772F1"/>
    <w:rsid w:val="00E7745E"/>
    <w:rsid w:val="00E774AA"/>
    <w:rsid w:val="00E77547"/>
    <w:rsid w:val="00E775A1"/>
    <w:rsid w:val="00E776CB"/>
    <w:rsid w:val="00E77861"/>
    <w:rsid w:val="00E778FF"/>
    <w:rsid w:val="00E7797F"/>
    <w:rsid w:val="00E779AD"/>
    <w:rsid w:val="00E779BB"/>
    <w:rsid w:val="00E77A2F"/>
    <w:rsid w:val="00E77A75"/>
    <w:rsid w:val="00E77C1C"/>
    <w:rsid w:val="00E77C99"/>
    <w:rsid w:val="00E77DF5"/>
    <w:rsid w:val="00E77F1F"/>
    <w:rsid w:val="00E800EC"/>
    <w:rsid w:val="00E8015D"/>
    <w:rsid w:val="00E80161"/>
    <w:rsid w:val="00E8022C"/>
    <w:rsid w:val="00E802D5"/>
    <w:rsid w:val="00E80316"/>
    <w:rsid w:val="00E80324"/>
    <w:rsid w:val="00E805B4"/>
    <w:rsid w:val="00E80651"/>
    <w:rsid w:val="00E80653"/>
    <w:rsid w:val="00E8071B"/>
    <w:rsid w:val="00E80732"/>
    <w:rsid w:val="00E8082A"/>
    <w:rsid w:val="00E8089B"/>
    <w:rsid w:val="00E80942"/>
    <w:rsid w:val="00E809AB"/>
    <w:rsid w:val="00E809E2"/>
    <w:rsid w:val="00E80A46"/>
    <w:rsid w:val="00E80A9E"/>
    <w:rsid w:val="00E80C47"/>
    <w:rsid w:val="00E80C85"/>
    <w:rsid w:val="00E80CED"/>
    <w:rsid w:val="00E80CFF"/>
    <w:rsid w:val="00E80D2A"/>
    <w:rsid w:val="00E80EDF"/>
    <w:rsid w:val="00E810A5"/>
    <w:rsid w:val="00E81228"/>
    <w:rsid w:val="00E8132A"/>
    <w:rsid w:val="00E813B5"/>
    <w:rsid w:val="00E81578"/>
    <w:rsid w:val="00E815E0"/>
    <w:rsid w:val="00E816FC"/>
    <w:rsid w:val="00E81737"/>
    <w:rsid w:val="00E8185B"/>
    <w:rsid w:val="00E81ADF"/>
    <w:rsid w:val="00E81AFD"/>
    <w:rsid w:val="00E81B28"/>
    <w:rsid w:val="00E81B35"/>
    <w:rsid w:val="00E81B5B"/>
    <w:rsid w:val="00E81CA0"/>
    <w:rsid w:val="00E81D1B"/>
    <w:rsid w:val="00E81DD2"/>
    <w:rsid w:val="00E81E40"/>
    <w:rsid w:val="00E81E8F"/>
    <w:rsid w:val="00E81E9D"/>
    <w:rsid w:val="00E81F86"/>
    <w:rsid w:val="00E821F3"/>
    <w:rsid w:val="00E822EF"/>
    <w:rsid w:val="00E82368"/>
    <w:rsid w:val="00E8238C"/>
    <w:rsid w:val="00E823B7"/>
    <w:rsid w:val="00E825F9"/>
    <w:rsid w:val="00E827C2"/>
    <w:rsid w:val="00E82842"/>
    <w:rsid w:val="00E828CA"/>
    <w:rsid w:val="00E82B05"/>
    <w:rsid w:val="00E82B23"/>
    <w:rsid w:val="00E82B36"/>
    <w:rsid w:val="00E82BFA"/>
    <w:rsid w:val="00E82C0B"/>
    <w:rsid w:val="00E82F19"/>
    <w:rsid w:val="00E82F7E"/>
    <w:rsid w:val="00E8305E"/>
    <w:rsid w:val="00E83078"/>
    <w:rsid w:val="00E8313C"/>
    <w:rsid w:val="00E8338A"/>
    <w:rsid w:val="00E835F4"/>
    <w:rsid w:val="00E8362D"/>
    <w:rsid w:val="00E83673"/>
    <w:rsid w:val="00E837AF"/>
    <w:rsid w:val="00E837EB"/>
    <w:rsid w:val="00E838B4"/>
    <w:rsid w:val="00E838F2"/>
    <w:rsid w:val="00E8393D"/>
    <w:rsid w:val="00E8396B"/>
    <w:rsid w:val="00E83A01"/>
    <w:rsid w:val="00E83A45"/>
    <w:rsid w:val="00E83AD6"/>
    <w:rsid w:val="00E83AE2"/>
    <w:rsid w:val="00E83CA7"/>
    <w:rsid w:val="00E83DB1"/>
    <w:rsid w:val="00E83E27"/>
    <w:rsid w:val="00E83ED2"/>
    <w:rsid w:val="00E8401E"/>
    <w:rsid w:val="00E84068"/>
    <w:rsid w:val="00E8409B"/>
    <w:rsid w:val="00E841FD"/>
    <w:rsid w:val="00E843E4"/>
    <w:rsid w:val="00E8450A"/>
    <w:rsid w:val="00E84671"/>
    <w:rsid w:val="00E846B7"/>
    <w:rsid w:val="00E84754"/>
    <w:rsid w:val="00E847EC"/>
    <w:rsid w:val="00E84A1D"/>
    <w:rsid w:val="00E84A51"/>
    <w:rsid w:val="00E84B6F"/>
    <w:rsid w:val="00E84D0D"/>
    <w:rsid w:val="00E84D40"/>
    <w:rsid w:val="00E84E0E"/>
    <w:rsid w:val="00E84F4F"/>
    <w:rsid w:val="00E850D8"/>
    <w:rsid w:val="00E854C5"/>
    <w:rsid w:val="00E8550F"/>
    <w:rsid w:val="00E85547"/>
    <w:rsid w:val="00E8566E"/>
    <w:rsid w:val="00E85742"/>
    <w:rsid w:val="00E85794"/>
    <w:rsid w:val="00E85904"/>
    <w:rsid w:val="00E859EB"/>
    <w:rsid w:val="00E85A35"/>
    <w:rsid w:val="00E85B94"/>
    <w:rsid w:val="00E85C0A"/>
    <w:rsid w:val="00E85C15"/>
    <w:rsid w:val="00E85C8B"/>
    <w:rsid w:val="00E85CD9"/>
    <w:rsid w:val="00E85CDA"/>
    <w:rsid w:val="00E85E30"/>
    <w:rsid w:val="00E85EF3"/>
    <w:rsid w:val="00E85EFE"/>
    <w:rsid w:val="00E85FDF"/>
    <w:rsid w:val="00E86070"/>
    <w:rsid w:val="00E86075"/>
    <w:rsid w:val="00E860ED"/>
    <w:rsid w:val="00E861C4"/>
    <w:rsid w:val="00E86275"/>
    <w:rsid w:val="00E86324"/>
    <w:rsid w:val="00E863C7"/>
    <w:rsid w:val="00E864F1"/>
    <w:rsid w:val="00E86560"/>
    <w:rsid w:val="00E8658B"/>
    <w:rsid w:val="00E865E6"/>
    <w:rsid w:val="00E8660D"/>
    <w:rsid w:val="00E86638"/>
    <w:rsid w:val="00E866E0"/>
    <w:rsid w:val="00E8683F"/>
    <w:rsid w:val="00E8686B"/>
    <w:rsid w:val="00E86887"/>
    <w:rsid w:val="00E86A29"/>
    <w:rsid w:val="00E86A35"/>
    <w:rsid w:val="00E86BE5"/>
    <w:rsid w:val="00E86CF1"/>
    <w:rsid w:val="00E86D4C"/>
    <w:rsid w:val="00E86D5D"/>
    <w:rsid w:val="00E86E04"/>
    <w:rsid w:val="00E86E97"/>
    <w:rsid w:val="00E86F3E"/>
    <w:rsid w:val="00E86F80"/>
    <w:rsid w:val="00E86F8E"/>
    <w:rsid w:val="00E87089"/>
    <w:rsid w:val="00E870DF"/>
    <w:rsid w:val="00E871D6"/>
    <w:rsid w:val="00E87269"/>
    <w:rsid w:val="00E872C7"/>
    <w:rsid w:val="00E87521"/>
    <w:rsid w:val="00E8752A"/>
    <w:rsid w:val="00E87616"/>
    <w:rsid w:val="00E87617"/>
    <w:rsid w:val="00E876A3"/>
    <w:rsid w:val="00E876BB"/>
    <w:rsid w:val="00E877CB"/>
    <w:rsid w:val="00E87852"/>
    <w:rsid w:val="00E879FE"/>
    <w:rsid w:val="00E87B39"/>
    <w:rsid w:val="00E87CE6"/>
    <w:rsid w:val="00E87DCA"/>
    <w:rsid w:val="00E87F12"/>
    <w:rsid w:val="00E87F4D"/>
    <w:rsid w:val="00E87FE9"/>
    <w:rsid w:val="00E900B1"/>
    <w:rsid w:val="00E90139"/>
    <w:rsid w:val="00E90183"/>
    <w:rsid w:val="00E901AF"/>
    <w:rsid w:val="00E901CF"/>
    <w:rsid w:val="00E90270"/>
    <w:rsid w:val="00E90272"/>
    <w:rsid w:val="00E90306"/>
    <w:rsid w:val="00E9035C"/>
    <w:rsid w:val="00E903E4"/>
    <w:rsid w:val="00E90425"/>
    <w:rsid w:val="00E90435"/>
    <w:rsid w:val="00E90441"/>
    <w:rsid w:val="00E904F9"/>
    <w:rsid w:val="00E9051E"/>
    <w:rsid w:val="00E905A2"/>
    <w:rsid w:val="00E905AB"/>
    <w:rsid w:val="00E9062A"/>
    <w:rsid w:val="00E9076D"/>
    <w:rsid w:val="00E90870"/>
    <w:rsid w:val="00E908D9"/>
    <w:rsid w:val="00E90905"/>
    <w:rsid w:val="00E9093F"/>
    <w:rsid w:val="00E9095A"/>
    <w:rsid w:val="00E90D5A"/>
    <w:rsid w:val="00E90D7F"/>
    <w:rsid w:val="00E90DC5"/>
    <w:rsid w:val="00E90DD7"/>
    <w:rsid w:val="00E90F79"/>
    <w:rsid w:val="00E91014"/>
    <w:rsid w:val="00E91072"/>
    <w:rsid w:val="00E91113"/>
    <w:rsid w:val="00E91201"/>
    <w:rsid w:val="00E91203"/>
    <w:rsid w:val="00E912BB"/>
    <w:rsid w:val="00E91487"/>
    <w:rsid w:val="00E914D1"/>
    <w:rsid w:val="00E914E6"/>
    <w:rsid w:val="00E91508"/>
    <w:rsid w:val="00E919BE"/>
    <w:rsid w:val="00E919D3"/>
    <w:rsid w:val="00E919F7"/>
    <w:rsid w:val="00E91ADE"/>
    <w:rsid w:val="00E91B37"/>
    <w:rsid w:val="00E91C75"/>
    <w:rsid w:val="00E91E46"/>
    <w:rsid w:val="00E91E7B"/>
    <w:rsid w:val="00E91EB5"/>
    <w:rsid w:val="00E920DD"/>
    <w:rsid w:val="00E92201"/>
    <w:rsid w:val="00E922FC"/>
    <w:rsid w:val="00E9236D"/>
    <w:rsid w:val="00E9238B"/>
    <w:rsid w:val="00E925F0"/>
    <w:rsid w:val="00E926C8"/>
    <w:rsid w:val="00E92730"/>
    <w:rsid w:val="00E9290A"/>
    <w:rsid w:val="00E929C9"/>
    <w:rsid w:val="00E929EB"/>
    <w:rsid w:val="00E92CBE"/>
    <w:rsid w:val="00E92CE1"/>
    <w:rsid w:val="00E92CE4"/>
    <w:rsid w:val="00E92E9E"/>
    <w:rsid w:val="00E9302F"/>
    <w:rsid w:val="00E93044"/>
    <w:rsid w:val="00E9339E"/>
    <w:rsid w:val="00E93448"/>
    <w:rsid w:val="00E93498"/>
    <w:rsid w:val="00E9349C"/>
    <w:rsid w:val="00E934C7"/>
    <w:rsid w:val="00E934E1"/>
    <w:rsid w:val="00E93566"/>
    <w:rsid w:val="00E9368B"/>
    <w:rsid w:val="00E936FE"/>
    <w:rsid w:val="00E937FF"/>
    <w:rsid w:val="00E93876"/>
    <w:rsid w:val="00E938E0"/>
    <w:rsid w:val="00E93966"/>
    <w:rsid w:val="00E939BD"/>
    <w:rsid w:val="00E939F8"/>
    <w:rsid w:val="00E93AA7"/>
    <w:rsid w:val="00E93C3D"/>
    <w:rsid w:val="00E93C79"/>
    <w:rsid w:val="00E93C9A"/>
    <w:rsid w:val="00E93D32"/>
    <w:rsid w:val="00E93D36"/>
    <w:rsid w:val="00E93D75"/>
    <w:rsid w:val="00E93DD4"/>
    <w:rsid w:val="00E93DE6"/>
    <w:rsid w:val="00E93E93"/>
    <w:rsid w:val="00E93ECA"/>
    <w:rsid w:val="00E93F85"/>
    <w:rsid w:val="00E93FFB"/>
    <w:rsid w:val="00E941DA"/>
    <w:rsid w:val="00E94270"/>
    <w:rsid w:val="00E94345"/>
    <w:rsid w:val="00E943A2"/>
    <w:rsid w:val="00E9440A"/>
    <w:rsid w:val="00E944CA"/>
    <w:rsid w:val="00E94552"/>
    <w:rsid w:val="00E94558"/>
    <w:rsid w:val="00E94671"/>
    <w:rsid w:val="00E948EE"/>
    <w:rsid w:val="00E948F3"/>
    <w:rsid w:val="00E948F4"/>
    <w:rsid w:val="00E94943"/>
    <w:rsid w:val="00E94B0C"/>
    <w:rsid w:val="00E94C2F"/>
    <w:rsid w:val="00E94CA5"/>
    <w:rsid w:val="00E94CE9"/>
    <w:rsid w:val="00E94D0F"/>
    <w:rsid w:val="00E94DBD"/>
    <w:rsid w:val="00E94E95"/>
    <w:rsid w:val="00E94FB0"/>
    <w:rsid w:val="00E9509B"/>
    <w:rsid w:val="00E95101"/>
    <w:rsid w:val="00E95167"/>
    <w:rsid w:val="00E951F6"/>
    <w:rsid w:val="00E95274"/>
    <w:rsid w:val="00E95345"/>
    <w:rsid w:val="00E9534D"/>
    <w:rsid w:val="00E95440"/>
    <w:rsid w:val="00E955D3"/>
    <w:rsid w:val="00E95639"/>
    <w:rsid w:val="00E95666"/>
    <w:rsid w:val="00E956D1"/>
    <w:rsid w:val="00E957AA"/>
    <w:rsid w:val="00E95937"/>
    <w:rsid w:val="00E959F7"/>
    <w:rsid w:val="00E95AD2"/>
    <w:rsid w:val="00E95B19"/>
    <w:rsid w:val="00E95BCE"/>
    <w:rsid w:val="00E95CD1"/>
    <w:rsid w:val="00E95E27"/>
    <w:rsid w:val="00E95EEE"/>
    <w:rsid w:val="00E95FAC"/>
    <w:rsid w:val="00E95FCC"/>
    <w:rsid w:val="00E95FCE"/>
    <w:rsid w:val="00E96028"/>
    <w:rsid w:val="00E962CF"/>
    <w:rsid w:val="00E963CC"/>
    <w:rsid w:val="00E96418"/>
    <w:rsid w:val="00E96508"/>
    <w:rsid w:val="00E9656B"/>
    <w:rsid w:val="00E96583"/>
    <w:rsid w:val="00E965E0"/>
    <w:rsid w:val="00E966E8"/>
    <w:rsid w:val="00E9685B"/>
    <w:rsid w:val="00E968EB"/>
    <w:rsid w:val="00E96910"/>
    <w:rsid w:val="00E969BE"/>
    <w:rsid w:val="00E96A30"/>
    <w:rsid w:val="00E96B9F"/>
    <w:rsid w:val="00E96BA4"/>
    <w:rsid w:val="00E96BF9"/>
    <w:rsid w:val="00E96CC4"/>
    <w:rsid w:val="00E96D74"/>
    <w:rsid w:val="00E96F86"/>
    <w:rsid w:val="00E97080"/>
    <w:rsid w:val="00E9713C"/>
    <w:rsid w:val="00E9721F"/>
    <w:rsid w:val="00E97320"/>
    <w:rsid w:val="00E9734B"/>
    <w:rsid w:val="00E97425"/>
    <w:rsid w:val="00E97458"/>
    <w:rsid w:val="00E974E8"/>
    <w:rsid w:val="00E975C4"/>
    <w:rsid w:val="00E97698"/>
    <w:rsid w:val="00E977A1"/>
    <w:rsid w:val="00E97826"/>
    <w:rsid w:val="00E97855"/>
    <w:rsid w:val="00E97931"/>
    <w:rsid w:val="00E97950"/>
    <w:rsid w:val="00E979BA"/>
    <w:rsid w:val="00E97AC2"/>
    <w:rsid w:val="00E97CAD"/>
    <w:rsid w:val="00E97D3B"/>
    <w:rsid w:val="00E97F68"/>
    <w:rsid w:val="00E97FF9"/>
    <w:rsid w:val="00EA0095"/>
    <w:rsid w:val="00EA00B8"/>
    <w:rsid w:val="00EA0293"/>
    <w:rsid w:val="00EA0317"/>
    <w:rsid w:val="00EA0513"/>
    <w:rsid w:val="00EA05D3"/>
    <w:rsid w:val="00EA0760"/>
    <w:rsid w:val="00EA07AF"/>
    <w:rsid w:val="00EA081D"/>
    <w:rsid w:val="00EA08A4"/>
    <w:rsid w:val="00EA08B8"/>
    <w:rsid w:val="00EA0B25"/>
    <w:rsid w:val="00EA0B4A"/>
    <w:rsid w:val="00EA0C8A"/>
    <w:rsid w:val="00EA0D2C"/>
    <w:rsid w:val="00EA0F8E"/>
    <w:rsid w:val="00EA135B"/>
    <w:rsid w:val="00EA144A"/>
    <w:rsid w:val="00EA14B8"/>
    <w:rsid w:val="00EA14CB"/>
    <w:rsid w:val="00EA15C9"/>
    <w:rsid w:val="00EA1664"/>
    <w:rsid w:val="00EA1803"/>
    <w:rsid w:val="00EA1807"/>
    <w:rsid w:val="00EA1835"/>
    <w:rsid w:val="00EA18E4"/>
    <w:rsid w:val="00EA1919"/>
    <w:rsid w:val="00EA19A6"/>
    <w:rsid w:val="00EA1B37"/>
    <w:rsid w:val="00EA1C56"/>
    <w:rsid w:val="00EA1D8C"/>
    <w:rsid w:val="00EA1E21"/>
    <w:rsid w:val="00EA1EBE"/>
    <w:rsid w:val="00EA2140"/>
    <w:rsid w:val="00EA2188"/>
    <w:rsid w:val="00EA21D9"/>
    <w:rsid w:val="00EA2468"/>
    <w:rsid w:val="00EA2471"/>
    <w:rsid w:val="00EA2472"/>
    <w:rsid w:val="00EA24B0"/>
    <w:rsid w:val="00EA24C3"/>
    <w:rsid w:val="00EA24E6"/>
    <w:rsid w:val="00EA2787"/>
    <w:rsid w:val="00EA27EA"/>
    <w:rsid w:val="00EA2810"/>
    <w:rsid w:val="00EA2837"/>
    <w:rsid w:val="00EA287B"/>
    <w:rsid w:val="00EA2AE2"/>
    <w:rsid w:val="00EA2B91"/>
    <w:rsid w:val="00EA2BCC"/>
    <w:rsid w:val="00EA2BFF"/>
    <w:rsid w:val="00EA2C8C"/>
    <w:rsid w:val="00EA2D3B"/>
    <w:rsid w:val="00EA2DA5"/>
    <w:rsid w:val="00EA2E4A"/>
    <w:rsid w:val="00EA314F"/>
    <w:rsid w:val="00EA3356"/>
    <w:rsid w:val="00EA34E8"/>
    <w:rsid w:val="00EA35C8"/>
    <w:rsid w:val="00EA3637"/>
    <w:rsid w:val="00EA364D"/>
    <w:rsid w:val="00EA36AD"/>
    <w:rsid w:val="00EA36E0"/>
    <w:rsid w:val="00EA380F"/>
    <w:rsid w:val="00EA3829"/>
    <w:rsid w:val="00EA3836"/>
    <w:rsid w:val="00EA3945"/>
    <w:rsid w:val="00EA39D3"/>
    <w:rsid w:val="00EA3A26"/>
    <w:rsid w:val="00EA3A2C"/>
    <w:rsid w:val="00EA3A5D"/>
    <w:rsid w:val="00EA3AB6"/>
    <w:rsid w:val="00EA3B45"/>
    <w:rsid w:val="00EA3B67"/>
    <w:rsid w:val="00EA3BAF"/>
    <w:rsid w:val="00EA3BD3"/>
    <w:rsid w:val="00EA3C6D"/>
    <w:rsid w:val="00EA3CB0"/>
    <w:rsid w:val="00EA3F21"/>
    <w:rsid w:val="00EA3F9B"/>
    <w:rsid w:val="00EA4271"/>
    <w:rsid w:val="00EA4488"/>
    <w:rsid w:val="00EA44E7"/>
    <w:rsid w:val="00EA458C"/>
    <w:rsid w:val="00EA4630"/>
    <w:rsid w:val="00EA463D"/>
    <w:rsid w:val="00EA46D1"/>
    <w:rsid w:val="00EA4711"/>
    <w:rsid w:val="00EA482A"/>
    <w:rsid w:val="00EA489C"/>
    <w:rsid w:val="00EA48B3"/>
    <w:rsid w:val="00EA4910"/>
    <w:rsid w:val="00EA4995"/>
    <w:rsid w:val="00EA4B28"/>
    <w:rsid w:val="00EA4B3A"/>
    <w:rsid w:val="00EA4B8B"/>
    <w:rsid w:val="00EA4B8F"/>
    <w:rsid w:val="00EA4BA4"/>
    <w:rsid w:val="00EA4E7C"/>
    <w:rsid w:val="00EA4EA0"/>
    <w:rsid w:val="00EA4EE2"/>
    <w:rsid w:val="00EA4F6F"/>
    <w:rsid w:val="00EA5091"/>
    <w:rsid w:val="00EA50C9"/>
    <w:rsid w:val="00EA52CA"/>
    <w:rsid w:val="00EA52D9"/>
    <w:rsid w:val="00EA5308"/>
    <w:rsid w:val="00EA5554"/>
    <w:rsid w:val="00EA55E0"/>
    <w:rsid w:val="00EA5644"/>
    <w:rsid w:val="00EA56AD"/>
    <w:rsid w:val="00EA5785"/>
    <w:rsid w:val="00EA57BC"/>
    <w:rsid w:val="00EA57D9"/>
    <w:rsid w:val="00EA57E1"/>
    <w:rsid w:val="00EA58A0"/>
    <w:rsid w:val="00EA5935"/>
    <w:rsid w:val="00EA5A8F"/>
    <w:rsid w:val="00EA5E1E"/>
    <w:rsid w:val="00EA5F1B"/>
    <w:rsid w:val="00EA5F53"/>
    <w:rsid w:val="00EA5F77"/>
    <w:rsid w:val="00EA5FAD"/>
    <w:rsid w:val="00EA6059"/>
    <w:rsid w:val="00EA6127"/>
    <w:rsid w:val="00EA61FF"/>
    <w:rsid w:val="00EA62FB"/>
    <w:rsid w:val="00EA6371"/>
    <w:rsid w:val="00EA63A2"/>
    <w:rsid w:val="00EA6447"/>
    <w:rsid w:val="00EA6464"/>
    <w:rsid w:val="00EA6467"/>
    <w:rsid w:val="00EA64FD"/>
    <w:rsid w:val="00EA6531"/>
    <w:rsid w:val="00EA6540"/>
    <w:rsid w:val="00EA6613"/>
    <w:rsid w:val="00EA6777"/>
    <w:rsid w:val="00EA67FE"/>
    <w:rsid w:val="00EA6869"/>
    <w:rsid w:val="00EA68B6"/>
    <w:rsid w:val="00EA6A8B"/>
    <w:rsid w:val="00EA6B71"/>
    <w:rsid w:val="00EA6DF4"/>
    <w:rsid w:val="00EA6E0D"/>
    <w:rsid w:val="00EA6E17"/>
    <w:rsid w:val="00EA6E82"/>
    <w:rsid w:val="00EA6EA9"/>
    <w:rsid w:val="00EA6F4D"/>
    <w:rsid w:val="00EA6F62"/>
    <w:rsid w:val="00EA6FAB"/>
    <w:rsid w:val="00EA7043"/>
    <w:rsid w:val="00EA710B"/>
    <w:rsid w:val="00EA7115"/>
    <w:rsid w:val="00EA713F"/>
    <w:rsid w:val="00EA72AE"/>
    <w:rsid w:val="00EA72B3"/>
    <w:rsid w:val="00EA72BA"/>
    <w:rsid w:val="00EA73D9"/>
    <w:rsid w:val="00EA7478"/>
    <w:rsid w:val="00EA767B"/>
    <w:rsid w:val="00EA76EE"/>
    <w:rsid w:val="00EA774A"/>
    <w:rsid w:val="00EA78A2"/>
    <w:rsid w:val="00EA7A15"/>
    <w:rsid w:val="00EA7A66"/>
    <w:rsid w:val="00EA7B5D"/>
    <w:rsid w:val="00EA7B94"/>
    <w:rsid w:val="00EA7C7A"/>
    <w:rsid w:val="00EA7D04"/>
    <w:rsid w:val="00EA7D97"/>
    <w:rsid w:val="00EA7E1B"/>
    <w:rsid w:val="00EA7E7E"/>
    <w:rsid w:val="00EA7E8D"/>
    <w:rsid w:val="00EA7F11"/>
    <w:rsid w:val="00EA7F1C"/>
    <w:rsid w:val="00EA7F2B"/>
    <w:rsid w:val="00EB01D9"/>
    <w:rsid w:val="00EB020D"/>
    <w:rsid w:val="00EB02F2"/>
    <w:rsid w:val="00EB0419"/>
    <w:rsid w:val="00EB041D"/>
    <w:rsid w:val="00EB05B7"/>
    <w:rsid w:val="00EB05D0"/>
    <w:rsid w:val="00EB0602"/>
    <w:rsid w:val="00EB063D"/>
    <w:rsid w:val="00EB07A3"/>
    <w:rsid w:val="00EB07F3"/>
    <w:rsid w:val="00EB084A"/>
    <w:rsid w:val="00EB08A1"/>
    <w:rsid w:val="00EB08FC"/>
    <w:rsid w:val="00EB0916"/>
    <w:rsid w:val="00EB0986"/>
    <w:rsid w:val="00EB0ACC"/>
    <w:rsid w:val="00EB0C10"/>
    <w:rsid w:val="00EB10A1"/>
    <w:rsid w:val="00EB1181"/>
    <w:rsid w:val="00EB1232"/>
    <w:rsid w:val="00EB1348"/>
    <w:rsid w:val="00EB135A"/>
    <w:rsid w:val="00EB1471"/>
    <w:rsid w:val="00EB1510"/>
    <w:rsid w:val="00EB1550"/>
    <w:rsid w:val="00EB159E"/>
    <w:rsid w:val="00EB15F9"/>
    <w:rsid w:val="00EB1797"/>
    <w:rsid w:val="00EB185C"/>
    <w:rsid w:val="00EB188A"/>
    <w:rsid w:val="00EB190D"/>
    <w:rsid w:val="00EB191B"/>
    <w:rsid w:val="00EB193A"/>
    <w:rsid w:val="00EB1986"/>
    <w:rsid w:val="00EB1A06"/>
    <w:rsid w:val="00EB1B42"/>
    <w:rsid w:val="00EB1BE2"/>
    <w:rsid w:val="00EB1BFB"/>
    <w:rsid w:val="00EB1C54"/>
    <w:rsid w:val="00EB1CCB"/>
    <w:rsid w:val="00EB1EAC"/>
    <w:rsid w:val="00EB1FE9"/>
    <w:rsid w:val="00EB2074"/>
    <w:rsid w:val="00EB20A5"/>
    <w:rsid w:val="00EB223A"/>
    <w:rsid w:val="00EB22C6"/>
    <w:rsid w:val="00EB23BB"/>
    <w:rsid w:val="00EB23F8"/>
    <w:rsid w:val="00EB26BE"/>
    <w:rsid w:val="00EB26ED"/>
    <w:rsid w:val="00EB2705"/>
    <w:rsid w:val="00EB27E4"/>
    <w:rsid w:val="00EB2A0D"/>
    <w:rsid w:val="00EB2C40"/>
    <w:rsid w:val="00EB2C5E"/>
    <w:rsid w:val="00EB2CA0"/>
    <w:rsid w:val="00EB2DB0"/>
    <w:rsid w:val="00EB2F7D"/>
    <w:rsid w:val="00EB2FA8"/>
    <w:rsid w:val="00EB30BE"/>
    <w:rsid w:val="00EB3145"/>
    <w:rsid w:val="00EB3152"/>
    <w:rsid w:val="00EB319A"/>
    <w:rsid w:val="00EB31C6"/>
    <w:rsid w:val="00EB3202"/>
    <w:rsid w:val="00EB32BE"/>
    <w:rsid w:val="00EB32DD"/>
    <w:rsid w:val="00EB33EB"/>
    <w:rsid w:val="00EB3401"/>
    <w:rsid w:val="00EB3491"/>
    <w:rsid w:val="00EB34BC"/>
    <w:rsid w:val="00EB34FB"/>
    <w:rsid w:val="00EB358D"/>
    <w:rsid w:val="00EB35AA"/>
    <w:rsid w:val="00EB365D"/>
    <w:rsid w:val="00EB3740"/>
    <w:rsid w:val="00EB37AA"/>
    <w:rsid w:val="00EB37E9"/>
    <w:rsid w:val="00EB3823"/>
    <w:rsid w:val="00EB38FC"/>
    <w:rsid w:val="00EB394B"/>
    <w:rsid w:val="00EB3989"/>
    <w:rsid w:val="00EB3CE1"/>
    <w:rsid w:val="00EB3E4E"/>
    <w:rsid w:val="00EB3E56"/>
    <w:rsid w:val="00EB3E92"/>
    <w:rsid w:val="00EB3F40"/>
    <w:rsid w:val="00EB3F57"/>
    <w:rsid w:val="00EB3FCC"/>
    <w:rsid w:val="00EB4083"/>
    <w:rsid w:val="00EB4107"/>
    <w:rsid w:val="00EB415B"/>
    <w:rsid w:val="00EB43FD"/>
    <w:rsid w:val="00EB4502"/>
    <w:rsid w:val="00EB46E7"/>
    <w:rsid w:val="00EB47C7"/>
    <w:rsid w:val="00EB47D1"/>
    <w:rsid w:val="00EB4824"/>
    <w:rsid w:val="00EB4866"/>
    <w:rsid w:val="00EB48B0"/>
    <w:rsid w:val="00EB48C1"/>
    <w:rsid w:val="00EB4983"/>
    <w:rsid w:val="00EB49AF"/>
    <w:rsid w:val="00EB4A86"/>
    <w:rsid w:val="00EB4B23"/>
    <w:rsid w:val="00EB4B4B"/>
    <w:rsid w:val="00EB4CB4"/>
    <w:rsid w:val="00EB4DFA"/>
    <w:rsid w:val="00EB4F04"/>
    <w:rsid w:val="00EB50E1"/>
    <w:rsid w:val="00EB5183"/>
    <w:rsid w:val="00EB5195"/>
    <w:rsid w:val="00EB51EE"/>
    <w:rsid w:val="00EB5325"/>
    <w:rsid w:val="00EB5346"/>
    <w:rsid w:val="00EB54A1"/>
    <w:rsid w:val="00EB5528"/>
    <w:rsid w:val="00EB55EE"/>
    <w:rsid w:val="00EB5603"/>
    <w:rsid w:val="00EB56C3"/>
    <w:rsid w:val="00EB588A"/>
    <w:rsid w:val="00EB5891"/>
    <w:rsid w:val="00EB5A73"/>
    <w:rsid w:val="00EB5AE6"/>
    <w:rsid w:val="00EB5BD9"/>
    <w:rsid w:val="00EB5D5B"/>
    <w:rsid w:val="00EB5E25"/>
    <w:rsid w:val="00EB5E3A"/>
    <w:rsid w:val="00EB5FF6"/>
    <w:rsid w:val="00EB605B"/>
    <w:rsid w:val="00EB617E"/>
    <w:rsid w:val="00EB61A7"/>
    <w:rsid w:val="00EB62D9"/>
    <w:rsid w:val="00EB63A4"/>
    <w:rsid w:val="00EB63C6"/>
    <w:rsid w:val="00EB64A8"/>
    <w:rsid w:val="00EB65A5"/>
    <w:rsid w:val="00EB6629"/>
    <w:rsid w:val="00EB66BD"/>
    <w:rsid w:val="00EB678C"/>
    <w:rsid w:val="00EB67DA"/>
    <w:rsid w:val="00EB689D"/>
    <w:rsid w:val="00EB6938"/>
    <w:rsid w:val="00EB6A55"/>
    <w:rsid w:val="00EB6AAA"/>
    <w:rsid w:val="00EB6AB1"/>
    <w:rsid w:val="00EB6B5F"/>
    <w:rsid w:val="00EB6D00"/>
    <w:rsid w:val="00EB6D40"/>
    <w:rsid w:val="00EB6D9A"/>
    <w:rsid w:val="00EB6E22"/>
    <w:rsid w:val="00EB6E23"/>
    <w:rsid w:val="00EB6E54"/>
    <w:rsid w:val="00EB6E78"/>
    <w:rsid w:val="00EB6E82"/>
    <w:rsid w:val="00EB6EAF"/>
    <w:rsid w:val="00EB6F04"/>
    <w:rsid w:val="00EB6F96"/>
    <w:rsid w:val="00EB707F"/>
    <w:rsid w:val="00EB70B3"/>
    <w:rsid w:val="00EB70C2"/>
    <w:rsid w:val="00EB71BD"/>
    <w:rsid w:val="00EB73BE"/>
    <w:rsid w:val="00EB74DF"/>
    <w:rsid w:val="00EB7601"/>
    <w:rsid w:val="00EB762D"/>
    <w:rsid w:val="00EB76A9"/>
    <w:rsid w:val="00EB785E"/>
    <w:rsid w:val="00EB79B8"/>
    <w:rsid w:val="00EB7C0F"/>
    <w:rsid w:val="00EB7C2A"/>
    <w:rsid w:val="00EB7D76"/>
    <w:rsid w:val="00EB7E22"/>
    <w:rsid w:val="00EC01B9"/>
    <w:rsid w:val="00EC0287"/>
    <w:rsid w:val="00EC0462"/>
    <w:rsid w:val="00EC0597"/>
    <w:rsid w:val="00EC064D"/>
    <w:rsid w:val="00EC0746"/>
    <w:rsid w:val="00EC09B1"/>
    <w:rsid w:val="00EC0AB9"/>
    <w:rsid w:val="00EC0CCE"/>
    <w:rsid w:val="00EC0D8F"/>
    <w:rsid w:val="00EC0DE7"/>
    <w:rsid w:val="00EC0EC4"/>
    <w:rsid w:val="00EC0EC9"/>
    <w:rsid w:val="00EC0EF4"/>
    <w:rsid w:val="00EC104A"/>
    <w:rsid w:val="00EC1179"/>
    <w:rsid w:val="00EC1253"/>
    <w:rsid w:val="00EC13AA"/>
    <w:rsid w:val="00EC1520"/>
    <w:rsid w:val="00EC17A2"/>
    <w:rsid w:val="00EC18C2"/>
    <w:rsid w:val="00EC18E6"/>
    <w:rsid w:val="00EC1924"/>
    <w:rsid w:val="00EC19DB"/>
    <w:rsid w:val="00EC1A35"/>
    <w:rsid w:val="00EC1B2C"/>
    <w:rsid w:val="00EC1BD7"/>
    <w:rsid w:val="00EC1BE9"/>
    <w:rsid w:val="00EC1C3A"/>
    <w:rsid w:val="00EC1CF8"/>
    <w:rsid w:val="00EC1D78"/>
    <w:rsid w:val="00EC1DC3"/>
    <w:rsid w:val="00EC1DCB"/>
    <w:rsid w:val="00EC1DFB"/>
    <w:rsid w:val="00EC233C"/>
    <w:rsid w:val="00EC2357"/>
    <w:rsid w:val="00EC243B"/>
    <w:rsid w:val="00EC245B"/>
    <w:rsid w:val="00EC246B"/>
    <w:rsid w:val="00EC24C2"/>
    <w:rsid w:val="00EC26D4"/>
    <w:rsid w:val="00EC2878"/>
    <w:rsid w:val="00EC2AB0"/>
    <w:rsid w:val="00EC2AB3"/>
    <w:rsid w:val="00EC2B46"/>
    <w:rsid w:val="00EC2BDF"/>
    <w:rsid w:val="00EC2BEC"/>
    <w:rsid w:val="00EC2BEE"/>
    <w:rsid w:val="00EC2D11"/>
    <w:rsid w:val="00EC2D5C"/>
    <w:rsid w:val="00EC2E38"/>
    <w:rsid w:val="00EC2F30"/>
    <w:rsid w:val="00EC2F35"/>
    <w:rsid w:val="00EC2FDF"/>
    <w:rsid w:val="00EC3021"/>
    <w:rsid w:val="00EC30F7"/>
    <w:rsid w:val="00EC31B8"/>
    <w:rsid w:val="00EC31CC"/>
    <w:rsid w:val="00EC3278"/>
    <w:rsid w:val="00EC32D1"/>
    <w:rsid w:val="00EC3343"/>
    <w:rsid w:val="00EC34A8"/>
    <w:rsid w:val="00EC3576"/>
    <w:rsid w:val="00EC3583"/>
    <w:rsid w:val="00EC3671"/>
    <w:rsid w:val="00EC36AF"/>
    <w:rsid w:val="00EC3750"/>
    <w:rsid w:val="00EC3827"/>
    <w:rsid w:val="00EC387B"/>
    <w:rsid w:val="00EC3991"/>
    <w:rsid w:val="00EC3AB2"/>
    <w:rsid w:val="00EC3B1D"/>
    <w:rsid w:val="00EC3B68"/>
    <w:rsid w:val="00EC3B92"/>
    <w:rsid w:val="00EC3BCC"/>
    <w:rsid w:val="00EC3CB5"/>
    <w:rsid w:val="00EC3E97"/>
    <w:rsid w:val="00EC3F3A"/>
    <w:rsid w:val="00EC3F41"/>
    <w:rsid w:val="00EC3FF8"/>
    <w:rsid w:val="00EC414D"/>
    <w:rsid w:val="00EC430F"/>
    <w:rsid w:val="00EC44BC"/>
    <w:rsid w:val="00EC44FD"/>
    <w:rsid w:val="00EC44FE"/>
    <w:rsid w:val="00EC4516"/>
    <w:rsid w:val="00EC45D5"/>
    <w:rsid w:val="00EC46F1"/>
    <w:rsid w:val="00EC481D"/>
    <w:rsid w:val="00EC487F"/>
    <w:rsid w:val="00EC4AC9"/>
    <w:rsid w:val="00EC4AD7"/>
    <w:rsid w:val="00EC4AE7"/>
    <w:rsid w:val="00EC4B4A"/>
    <w:rsid w:val="00EC4C3A"/>
    <w:rsid w:val="00EC4C5B"/>
    <w:rsid w:val="00EC4C5F"/>
    <w:rsid w:val="00EC4CC3"/>
    <w:rsid w:val="00EC4CCD"/>
    <w:rsid w:val="00EC4CD3"/>
    <w:rsid w:val="00EC4CEF"/>
    <w:rsid w:val="00EC4D38"/>
    <w:rsid w:val="00EC4D3C"/>
    <w:rsid w:val="00EC4D62"/>
    <w:rsid w:val="00EC4DE0"/>
    <w:rsid w:val="00EC4F45"/>
    <w:rsid w:val="00EC4F76"/>
    <w:rsid w:val="00EC4F9A"/>
    <w:rsid w:val="00EC50FA"/>
    <w:rsid w:val="00EC510E"/>
    <w:rsid w:val="00EC5146"/>
    <w:rsid w:val="00EC522C"/>
    <w:rsid w:val="00EC544C"/>
    <w:rsid w:val="00EC5493"/>
    <w:rsid w:val="00EC54BC"/>
    <w:rsid w:val="00EC56CB"/>
    <w:rsid w:val="00EC5743"/>
    <w:rsid w:val="00EC589C"/>
    <w:rsid w:val="00EC5B8E"/>
    <w:rsid w:val="00EC5CE5"/>
    <w:rsid w:val="00EC5CF0"/>
    <w:rsid w:val="00EC5D3A"/>
    <w:rsid w:val="00EC5D77"/>
    <w:rsid w:val="00EC5E3F"/>
    <w:rsid w:val="00EC5EE9"/>
    <w:rsid w:val="00EC607F"/>
    <w:rsid w:val="00EC6167"/>
    <w:rsid w:val="00EC6243"/>
    <w:rsid w:val="00EC638C"/>
    <w:rsid w:val="00EC6437"/>
    <w:rsid w:val="00EC6487"/>
    <w:rsid w:val="00EC64B4"/>
    <w:rsid w:val="00EC64F0"/>
    <w:rsid w:val="00EC65DB"/>
    <w:rsid w:val="00EC65EB"/>
    <w:rsid w:val="00EC665A"/>
    <w:rsid w:val="00EC676C"/>
    <w:rsid w:val="00EC677E"/>
    <w:rsid w:val="00EC6932"/>
    <w:rsid w:val="00EC6999"/>
    <w:rsid w:val="00EC69BC"/>
    <w:rsid w:val="00EC6A8D"/>
    <w:rsid w:val="00EC6B7F"/>
    <w:rsid w:val="00EC6B94"/>
    <w:rsid w:val="00EC6B95"/>
    <w:rsid w:val="00EC6D13"/>
    <w:rsid w:val="00EC6D7D"/>
    <w:rsid w:val="00EC6DBD"/>
    <w:rsid w:val="00EC6DD7"/>
    <w:rsid w:val="00EC6E00"/>
    <w:rsid w:val="00EC7046"/>
    <w:rsid w:val="00EC71A4"/>
    <w:rsid w:val="00EC7216"/>
    <w:rsid w:val="00EC7259"/>
    <w:rsid w:val="00EC73BC"/>
    <w:rsid w:val="00EC73EF"/>
    <w:rsid w:val="00EC74AB"/>
    <w:rsid w:val="00EC7572"/>
    <w:rsid w:val="00EC75D3"/>
    <w:rsid w:val="00EC7636"/>
    <w:rsid w:val="00EC763D"/>
    <w:rsid w:val="00EC7705"/>
    <w:rsid w:val="00EC77B4"/>
    <w:rsid w:val="00EC78B8"/>
    <w:rsid w:val="00EC7948"/>
    <w:rsid w:val="00EC7A54"/>
    <w:rsid w:val="00EC7A81"/>
    <w:rsid w:val="00EC7ADC"/>
    <w:rsid w:val="00EC7B14"/>
    <w:rsid w:val="00ED0035"/>
    <w:rsid w:val="00ED00C8"/>
    <w:rsid w:val="00ED021F"/>
    <w:rsid w:val="00ED0240"/>
    <w:rsid w:val="00ED0247"/>
    <w:rsid w:val="00ED0254"/>
    <w:rsid w:val="00ED0284"/>
    <w:rsid w:val="00ED03DA"/>
    <w:rsid w:val="00ED0499"/>
    <w:rsid w:val="00ED0551"/>
    <w:rsid w:val="00ED05DF"/>
    <w:rsid w:val="00ED0623"/>
    <w:rsid w:val="00ED0752"/>
    <w:rsid w:val="00ED0821"/>
    <w:rsid w:val="00ED091C"/>
    <w:rsid w:val="00ED0A0E"/>
    <w:rsid w:val="00ED0A30"/>
    <w:rsid w:val="00ED0A79"/>
    <w:rsid w:val="00ED0AE6"/>
    <w:rsid w:val="00ED0BB8"/>
    <w:rsid w:val="00ED0BFB"/>
    <w:rsid w:val="00ED0CFB"/>
    <w:rsid w:val="00ED0DFD"/>
    <w:rsid w:val="00ED0F00"/>
    <w:rsid w:val="00ED0F5A"/>
    <w:rsid w:val="00ED0FEB"/>
    <w:rsid w:val="00ED1038"/>
    <w:rsid w:val="00ED10B1"/>
    <w:rsid w:val="00ED1284"/>
    <w:rsid w:val="00ED132F"/>
    <w:rsid w:val="00ED1586"/>
    <w:rsid w:val="00ED174E"/>
    <w:rsid w:val="00ED175A"/>
    <w:rsid w:val="00ED1846"/>
    <w:rsid w:val="00ED19C9"/>
    <w:rsid w:val="00ED1A67"/>
    <w:rsid w:val="00ED1A91"/>
    <w:rsid w:val="00ED1AEE"/>
    <w:rsid w:val="00ED1B23"/>
    <w:rsid w:val="00ED1F9D"/>
    <w:rsid w:val="00ED1FEB"/>
    <w:rsid w:val="00ED2034"/>
    <w:rsid w:val="00ED21F5"/>
    <w:rsid w:val="00ED2259"/>
    <w:rsid w:val="00ED2262"/>
    <w:rsid w:val="00ED2269"/>
    <w:rsid w:val="00ED229F"/>
    <w:rsid w:val="00ED248C"/>
    <w:rsid w:val="00ED24FA"/>
    <w:rsid w:val="00ED2550"/>
    <w:rsid w:val="00ED259D"/>
    <w:rsid w:val="00ED2674"/>
    <w:rsid w:val="00ED2975"/>
    <w:rsid w:val="00ED2AF7"/>
    <w:rsid w:val="00ED2B96"/>
    <w:rsid w:val="00ED2B97"/>
    <w:rsid w:val="00ED2BB6"/>
    <w:rsid w:val="00ED2C46"/>
    <w:rsid w:val="00ED2E3F"/>
    <w:rsid w:val="00ED2E64"/>
    <w:rsid w:val="00ED2E92"/>
    <w:rsid w:val="00ED2FCF"/>
    <w:rsid w:val="00ED2FF0"/>
    <w:rsid w:val="00ED3029"/>
    <w:rsid w:val="00ED3070"/>
    <w:rsid w:val="00ED31FC"/>
    <w:rsid w:val="00ED3326"/>
    <w:rsid w:val="00ED3327"/>
    <w:rsid w:val="00ED3425"/>
    <w:rsid w:val="00ED35D1"/>
    <w:rsid w:val="00ED3606"/>
    <w:rsid w:val="00ED371D"/>
    <w:rsid w:val="00ED372A"/>
    <w:rsid w:val="00ED3766"/>
    <w:rsid w:val="00ED37BA"/>
    <w:rsid w:val="00ED37EA"/>
    <w:rsid w:val="00ED38F7"/>
    <w:rsid w:val="00ED3916"/>
    <w:rsid w:val="00ED3A4A"/>
    <w:rsid w:val="00ED3AB4"/>
    <w:rsid w:val="00ED3AFA"/>
    <w:rsid w:val="00ED3B44"/>
    <w:rsid w:val="00ED3D4A"/>
    <w:rsid w:val="00ED3DA8"/>
    <w:rsid w:val="00ED3E8E"/>
    <w:rsid w:val="00ED3EB6"/>
    <w:rsid w:val="00ED3F83"/>
    <w:rsid w:val="00ED4072"/>
    <w:rsid w:val="00ED40A5"/>
    <w:rsid w:val="00ED41DC"/>
    <w:rsid w:val="00ED426A"/>
    <w:rsid w:val="00ED453C"/>
    <w:rsid w:val="00ED45E1"/>
    <w:rsid w:val="00ED46A3"/>
    <w:rsid w:val="00ED47D2"/>
    <w:rsid w:val="00ED485E"/>
    <w:rsid w:val="00ED4A17"/>
    <w:rsid w:val="00ED4CDE"/>
    <w:rsid w:val="00ED4E01"/>
    <w:rsid w:val="00ED4EB1"/>
    <w:rsid w:val="00ED4F6E"/>
    <w:rsid w:val="00ED5007"/>
    <w:rsid w:val="00ED523B"/>
    <w:rsid w:val="00ED53C7"/>
    <w:rsid w:val="00ED53F7"/>
    <w:rsid w:val="00ED549E"/>
    <w:rsid w:val="00ED551A"/>
    <w:rsid w:val="00ED56F2"/>
    <w:rsid w:val="00ED571D"/>
    <w:rsid w:val="00ED5863"/>
    <w:rsid w:val="00ED58CE"/>
    <w:rsid w:val="00ED5963"/>
    <w:rsid w:val="00ED5970"/>
    <w:rsid w:val="00ED5984"/>
    <w:rsid w:val="00ED5A66"/>
    <w:rsid w:val="00ED5AB9"/>
    <w:rsid w:val="00ED5AEE"/>
    <w:rsid w:val="00ED5B3D"/>
    <w:rsid w:val="00ED5C2A"/>
    <w:rsid w:val="00ED5C3C"/>
    <w:rsid w:val="00ED5C8B"/>
    <w:rsid w:val="00ED5CE4"/>
    <w:rsid w:val="00ED5D65"/>
    <w:rsid w:val="00ED5D8F"/>
    <w:rsid w:val="00ED5E17"/>
    <w:rsid w:val="00ED5F1B"/>
    <w:rsid w:val="00ED602B"/>
    <w:rsid w:val="00ED6081"/>
    <w:rsid w:val="00ED628D"/>
    <w:rsid w:val="00ED633A"/>
    <w:rsid w:val="00ED6355"/>
    <w:rsid w:val="00ED6568"/>
    <w:rsid w:val="00ED65DA"/>
    <w:rsid w:val="00ED65F3"/>
    <w:rsid w:val="00ED661D"/>
    <w:rsid w:val="00ED6689"/>
    <w:rsid w:val="00ED6745"/>
    <w:rsid w:val="00ED6873"/>
    <w:rsid w:val="00ED691B"/>
    <w:rsid w:val="00ED69B6"/>
    <w:rsid w:val="00ED69BD"/>
    <w:rsid w:val="00ED69EC"/>
    <w:rsid w:val="00ED6BDE"/>
    <w:rsid w:val="00ED6C09"/>
    <w:rsid w:val="00ED6C23"/>
    <w:rsid w:val="00ED6CFD"/>
    <w:rsid w:val="00ED6D21"/>
    <w:rsid w:val="00ED6D89"/>
    <w:rsid w:val="00ED6E38"/>
    <w:rsid w:val="00ED6F0E"/>
    <w:rsid w:val="00ED6F1B"/>
    <w:rsid w:val="00ED6F6E"/>
    <w:rsid w:val="00ED6FF4"/>
    <w:rsid w:val="00ED709D"/>
    <w:rsid w:val="00ED70BE"/>
    <w:rsid w:val="00ED710A"/>
    <w:rsid w:val="00ED71E2"/>
    <w:rsid w:val="00ED7202"/>
    <w:rsid w:val="00ED7369"/>
    <w:rsid w:val="00ED7519"/>
    <w:rsid w:val="00ED753A"/>
    <w:rsid w:val="00ED7567"/>
    <w:rsid w:val="00ED75F5"/>
    <w:rsid w:val="00ED76BD"/>
    <w:rsid w:val="00ED776F"/>
    <w:rsid w:val="00ED7A6A"/>
    <w:rsid w:val="00ED7B30"/>
    <w:rsid w:val="00ED7B83"/>
    <w:rsid w:val="00ED7BB1"/>
    <w:rsid w:val="00ED7C85"/>
    <w:rsid w:val="00ED7D8D"/>
    <w:rsid w:val="00ED7E29"/>
    <w:rsid w:val="00ED7F84"/>
    <w:rsid w:val="00EE0140"/>
    <w:rsid w:val="00EE01B0"/>
    <w:rsid w:val="00EE01D1"/>
    <w:rsid w:val="00EE022F"/>
    <w:rsid w:val="00EE0239"/>
    <w:rsid w:val="00EE03E0"/>
    <w:rsid w:val="00EE043C"/>
    <w:rsid w:val="00EE0479"/>
    <w:rsid w:val="00EE0491"/>
    <w:rsid w:val="00EE053B"/>
    <w:rsid w:val="00EE064C"/>
    <w:rsid w:val="00EE06E1"/>
    <w:rsid w:val="00EE0785"/>
    <w:rsid w:val="00EE0862"/>
    <w:rsid w:val="00EE08CA"/>
    <w:rsid w:val="00EE092A"/>
    <w:rsid w:val="00EE0952"/>
    <w:rsid w:val="00EE0A30"/>
    <w:rsid w:val="00EE0AD0"/>
    <w:rsid w:val="00EE0B61"/>
    <w:rsid w:val="00EE0EB0"/>
    <w:rsid w:val="00EE0F05"/>
    <w:rsid w:val="00EE10B3"/>
    <w:rsid w:val="00EE1153"/>
    <w:rsid w:val="00EE122C"/>
    <w:rsid w:val="00EE12DD"/>
    <w:rsid w:val="00EE136E"/>
    <w:rsid w:val="00EE138D"/>
    <w:rsid w:val="00EE1471"/>
    <w:rsid w:val="00EE14AE"/>
    <w:rsid w:val="00EE14FA"/>
    <w:rsid w:val="00EE15C3"/>
    <w:rsid w:val="00EE16A9"/>
    <w:rsid w:val="00EE16CD"/>
    <w:rsid w:val="00EE17A4"/>
    <w:rsid w:val="00EE185E"/>
    <w:rsid w:val="00EE18AE"/>
    <w:rsid w:val="00EE1B7C"/>
    <w:rsid w:val="00EE1BEF"/>
    <w:rsid w:val="00EE1D3E"/>
    <w:rsid w:val="00EE1EF7"/>
    <w:rsid w:val="00EE1F22"/>
    <w:rsid w:val="00EE1FC9"/>
    <w:rsid w:val="00EE20AD"/>
    <w:rsid w:val="00EE231A"/>
    <w:rsid w:val="00EE2339"/>
    <w:rsid w:val="00EE23D5"/>
    <w:rsid w:val="00EE24C0"/>
    <w:rsid w:val="00EE24D8"/>
    <w:rsid w:val="00EE2554"/>
    <w:rsid w:val="00EE2583"/>
    <w:rsid w:val="00EE27F1"/>
    <w:rsid w:val="00EE2807"/>
    <w:rsid w:val="00EE28CE"/>
    <w:rsid w:val="00EE290E"/>
    <w:rsid w:val="00EE294B"/>
    <w:rsid w:val="00EE29DB"/>
    <w:rsid w:val="00EE2A71"/>
    <w:rsid w:val="00EE2A75"/>
    <w:rsid w:val="00EE2AB7"/>
    <w:rsid w:val="00EE2B66"/>
    <w:rsid w:val="00EE2E5E"/>
    <w:rsid w:val="00EE2EA1"/>
    <w:rsid w:val="00EE3053"/>
    <w:rsid w:val="00EE3095"/>
    <w:rsid w:val="00EE323B"/>
    <w:rsid w:val="00EE324A"/>
    <w:rsid w:val="00EE32D1"/>
    <w:rsid w:val="00EE33CD"/>
    <w:rsid w:val="00EE3440"/>
    <w:rsid w:val="00EE345A"/>
    <w:rsid w:val="00EE360E"/>
    <w:rsid w:val="00EE3614"/>
    <w:rsid w:val="00EE3626"/>
    <w:rsid w:val="00EE365D"/>
    <w:rsid w:val="00EE3831"/>
    <w:rsid w:val="00EE3C79"/>
    <w:rsid w:val="00EE3E60"/>
    <w:rsid w:val="00EE3FFD"/>
    <w:rsid w:val="00EE3FFE"/>
    <w:rsid w:val="00EE403B"/>
    <w:rsid w:val="00EE40FB"/>
    <w:rsid w:val="00EE4105"/>
    <w:rsid w:val="00EE415D"/>
    <w:rsid w:val="00EE4205"/>
    <w:rsid w:val="00EE42C9"/>
    <w:rsid w:val="00EE4333"/>
    <w:rsid w:val="00EE43B1"/>
    <w:rsid w:val="00EE43B7"/>
    <w:rsid w:val="00EE4410"/>
    <w:rsid w:val="00EE441E"/>
    <w:rsid w:val="00EE44CB"/>
    <w:rsid w:val="00EE45C2"/>
    <w:rsid w:val="00EE4684"/>
    <w:rsid w:val="00EE46E5"/>
    <w:rsid w:val="00EE4738"/>
    <w:rsid w:val="00EE474A"/>
    <w:rsid w:val="00EE47EC"/>
    <w:rsid w:val="00EE47F4"/>
    <w:rsid w:val="00EE4916"/>
    <w:rsid w:val="00EE4ACE"/>
    <w:rsid w:val="00EE4BFD"/>
    <w:rsid w:val="00EE4CF0"/>
    <w:rsid w:val="00EE4D21"/>
    <w:rsid w:val="00EE4D3C"/>
    <w:rsid w:val="00EE4E7C"/>
    <w:rsid w:val="00EE4FBB"/>
    <w:rsid w:val="00EE4FF5"/>
    <w:rsid w:val="00EE5052"/>
    <w:rsid w:val="00EE509A"/>
    <w:rsid w:val="00EE521C"/>
    <w:rsid w:val="00EE52AE"/>
    <w:rsid w:val="00EE53CC"/>
    <w:rsid w:val="00EE549F"/>
    <w:rsid w:val="00EE558A"/>
    <w:rsid w:val="00EE55E7"/>
    <w:rsid w:val="00EE567A"/>
    <w:rsid w:val="00EE5862"/>
    <w:rsid w:val="00EE5906"/>
    <w:rsid w:val="00EE5A67"/>
    <w:rsid w:val="00EE5B5A"/>
    <w:rsid w:val="00EE5BE3"/>
    <w:rsid w:val="00EE5C00"/>
    <w:rsid w:val="00EE5C45"/>
    <w:rsid w:val="00EE5CD1"/>
    <w:rsid w:val="00EE5D61"/>
    <w:rsid w:val="00EE5E93"/>
    <w:rsid w:val="00EE5E9D"/>
    <w:rsid w:val="00EE5F12"/>
    <w:rsid w:val="00EE606B"/>
    <w:rsid w:val="00EE60D0"/>
    <w:rsid w:val="00EE6349"/>
    <w:rsid w:val="00EE64FC"/>
    <w:rsid w:val="00EE65C4"/>
    <w:rsid w:val="00EE65EC"/>
    <w:rsid w:val="00EE65FD"/>
    <w:rsid w:val="00EE67B0"/>
    <w:rsid w:val="00EE6812"/>
    <w:rsid w:val="00EE6819"/>
    <w:rsid w:val="00EE6868"/>
    <w:rsid w:val="00EE687E"/>
    <w:rsid w:val="00EE6889"/>
    <w:rsid w:val="00EE6941"/>
    <w:rsid w:val="00EE6961"/>
    <w:rsid w:val="00EE69B2"/>
    <w:rsid w:val="00EE6A29"/>
    <w:rsid w:val="00EE6B36"/>
    <w:rsid w:val="00EE6DD9"/>
    <w:rsid w:val="00EE6E8D"/>
    <w:rsid w:val="00EE6ED7"/>
    <w:rsid w:val="00EE6ED9"/>
    <w:rsid w:val="00EE7035"/>
    <w:rsid w:val="00EE72D8"/>
    <w:rsid w:val="00EE7456"/>
    <w:rsid w:val="00EE75E1"/>
    <w:rsid w:val="00EE760C"/>
    <w:rsid w:val="00EE76CB"/>
    <w:rsid w:val="00EE7794"/>
    <w:rsid w:val="00EE783F"/>
    <w:rsid w:val="00EE790C"/>
    <w:rsid w:val="00EE797C"/>
    <w:rsid w:val="00EE7AB2"/>
    <w:rsid w:val="00EE7B13"/>
    <w:rsid w:val="00EE7BB4"/>
    <w:rsid w:val="00EE7BE9"/>
    <w:rsid w:val="00EE7C40"/>
    <w:rsid w:val="00EE7CEC"/>
    <w:rsid w:val="00EE7D83"/>
    <w:rsid w:val="00EE7D9B"/>
    <w:rsid w:val="00EE7DCB"/>
    <w:rsid w:val="00EE7E25"/>
    <w:rsid w:val="00EE7F04"/>
    <w:rsid w:val="00EE7F61"/>
    <w:rsid w:val="00EE7FAA"/>
    <w:rsid w:val="00EF0103"/>
    <w:rsid w:val="00EF01DA"/>
    <w:rsid w:val="00EF0308"/>
    <w:rsid w:val="00EF033A"/>
    <w:rsid w:val="00EF04E7"/>
    <w:rsid w:val="00EF0500"/>
    <w:rsid w:val="00EF0621"/>
    <w:rsid w:val="00EF0643"/>
    <w:rsid w:val="00EF0657"/>
    <w:rsid w:val="00EF0684"/>
    <w:rsid w:val="00EF06DD"/>
    <w:rsid w:val="00EF0721"/>
    <w:rsid w:val="00EF07CF"/>
    <w:rsid w:val="00EF0907"/>
    <w:rsid w:val="00EF097B"/>
    <w:rsid w:val="00EF09E7"/>
    <w:rsid w:val="00EF0C0B"/>
    <w:rsid w:val="00EF0C3D"/>
    <w:rsid w:val="00EF0C93"/>
    <w:rsid w:val="00EF0CDC"/>
    <w:rsid w:val="00EF0D80"/>
    <w:rsid w:val="00EF0E30"/>
    <w:rsid w:val="00EF0EAC"/>
    <w:rsid w:val="00EF1193"/>
    <w:rsid w:val="00EF1208"/>
    <w:rsid w:val="00EF1220"/>
    <w:rsid w:val="00EF1233"/>
    <w:rsid w:val="00EF1284"/>
    <w:rsid w:val="00EF1493"/>
    <w:rsid w:val="00EF14AD"/>
    <w:rsid w:val="00EF1697"/>
    <w:rsid w:val="00EF171E"/>
    <w:rsid w:val="00EF1860"/>
    <w:rsid w:val="00EF1980"/>
    <w:rsid w:val="00EF19D8"/>
    <w:rsid w:val="00EF1AE4"/>
    <w:rsid w:val="00EF1B66"/>
    <w:rsid w:val="00EF1CEC"/>
    <w:rsid w:val="00EF1EB2"/>
    <w:rsid w:val="00EF1F1F"/>
    <w:rsid w:val="00EF1F67"/>
    <w:rsid w:val="00EF1FA4"/>
    <w:rsid w:val="00EF1FB6"/>
    <w:rsid w:val="00EF1FD3"/>
    <w:rsid w:val="00EF1FEC"/>
    <w:rsid w:val="00EF2002"/>
    <w:rsid w:val="00EF2005"/>
    <w:rsid w:val="00EF215E"/>
    <w:rsid w:val="00EF2242"/>
    <w:rsid w:val="00EF224F"/>
    <w:rsid w:val="00EF229A"/>
    <w:rsid w:val="00EF22E3"/>
    <w:rsid w:val="00EF2332"/>
    <w:rsid w:val="00EF2486"/>
    <w:rsid w:val="00EF2490"/>
    <w:rsid w:val="00EF2494"/>
    <w:rsid w:val="00EF24C1"/>
    <w:rsid w:val="00EF24CA"/>
    <w:rsid w:val="00EF261E"/>
    <w:rsid w:val="00EF2660"/>
    <w:rsid w:val="00EF26EB"/>
    <w:rsid w:val="00EF2756"/>
    <w:rsid w:val="00EF280A"/>
    <w:rsid w:val="00EF2822"/>
    <w:rsid w:val="00EF28AF"/>
    <w:rsid w:val="00EF2B60"/>
    <w:rsid w:val="00EF2BEE"/>
    <w:rsid w:val="00EF2CD4"/>
    <w:rsid w:val="00EF2DD9"/>
    <w:rsid w:val="00EF2DE5"/>
    <w:rsid w:val="00EF2EA0"/>
    <w:rsid w:val="00EF2F3B"/>
    <w:rsid w:val="00EF2F9C"/>
    <w:rsid w:val="00EF3008"/>
    <w:rsid w:val="00EF3065"/>
    <w:rsid w:val="00EF3115"/>
    <w:rsid w:val="00EF332D"/>
    <w:rsid w:val="00EF3427"/>
    <w:rsid w:val="00EF34C2"/>
    <w:rsid w:val="00EF34E1"/>
    <w:rsid w:val="00EF3532"/>
    <w:rsid w:val="00EF3596"/>
    <w:rsid w:val="00EF3663"/>
    <w:rsid w:val="00EF36E1"/>
    <w:rsid w:val="00EF373C"/>
    <w:rsid w:val="00EF385C"/>
    <w:rsid w:val="00EF391E"/>
    <w:rsid w:val="00EF3991"/>
    <w:rsid w:val="00EF3A28"/>
    <w:rsid w:val="00EF3A29"/>
    <w:rsid w:val="00EF3C2E"/>
    <w:rsid w:val="00EF3C5C"/>
    <w:rsid w:val="00EF3F1F"/>
    <w:rsid w:val="00EF3F26"/>
    <w:rsid w:val="00EF4108"/>
    <w:rsid w:val="00EF413F"/>
    <w:rsid w:val="00EF4144"/>
    <w:rsid w:val="00EF41E9"/>
    <w:rsid w:val="00EF436A"/>
    <w:rsid w:val="00EF439C"/>
    <w:rsid w:val="00EF43C5"/>
    <w:rsid w:val="00EF43EC"/>
    <w:rsid w:val="00EF4425"/>
    <w:rsid w:val="00EF44E5"/>
    <w:rsid w:val="00EF4527"/>
    <w:rsid w:val="00EF45B0"/>
    <w:rsid w:val="00EF463C"/>
    <w:rsid w:val="00EF4680"/>
    <w:rsid w:val="00EF4698"/>
    <w:rsid w:val="00EF4722"/>
    <w:rsid w:val="00EF486F"/>
    <w:rsid w:val="00EF4910"/>
    <w:rsid w:val="00EF4A39"/>
    <w:rsid w:val="00EF4B98"/>
    <w:rsid w:val="00EF4C1C"/>
    <w:rsid w:val="00EF4C58"/>
    <w:rsid w:val="00EF4D52"/>
    <w:rsid w:val="00EF4DE5"/>
    <w:rsid w:val="00EF4E3F"/>
    <w:rsid w:val="00EF4F5D"/>
    <w:rsid w:val="00EF4FB4"/>
    <w:rsid w:val="00EF5015"/>
    <w:rsid w:val="00EF5034"/>
    <w:rsid w:val="00EF5511"/>
    <w:rsid w:val="00EF55D2"/>
    <w:rsid w:val="00EF56AC"/>
    <w:rsid w:val="00EF56E6"/>
    <w:rsid w:val="00EF5825"/>
    <w:rsid w:val="00EF5A2B"/>
    <w:rsid w:val="00EF5ACC"/>
    <w:rsid w:val="00EF5B07"/>
    <w:rsid w:val="00EF5BA5"/>
    <w:rsid w:val="00EF5BFC"/>
    <w:rsid w:val="00EF5C5F"/>
    <w:rsid w:val="00EF5C93"/>
    <w:rsid w:val="00EF5CFE"/>
    <w:rsid w:val="00EF5D6D"/>
    <w:rsid w:val="00EF5E6A"/>
    <w:rsid w:val="00EF621F"/>
    <w:rsid w:val="00EF62A2"/>
    <w:rsid w:val="00EF62E3"/>
    <w:rsid w:val="00EF6352"/>
    <w:rsid w:val="00EF6651"/>
    <w:rsid w:val="00EF6661"/>
    <w:rsid w:val="00EF6749"/>
    <w:rsid w:val="00EF6750"/>
    <w:rsid w:val="00EF67F0"/>
    <w:rsid w:val="00EF687C"/>
    <w:rsid w:val="00EF6B55"/>
    <w:rsid w:val="00EF6BBB"/>
    <w:rsid w:val="00EF6C1E"/>
    <w:rsid w:val="00EF6C5C"/>
    <w:rsid w:val="00EF6CCD"/>
    <w:rsid w:val="00EF6D19"/>
    <w:rsid w:val="00EF6FE1"/>
    <w:rsid w:val="00EF6FEF"/>
    <w:rsid w:val="00EF71EF"/>
    <w:rsid w:val="00EF7206"/>
    <w:rsid w:val="00EF7237"/>
    <w:rsid w:val="00EF7346"/>
    <w:rsid w:val="00EF7371"/>
    <w:rsid w:val="00EF738F"/>
    <w:rsid w:val="00EF739C"/>
    <w:rsid w:val="00EF73B3"/>
    <w:rsid w:val="00EF74C7"/>
    <w:rsid w:val="00EF7633"/>
    <w:rsid w:val="00EF76AD"/>
    <w:rsid w:val="00EF76C4"/>
    <w:rsid w:val="00EF77EE"/>
    <w:rsid w:val="00EF7834"/>
    <w:rsid w:val="00EF792D"/>
    <w:rsid w:val="00EF793C"/>
    <w:rsid w:val="00EF7952"/>
    <w:rsid w:val="00EF7993"/>
    <w:rsid w:val="00EF79E6"/>
    <w:rsid w:val="00EF7A9B"/>
    <w:rsid w:val="00EF7AFF"/>
    <w:rsid w:val="00EF7CAC"/>
    <w:rsid w:val="00EF7CD6"/>
    <w:rsid w:val="00EF7CE0"/>
    <w:rsid w:val="00EF7D4C"/>
    <w:rsid w:val="00EF7D64"/>
    <w:rsid w:val="00EF7D82"/>
    <w:rsid w:val="00EF7F07"/>
    <w:rsid w:val="00EF7F0E"/>
    <w:rsid w:val="00EF7FB5"/>
    <w:rsid w:val="00F00245"/>
    <w:rsid w:val="00F00273"/>
    <w:rsid w:val="00F002B2"/>
    <w:rsid w:val="00F002D1"/>
    <w:rsid w:val="00F002D7"/>
    <w:rsid w:val="00F00435"/>
    <w:rsid w:val="00F00558"/>
    <w:rsid w:val="00F00668"/>
    <w:rsid w:val="00F006FB"/>
    <w:rsid w:val="00F00779"/>
    <w:rsid w:val="00F007A8"/>
    <w:rsid w:val="00F007C9"/>
    <w:rsid w:val="00F007E0"/>
    <w:rsid w:val="00F00883"/>
    <w:rsid w:val="00F008D9"/>
    <w:rsid w:val="00F00B5D"/>
    <w:rsid w:val="00F00C61"/>
    <w:rsid w:val="00F00C6C"/>
    <w:rsid w:val="00F00CC2"/>
    <w:rsid w:val="00F00D04"/>
    <w:rsid w:val="00F00D34"/>
    <w:rsid w:val="00F00E6D"/>
    <w:rsid w:val="00F00E92"/>
    <w:rsid w:val="00F00F13"/>
    <w:rsid w:val="00F00F6B"/>
    <w:rsid w:val="00F00F7D"/>
    <w:rsid w:val="00F00FEC"/>
    <w:rsid w:val="00F010BD"/>
    <w:rsid w:val="00F010D1"/>
    <w:rsid w:val="00F010F4"/>
    <w:rsid w:val="00F01224"/>
    <w:rsid w:val="00F0135F"/>
    <w:rsid w:val="00F01381"/>
    <w:rsid w:val="00F01446"/>
    <w:rsid w:val="00F01463"/>
    <w:rsid w:val="00F01487"/>
    <w:rsid w:val="00F0155E"/>
    <w:rsid w:val="00F017FF"/>
    <w:rsid w:val="00F01820"/>
    <w:rsid w:val="00F01919"/>
    <w:rsid w:val="00F0194E"/>
    <w:rsid w:val="00F01A72"/>
    <w:rsid w:val="00F01AD7"/>
    <w:rsid w:val="00F01B81"/>
    <w:rsid w:val="00F01CBB"/>
    <w:rsid w:val="00F01E18"/>
    <w:rsid w:val="00F01EA3"/>
    <w:rsid w:val="00F01F56"/>
    <w:rsid w:val="00F02071"/>
    <w:rsid w:val="00F02178"/>
    <w:rsid w:val="00F021A5"/>
    <w:rsid w:val="00F0235F"/>
    <w:rsid w:val="00F02533"/>
    <w:rsid w:val="00F02570"/>
    <w:rsid w:val="00F025B7"/>
    <w:rsid w:val="00F026B8"/>
    <w:rsid w:val="00F02757"/>
    <w:rsid w:val="00F02A5C"/>
    <w:rsid w:val="00F02D8E"/>
    <w:rsid w:val="00F02DD1"/>
    <w:rsid w:val="00F02DDD"/>
    <w:rsid w:val="00F02E58"/>
    <w:rsid w:val="00F02EAF"/>
    <w:rsid w:val="00F02FDE"/>
    <w:rsid w:val="00F03078"/>
    <w:rsid w:val="00F0315C"/>
    <w:rsid w:val="00F032AD"/>
    <w:rsid w:val="00F032AF"/>
    <w:rsid w:val="00F03342"/>
    <w:rsid w:val="00F03389"/>
    <w:rsid w:val="00F0343E"/>
    <w:rsid w:val="00F034FD"/>
    <w:rsid w:val="00F036D3"/>
    <w:rsid w:val="00F03712"/>
    <w:rsid w:val="00F0373B"/>
    <w:rsid w:val="00F0373C"/>
    <w:rsid w:val="00F03743"/>
    <w:rsid w:val="00F03982"/>
    <w:rsid w:val="00F039A6"/>
    <w:rsid w:val="00F039FD"/>
    <w:rsid w:val="00F03AD3"/>
    <w:rsid w:val="00F03B88"/>
    <w:rsid w:val="00F03BB2"/>
    <w:rsid w:val="00F03CE3"/>
    <w:rsid w:val="00F03D14"/>
    <w:rsid w:val="00F03D70"/>
    <w:rsid w:val="00F040CF"/>
    <w:rsid w:val="00F041A1"/>
    <w:rsid w:val="00F041F8"/>
    <w:rsid w:val="00F043B2"/>
    <w:rsid w:val="00F043CB"/>
    <w:rsid w:val="00F043DE"/>
    <w:rsid w:val="00F0440F"/>
    <w:rsid w:val="00F0447E"/>
    <w:rsid w:val="00F04514"/>
    <w:rsid w:val="00F0464A"/>
    <w:rsid w:val="00F046AC"/>
    <w:rsid w:val="00F046D5"/>
    <w:rsid w:val="00F04758"/>
    <w:rsid w:val="00F0475F"/>
    <w:rsid w:val="00F04801"/>
    <w:rsid w:val="00F048AF"/>
    <w:rsid w:val="00F04A09"/>
    <w:rsid w:val="00F04A5D"/>
    <w:rsid w:val="00F04A83"/>
    <w:rsid w:val="00F04AC4"/>
    <w:rsid w:val="00F04AE7"/>
    <w:rsid w:val="00F04BB2"/>
    <w:rsid w:val="00F04C53"/>
    <w:rsid w:val="00F04C96"/>
    <w:rsid w:val="00F04EA7"/>
    <w:rsid w:val="00F04F0F"/>
    <w:rsid w:val="00F04F10"/>
    <w:rsid w:val="00F04F17"/>
    <w:rsid w:val="00F04FD5"/>
    <w:rsid w:val="00F0501B"/>
    <w:rsid w:val="00F05252"/>
    <w:rsid w:val="00F05256"/>
    <w:rsid w:val="00F05275"/>
    <w:rsid w:val="00F05303"/>
    <w:rsid w:val="00F0533D"/>
    <w:rsid w:val="00F0537F"/>
    <w:rsid w:val="00F05463"/>
    <w:rsid w:val="00F0550C"/>
    <w:rsid w:val="00F055A1"/>
    <w:rsid w:val="00F055AB"/>
    <w:rsid w:val="00F055F4"/>
    <w:rsid w:val="00F0564D"/>
    <w:rsid w:val="00F056AF"/>
    <w:rsid w:val="00F05701"/>
    <w:rsid w:val="00F057A0"/>
    <w:rsid w:val="00F05859"/>
    <w:rsid w:val="00F058C2"/>
    <w:rsid w:val="00F05914"/>
    <w:rsid w:val="00F0598A"/>
    <w:rsid w:val="00F059B6"/>
    <w:rsid w:val="00F05A38"/>
    <w:rsid w:val="00F05A59"/>
    <w:rsid w:val="00F05B34"/>
    <w:rsid w:val="00F05BE1"/>
    <w:rsid w:val="00F05C45"/>
    <w:rsid w:val="00F05C6A"/>
    <w:rsid w:val="00F05D04"/>
    <w:rsid w:val="00F05D5F"/>
    <w:rsid w:val="00F05DB7"/>
    <w:rsid w:val="00F05ECE"/>
    <w:rsid w:val="00F05F3F"/>
    <w:rsid w:val="00F06064"/>
    <w:rsid w:val="00F060F8"/>
    <w:rsid w:val="00F0636F"/>
    <w:rsid w:val="00F06384"/>
    <w:rsid w:val="00F06564"/>
    <w:rsid w:val="00F065A0"/>
    <w:rsid w:val="00F065BC"/>
    <w:rsid w:val="00F065D6"/>
    <w:rsid w:val="00F066E9"/>
    <w:rsid w:val="00F06771"/>
    <w:rsid w:val="00F06874"/>
    <w:rsid w:val="00F068AC"/>
    <w:rsid w:val="00F068F8"/>
    <w:rsid w:val="00F06934"/>
    <w:rsid w:val="00F0695A"/>
    <w:rsid w:val="00F06998"/>
    <w:rsid w:val="00F06B02"/>
    <w:rsid w:val="00F06B9D"/>
    <w:rsid w:val="00F06B9E"/>
    <w:rsid w:val="00F06BAF"/>
    <w:rsid w:val="00F06CB3"/>
    <w:rsid w:val="00F06CD3"/>
    <w:rsid w:val="00F06D6B"/>
    <w:rsid w:val="00F06EB3"/>
    <w:rsid w:val="00F06EFC"/>
    <w:rsid w:val="00F06F24"/>
    <w:rsid w:val="00F07005"/>
    <w:rsid w:val="00F070C5"/>
    <w:rsid w:val="00F07352"/>
    <w:rsid w:val="00F074BC"/>
    <w:rsid w:val="00F075BE"/>
    <w:rsid w:val="00F075D1"/>
    <w:rsid w:val="00F076CA"/>
    <w:rsid w:val="00F07792"/>
    <w:rsid w:val="00F077A9"/>
    <w:rsid w:val="00F0785B"/>
    <w:rsid w:val="00F079D5"/>
    <w:rsid w:val="00F07BD3"/>
    <w:rsid w:val="00F07C01"/>
    <w:rsid w:val="00F07C93"/>
    <w:rsid w:val="00F07D5E"/>
    <w:rsid w:val="00F07D71"/>
    <w:rsid w:val="00F07E61"/>
    <w:rsid w:val="00F07E9B"/>
    <w:rsid w:val="00F07EEC"/>
    <w:rsid w:val="00F07F0E"/>
    <w:rsid w:val="00F100DE"/>
    <w:rsid w:val="00F10127"/>
    <w:rsid w:val="00F10136"/>
    <w:rsid w:val="00F10182"/>
    <w:rsid w:val="00F102B5"/>
    <w:rsid w:val="00F103D0"/>
    <w:rsid w:val="00F104D0"/>
    <w:rsid w:val="00F10537"/>
    <w:rsid w:val="00F10626"/>
    <w:rsid w:val="00F10687"/>
    <w:rsid w:val="00F106BD"/>
    <w:rsid w:val="00F106FA"/>
    <w:rsid w:val="00F10712"/>
    <w:rsid w:val="00F1088E"/>
    <w:rsid w:val="00F10974"/>
    <w:rsid w:val="00F109BA"/>
    <w:rsid w:val="00F10A15"/>
    <w:rsid w:val="00F10A3A"/>
    <w:rsid w:val="00F10A93"/>
    <w:rsid w:val="00F10BB9"/>
    <w:rsid w:val="00F10CEB"/>
    <w:rsid w:val="00F10E03"/>
    <w:rsid w:val="00F10FF6"/>
    <w:rsid w:val="00F11174"/>
    <w:rsid w:val="00F1121C"/>
    <w:rsid w:val="00F112F2"/>
    <w:rsid w:val="00F11661"/>
    <w:rsid w:val="00F11718"/>
    <w:rsid w:val="00F118A6"/>
    <w:rsid w:val="00F118AA"/>
    <w:rsid w:val="00F118F4"/>
    <w:rsid w:val="00F11900"/>
    <w:rsid w:val="00F11951"/>
    <w:rsid w:val="00F11997"/>
    <w:rsid w:val="00F119C7"/>
    <w:rsid w:val="00F119DF"/>
    <w:rsid w:val="00F11ADB"/>
    <w:rsid w:val="00F11B69"/>
    <w:rsid w:val="00F11B73"/>
    <w:rsid w:val="00F11C63"/>
    <w:rsid w:val="00F11D39"/>
    <w:rsid w:val="00F11D40"/>
    <w:rsid w:val="00F11E6B"/>
    <w:rsid w:val="00F11EA7"/>
    <w:rsid w:val="00F11EF0"/>
    <w:rsid w:val="00F11F28"/>
    <w:rsid w:val="00F11F8E"/>
    <w:rsid w:val="00F120D0"/>
    <w:rsid w:val="00F12174"/>
    <w:rsid w:val="00F121C6"/>
    <w:rsid w:val="00F121F3"/>
    <w:rsid w:val="00F121F6"/>
    <w:rsid w:val="00F1223E"/>
    <w:rsid w:val="00F12382"/>
    <w:rsid w:val="00F123F9"/>
    <w:rsid w:val="00F124CB"/>
    <w:rsid w:val="00F124DC"/>
    <w:rsid w:val="00F125A5"/>
    <w:rsid w:val="00F12694"/>
    <w:rsid w:val="00F127A1"/>
    <w:rsid w:val="00F12884"/>
    <w:rsid w:val="00F12894"/>
    <w:rsid w:val="00F12B17"/>
    <w:rsid w:val="00F12B73"/>
    <w:rsid w:val="00F12C53"/>
    <w:rsid w:val="00F12E13"/>
    <w:rsid w:val="00F12E81"/>
    <w:rsid w:val="00F12F65"/>
    <w:rsid w:val="00F12FD3"/>
    <w:rsid w:val="00F1306E"/>
    <w:rsid w:val="00F130B3"/>
    <w:rsid w:val="00F13164"/>
    <w:rsid w:val="00F1319F"/>
    <w:rsid w:val="00F131E4"/>
    <w:rsid w:val="00F131EE"/>
    <w:rsid w:val="00F132F2"/>
    <w:rsid w:val="00F13308"/>
    <w:rsid w:val="00F13395"/>
    <w:rsid w:val="00F133A5"/>
    <w:rsid w:val="00F1345E"/>
    <w:rsid w:val="00F1348E"/>
    <w:rsid w:val="00F13492"/>
    <w:rsid w:val="00F1352D"/>
    <w:rsid w:val="00F13534"/>
    <w:rsid w:val="00F1375E"/>
    <w:rsid w:val="00F137A8"/>
    <w:rsid w:val="00F138FF"/>
    <w:rsid w:val="00F1399A"/>
    <w:rsid w:val="00F13BA0"/>
    <w:rsid w:val="00F13C49"/>
    <w:rsid w:val="00F13D41"/>
    <w:rsid w:val="00F13D6A"/>
    <w:rsid w:val="00F13E25"/>
    <w:rsid w:val="00F13EAC"/>
    <w:rsid w:val="00F13F06"/>
    <w:rsid w:val="00F13F38"/>
    <w:rsid w:val="00F141A3"/>
    <w:rsid w:val="00F14267"/>
    <w:rsid w:val="00F142BC"/>
    <w:rsid w:val="00F1436A"/>
    <w:rsid w:val="00F143A3"/>
    <w:rsid w:val="00F14442"/>
    <w:rsid w:val="00F1452B"/>
    <w:rsid w:val="00F1457E"/>
    <w:rsid w:val="00F145E1"/>
    <w:rsid w:val="00F14604"/>
    <w:rsid w:val="00F146E4"/>
    <w:rsid w:val="00F1485B"/>
    <w:rsid w:val="00F14889"/>
    <w:rsid w:val="00F148DE"/>
    <w:rsid w:val="00F1491A"/>
    <w:rsid w:val="00F14D76"/>
    <w:rsid w:val="00F14DE1"/>
    <w:rsid w:val="00F14ED4"/>
    <w:rsid w:val="00F14F58"/>
    <w:rsid w:val="00F150C7"/>
    <w:rsid w:val="00F150F4"/>
    <w:rsid w:val="00F150F6"/>
    <w:rsid w:val="00F152F5"/>
    <w:rsid w:val="00F153CE"/>
    <w:rsid w:val="00F154BD"/>
    <w:rsid w:val="00F154ED"/>
    <w:rsid w:val="00F15539"/>
    <w:rsid w:val="00F15544"/>
    <w:rsid w:val="00F1555D"/>
    <w:rsid w:val="00F155D6"/>
    <w:rsid w:val="00F1561A"/>
    <w:rsid w:val="00F1566E"/>
    <w:rsid w:val="00F156EA"/>
    <w:rsid w:val="00F157E7"/>
    <w:rsid w:val="00F1588F"/>
    <w:rsid w:val="00F159CD"/>
    <w:rsid w:val="00F159F9"/>
    <w:rsid w:val="00F15A24"/>
    <w:rsid w:val="00F15B1F"/>
    <w:rsid w:val="00F15B83"/>
    <w:rsid w:val="00F15C1F"/>
    <w:rsid w:val="00F15C3A"/>
    <w:rsid w:val="00F15C7B"/>
    <w:rsid w:val="00F15DB3"/>
    <w:rsid w:val="00F15FCA"/>
    <w:rsid w:val="00F1616E"/>
    <w:rsid w:val="00F1618C"/>
    <w:rsid w:val="00F162F4"/>
    <w:rsid w:val="00F16340"/>
    <w:rsid w:val="00F16528"/>
    <w:rsid w:val="00F16574"/>
    <w:rsid w:val="00F1658F"/>
    <w:rsid w:val="00F1667C"/>
    <w:rsid w:val="00F16744"/>
    <w:rsid w:val="00F167CE"/>
    <w:rsid w:val="00F167EC"/>
    <w:rsid w:val="00F1684F"/>
    <w:rsid w:val="00F16880"/>
    <w:rsid w:val="00F16923"/>
    <w:rsid w:val="00F169AA"/>
    <w:rsid w:val="00F16A4A"/>
    <w:rsid w:val="00F16A75"/>
    <w:rsid w:val="00F16B18"/>
    <w:rsid w:val="00F16B5E"/>
    <w:rsid w:val="00F16BD5"/>
    <w:rsid w:val="00F16C66"/>
    <w:rsid w:val="00F16CA4"/>
    <w:rsid w:val="00F16DC1"/>
    <w:rsid w:val="00F16ECA"/>
    <w:rsid w:val="00F17034"/>
    <w:rsid w:val="00F17154"/>
    <w:rsid w:val="00F17259"/>
    <w:rsid w:val="00F17287"/>
    <w:rsid w:val="00F17516"/>
    <w:rsid w:val="00F1757B"/>
    <w:rsid w:val="00F17596"/>
    <w:rsid w:val="00F17650"/>
    <w:rsid w:val="00F1793B"/>
    <w:rsid w:val="00F179FF"/>
    <w:rsid w:val="00F17A84"/>
    <w:rsid w:val="00F17AA0"/>
    <w:rsid w:val="00F17B6A"/>
    <w:rsid w:val="00F17B75"/>
    <w:rsid w:val="00F17BEB"/>
    <w:rsid w:val="00F17C33"/>
    <w:rsid w:val="00F17C83"/>
    <w:rsid w:val="00F17CC3"/>
    <w:rsid w:val="00F17D88"/>
    <w:rsid w:val="00F17DA8"/>
    <w:rsid w:val="00F17E84"/>
    <w:rsid w:val="00F17FEC"/>
    <w:rsid w:val="00F20022"/>
    <w:rsid w:val="00F20030"/>
    <w:rsid w:val="00F200CB"/>
    <w:rsid w:val="00F20213"/>
    <w:rsid w:val="00F20230"/>
    <w:rsid w:val="00F20250"/>
    <w:rsid w:val="00F20281"/>
    <w:rsid w:val="00F202AD"/>
    <w:rsid w:val="00F20396"/>
    <w:rsid w:val="00F20459"/>
    <w:rsid w:val="00F20640"/>
    <w:rsid w:val="00F20650"/>
    <w:rsid w:val="00F206D4"/>
    <w:rsid w:val="00F20729"/>
    <w:rsid w:val="00F2074C"/>
    <w:rsid w:val="00F20771"/>
    <w:rsid w:val="00F20860"/>
    <w:rsid w:val="00F20896"/>
    <w:rsid w:val="00F20A33"/>
    <w:rsid w:val="00F20AC1"/>
    <w:rsid w:val="00F20B70"/>
    <w:rsid w:val="00F20D45"/>
    <w:rsid w:val="00F20D76"/>
    <w:rsid w:val="00F20EF5"/>
    <w:rsid w:val="00F20F60"/>
    <w:rsid w:val="00F211CA"/>
    <w:rsid w:val="00F21226"/>
    <w:rsid w:val="00F21456"/>
    <w:rsid w:val="00F2150D"/>
    <w:rsid w:val="00F217BE"/>
    <w:rsid w:val="00F217D7"/>
    <w:rsid w:val="00F2182C"/>
    <w:rsid w:val="00F21922"/>
    <w:rsid w:val="00F21B01"/>
    <w:rsid w:val="00F21B6C"/>
    <w:rsid w:val="00F21B85"/>
    <w:rsid w:val="00F21BF8"/>
    <w:rsid w:val="00F21C34"/>
    <w:rsid w:val="00F21CB9"/>
    <w:rsid w:val="00F21CC0"/>
    <w:rsid w:val="00F21D49"/>
    <w:rsid w:val="00F21DF6"/>
    <w:rsid w:val="00F21E3D"/>
    <w:rsid w:val="00F21E50"/>
    <w:rsid w:val="00F21FCA"/>
    <w:rsid w:val="00F2215B"/>
    <w:rsid w:val="00F22295"/>
    <w:rsid w:val="00F223C3"/>
    <w:rsid w:val="00F2247C"/>
    <w:rsid w:val="00F2251D"/>
    <w:rsid w:val="00F227A6"/>
    <w:rsid w:val="00F22A26"/>
    <w:rsid w:val="00F22A30"/>
    <w:rsid w:val="00F22A83"/>
    <w:rsid w:val="00F22AAD"/>
    <w:rsid w:val="00F22B0F"/>
    <w:rsid w:val="00F22BBE"/>
    <w:rsid w:val="00F22C78"/>
    <w:rsid w:val="00F22D0A"/>
    <w:rsid w:val="00F22D2E"/>
    <w:rsid w:val="00F22D48"/>
    <w:rsid w:val="00F22DF1"/>
    <w:rsid w:val="00F22EF0"/>
    <w:rsid w:val="00F23007"/>
    <w:rsid w:val="00F23189"/>
    <w:rsid w:val="00F231AB"/>
    <w:rsid w:val="00F23203"/>
    <w:rsid w:val="00F23292"/>
    <w:rsid w:val="00F2330B"/>
    <w:rsid w:val="00F23325"/>
    <w:rsid w:val="00F23334"/>
    <w:rsid w:val="00F233A2"/>
    <w:rsid w:val="00F23456"/>
    <w:rsid w:val="00F234A6"/>
    <w:rsid w:val="00F234E2"/>
    <w:rsid w:val="00F235EA"/>
    <w:rsid w:val="00F236B5"/>
    <w:rsid w:val="00F236C2"/>
    <w:rsid w:val="00F23821"/>
    <w:rsid w:val="00F238D9"/>
    <w:rsid w:val="00F239D6"/>
    <w:rsid w:val="00F23AD1"/>
    <w:rsid w:val="00F23D9C"/>
    <w:rsid w:val="00F23E7D"/>
    <w:rsid w:val="00F23FAA"/>
    <w:rsid w:val="00F2403A"/>
    <w:rsid w:val="00F240AC"/>
    <w:rsid w:val="00F2415C"/>
    <w:rsid w:val="00F24297"/>
    <w:rsid w:val="00F242CF"/>
    <w:rsid w:val="00F245B4"/>
    <w:rsid w:val="00F2481A"/>
    <w:rsid w:val="00F2481C"/>
    <w:rsid w:val="00F24839"/>
    <w:rsid w:val="00F24A0D"/>
    <w:rsid w:val="00F24B03"/>
    <w:rsid w:val="00F24BE8"/>
    <w:rsid w:val="00F24D75"/>
    <w:rsid w:val="00F24F85"/>
    <w:rsid w:val="00F2502D"/>
    <w:rsid w:val="00F2508A"/>
    <w:rsid w:val="00F25259"/>
    <w:rsid w:val="00F25381"/>
    <w:rsid w:val="00F253BF"/>
    <w:rsid w:val="00F25424"/>
    <w:rsid w:val="00F25439"/>
    <w:rsid w:val="00F25482"/>
    <w:rsid w:val="00F254F7"/>
    <w:rsid w:val="00F2550A"/>
    <w:rsid w:val="00F25514"/>
    <w:rsid w:val="00F2557C"/>
    <w:rsid w:val="00F256B7"/>
    <w:rsid w:val="00F257EC"/>
    <w:rsid w:val="00F2599F"/>
    <w:rsid w:val="00F25A86"/>
    <w:rsid w:val="00F25B37"/>
    <w:rsid w:val="00F25BFE"/>
    <w:rsid w:val="00F25C6A"/>
    <w:rsid w:val="00F25CC6"/>
    <w:rsid w:val="00F25D0B"/>
    <w:rsid w:val="00F25E50"/>
    <w:rsid w:val="00F25F02"/>
    <w:rsid w:val="00F25FD1"/>
    <w:rsid w:val="00F26050"/>
    <w:rsid w:val="00F26186"/>
    <w:rsid w:val="00F262D1"/>
    <w:rsid w:val="00F262D2"/>
    <w:rsid w:val="00F262EC"/>
    <w:rsid w:val="00F26347"/>
    <w:rsid w:val="00F263FE"/>
    <w:rsid w:val="00F264AB"/>
    <w:rsid w:val="00F264F2"/>
    <w:rsid w:val="00F264F5"/>
    <w:rsid w:val="00F26510"/>
    <w:rsid w:val="00F2652E"/>
    <w:rsid w:val="00F26620"/>
    <w:rsid w:val="00F266F6"/>
    <w:rsid w:val="00F26775"/>
    <w:rsid w:val="00F2689E"/>
    <w:rsid w:val="00F26AA0"/>
    <w:rsid w:val="00F26AEB"/>
    <w:rsid w:val="00F26C02"/>
    <w:rsid w:val="00F26C65"/>
    <w:rsid w:val="00F26DA4"/>
    <w:rsid w:val="00F26DC9"/>
    <w:rsid w:val="00F26DF6"/>
    <w:rsid w:val="00F27074"/>
    <w:rsid w:val="00F2709C"/>
    <w:rsid w:val="00F271B1"/>
    <w:rsid w:val="00F271C8"/>
    <w:rsid w:val="00F2731F"/>
    <w:rsid w:val="00F27390"/>
    <w:rsid w:val="00F27484"/>
    <w:rsid w:val="00F275BF"/>
    <w:rsid w:val="00F27703"/>
    <w:rsid w:val="00F27722"/>
    <w:rsid w:val="00F27779"/>
    <w:rsid w:val="00F277C0"/>
    <w:rsid w:val="00F278CA"/>
    <w:rsid w:val="00F278E6"/>
    <w:rsid w:val="00F27941"/>
    <w:rsid w:val="00F2799E"/>
    <w:rsid w:val="00F279C1"/>
    <w:rsid w:val="00F27A06"/>
    <w:rsid w:val="00F27A36"/>
    <w:rsid w:val="00F27C38"/>
    <w:rsid w:val="00F27CA5"/>
    <w:rsid w:val="00F27D43"/>
    <w:rsid w:val="00F27D59"/>
    <w:rsid w:val="00F27EB6"/>
    <w:rsid w:val="00F27F83"/>
    <w:rsid w:val="00F30031"/>
    <w:rsid w:val="00F300D6"/>
    <w:rsid w:val="00F300DA"/>
    <w:rsid w:val="00F3033D"/>
    <w:rsid w:val="00F3038E"/>
    <w:rsid w:val="00F305DA"/>
    <w:rsid w:val="00F305EF"/>
    <w:rsid w:val="00F308F8"/>
    <w:rsid w:val="00F3092D"/>
    <w:rsid w:val="00F30A2C"/>
    <w:rsid w:val="00F30A92"/>
    <w:rsid w:val="00F30C3D"/>
    <w:rsid w:val="00F30CE5"/>
    <w:rsid w:val="00F30CF6"/>
    <w:rsid w:val="00F30D86"/>
    <w:rsid w:val="00F30DA7"/>
    <w:rsid w:val="00F30E8D"/>
    <w:rsid w:val="00F30EB0"/>
    <w:rsid w:val="00F30F93"/>
    <w:rsid w:val="00F31001"/>
    <w:rsid w:val="00F31061"/>
    <w:rsid w:val="00F312A5"/>
    <w:rsid w:val="00F3130B"/>
    <w:rsid w:val="00F313C4"/>
    <w:rsid w:val="00F313E2"/>
    <w:rsid w:val="00F3140C"/>
    <w:rsid w:val="00F31427"/>
    <w:rsid w:val="00F314A0"/>
    <w:rsid w:val="00F315F9"/>
    <w:rsid w:val="00F316DD"/>
    <w:rsid w:val="00F3177A"/>
    <w:rsid w:val="00F317F7"/>
    <w:rsid w:val="00F31937"/>
    <w:rsid w:val="00F31AA9"/>
    <w:rsid w:val="00F31C74"/>
    <w:rsid w:val="00F31D84"/>
    <w:rsid w:val="00F31DDC"/>
    <w:rsid w:val="00F31E71"/>
    <w:rsid w:val="00F31FD0"/>
    <w:rsid w:val="00F31FE1"/>
    <w:rsid w:val="00F32188"/>
    <w:rsid w:val="00F321D7"/>
    <w:rsid w:val="00F32211"/>
    <w:rsid w:val="00F32389"/>
    <w:rsid w:val="00F3241A"/>
    <w:rsid w:val="00F3245B"/>
    <w:rsid w:val="00F32620"/>
    <w:rsid w:val="00F3269F"/>
    <w:rsid w:val="00F32707"/>
    <w:rsid w:val="00F32916"/>
    <w:rsid w:val="00F32971"/>
    <w:rsid w:val="00F329B4"/>
    <w:rsid w:val="00F329CE"/>
    <w:rsid w:val="00F32AC4"/>
    <w:rsid w:val="00F32AF4"/>
    <w:rsid w:val="00F32BA5"/>
    <w:rsid w:val="00F32C31"/>
    <w:rsid w:val="00F32D83"/>
    <w:rsid w:val="00F32DCA"/>
    <w:rsid w:val="00F32DE1"/>
    <w:rsid w:val="00F32DF8"/>
    <w:rsid w:val="00F32DF9"/>
    <w:rsid w:val="00F32E17"/>
    <w:rsid w:val="00F32FB6"/>
    <w:rsid w:val="00F3310C"/>
    <w:rsid w:val="00F33142"/>
    <w:rsid w:val="00F33175"/>
    <w:rsid w:val="00F331E6"/>
    <w:rsid w:val="00F33210"/>
    <w:rsid w:val="00F33315"/>
    <w:rsid w:val="00F33402"/>
    <w:rsid w:val="00F33572"/>
    <w:rsid w:val="00F3359A"/>
    <w:rsid w:val="00F335DC"/>
    <w:rsid w:val="00F33612"/>
    <w:rsid w:val="00F3368E"/>
    <w:rsid w:val="00F3369B"/>
    <w:rsid w:val="00F336AD"/>
    <w:rsid w:val="00F3378F"/>
    <w:rsid w:val="00F338D5"/>
    <w:rsid w:val="00F338EF"/>
    <w:rsid w:val="00F33924"/>
    <w:rsid w:val="00F33984"/>
    <w:rsid w:val="00F33A06"/>
    <w:rsid w:val="00F33A47"/>
    <w:rsid w:val="00F33B63"/>
    <w:rsid w:val="00F33CF7"/>
    <w:rsid w:val="00F33D26"/>
    <w:rsid w:val="00F33DEF"/>
    <w:rsid w:val="00F33DFB"/>
    <w:rsid w:val="00F33EB7"/>
    <w:rsid w:val="00F33FAE"/>
    <w:rsid w:val="00F34060"/>
    <w:rsid w:val="00F340E1"/>
    <w:rsid w:val="00F34273"/>
    <w:rsid w:val="00F3427F"/>
    <w:rsid w:val="00F3430A"/>
    <w:rsid w:val="00F3439D"/>
    <w:rsid w:val="00F343CA"/>
    <w:rsid w:val="00F3441E"/>
    <w:rsid w:val="00F34556"/>
    <w:rsid w:val="00F345AA"/>
    <w:rsid w:val="00F34615"/>
    <w:rsid w:val="00F34656"/>
    <w:rsid w:val="00F346E8"/>
    <w:rsid w:val="00F3476D"/>
    <w:rsid w:val="00F347C6"/>
    <w:rsid w:val="00F3480A"/>
    <w:rsid w:val="00F3483A"/>
    <w:rsid w:val="00F34869"/>
    <w:rsid w:val="00F34891"/>
    <w:rsid w:val="00F34967"/>
    <w:rsid w:val="00F34968"/>
    <w:rsid w:val="00F34974"/>
    <w:rsid w:val="00F349E4"/>
    <w:rsid w:val="00F349ED"/>
    <w:rsid w:val="00F34C25"/>
    <w:rsid w:val="00F34D54"/>
    <w:rsid w:val="00F34D68"/>
    <w:rsid w:val="00F34DA0"/>
    <w:rsid w:val="00F34E94"/>
    <w:rsid w:val="00F34F48"/>
    <w:rsid w:val="00F35053"/>
    <w:rsid w:val="00F350F0"/>
    <w:rsid w:val="00F35191"/>
    <w:rsid w:val="00F35244"/>
    <w:rsid w:val="00F35326"/>
    <w:rsid w:val="00F35329"/>
    <w:rsid w:val="00F353B1"/>
    <w:rsid w:val="00F3543E"/>
    <w:rsid w:val="00F35588"/>
    <w:rsid w:val="00F35678"/>
    <w:rsid w:val="00F356B1"/>
    <w:rsid w:val="00F35798"/>
    <w:rsid w:val="00F357A9"/>
    <w:rsid w:val="00F3595E"/>
    <w:rsid w:val="00F359E4"/>
    <w:rsid w:val="00F35AB7"/>
    <w:rsid w:val="00F35BD6"/>
    <w:rsid w:val="00F35E55"/>
    <w:rsid w:val="00F35EAD"/>
    <w:rsid w:val="00F35F08"/>
    <w:rsid w:val="00F35FD5"/>
    <w:rsid w:val="00F36059"/>
    <w:rsid w:val="00F361CF"/>
    <w:rsid w:val="00F361E3"/>
    <w:rsid w:val="00F36213"/>
    <w:rsid w:val="00F36286"/>
    <w:rsid w:val="00F36328"/>
    <w:rsid w:val="00F36412"/>
    <w:rsid w:val="00F36417"/>
    <w:rsid w:val="00F36495"/>
    <w:rsid w:val="00F364D2"/>
    <w:rsid w:val="00F36612"/>
    <w:rsid w:val="00F3673F"/>
    <w:rsid w:val="00F367A3"/>
    <w:rsid w:val="00F36824"/>
    <w:rsid w:val="00F3684B"/>
    <w:rsid w:val="00F36853"/>
    <w:rsid w:val="00F3687F"/>
    <w:rsid w:val="00F368D1"/>
    <w:rsid w:val="00F3693D"/>
    <w:rsid w:val="00F369CF"/>
    <w:rsid w:val="00F36A0E"/>
    <w:rsid w:val="00F36AC5"/>
    <w:rsid w:val="00F36CB2"/>
    <w:rsid w:val="00F36D58"/>
    <w:rsid w:val="00F36EDE"/>
    <w:rsid w:val="00F370C1"/>
    <w:rsid w:val="00F37150"/>
    <w:rsid w:val="00F37154"/>
    <w:rsid w:val="00F371E0"/>
    <w:rsid w:val="00F373B1"/>
    <w:rsid w:val="00F374C2"/>
    <w:rsid w:val="00F37593"/>
    <w:rsid w:val="00F375F4"/>
    <w:rsid w:val="00F37635"/>
    <w:rsid w:val="00F37699"/>
    <w:rsid w:val="00F376DB"/>
    <w:rsid w:val="00F376EE"/>
    <w:rsid w:val="00F376F9"/>
    <w:rsid w:val="00F37737"/>
    <w:rsid w:val="00F3783D"/>
    <w:rsid w:val="00F37871"/>
    <w:rsid w:val="00F379D8"/>
    <w:rsid w:val="00F379E5"/>
    <w:rsid w:val="00F37AB6"/>
    <w:rsid w:val="00F37AC6"/>
    <w:rsid w:val="00F37ACA"/>
    <w:rsid w:val="00F37B04"/>
    <w:rsid w:val="00F37C0A"/>
    <w:rsid w:val="00F37C43"/>
    <w:rsid w:val="00F37D24"/>
    <w:rsid w:val="00F37D84"/>
    <w:rsid w:val="00F37DBC"/>
    <w:rsid w:val="00F37DDC"/>
    <w:rsid w:val="00F37E00"/>
    <w:rsid w:val="00F37E37"/>
    <w:rsid w:val="00F37F4D"/>
    <w:rsid w:val="00F37FA8"/>
    <w:rsid w:val="00F40075"/>
    <w:rsid w:val="00F400A7"/>
    <w:rsid w:val="00F401B1"/>
    <w:rsid w:val="00F4024F"/>
    <w:rsid w:val="00F40466"/>
    <w:rsid w:val="00F4069C"/>
    <w:rsid w:val="00F406D1"/>
    <w:rsid w:val="00F40753"/>
    <w:rsid w:val="00F40892"/>
    <w:rsid w:val="00F40952"/>
    <w:rsid w:val="00F40A86"/>
    <w:rsid w:val="00F40AC6"/>
    <w:rsid w:val="00F40AC7"/>
    <w:rsid w:val="00F40B64"/>
    <w:rsid w:val="00F40BF9"/>
    <w:rsid w:val="00F40C95"/>
    <w:rsid w:val="00F40CE9"/>
    <w:rsid w:val="00F40D18"/>
    <w:rsid w:val="00F40E9E"/>
    <w:rsid w:val="00F40EE0"/>
    <w:rsid w:val="00F40EE7"/>
    <w:rsid w:val="00F40F1E"/>
    <w:rsid w:val="00F40FBC"/>
    <w:rsid w:val="00F41025"/>
    <w:rsid w:val="00F41152"/>
    <w:rsid w:val="00F411D5"/>
    <w:rsid w:val="00F411D8"/>
    <w:rsid w:val="00F41267"/>
    <w:rsid w:val="00F413B5"/>
    <w:rsid w:val="00F413DB"/>
    <w:rsid w:val="00F413F3"/>
    <w:rsid w:val="00F413FF"/>
    <w:rsid w:val="00F4144F"/>
    <w:rsid w:val="00F414A2"/>
    <w:rsid w:val="00F41603"/>
    <w:rsid w:val="00F41639"/>
    <w:rsid w:val="00F41712"/>
    <w:rsid w:val="00F41767"/>
    <w:rsid w:val="00F41846"/>
    <w:rsid w:val="00F41867"/>
    <w:rsid w:val="00F418EA"/>
    <w:rsid w:val="00F41920"/>
    <w:rsid w:val="00F4198D"/>
    <w:rsid w:val="00F41A19"/>
    <w:rsid w:val="00F41B14"/>
    <w:rsid w:val="00F41BAB"/>
    <w:rsid w:val="00F41E63"/>
    <w:rsid w:val="00F41EB4"/>
    <w:rsid w:val="00F41F21"/>
    <w:rsid w:val="00F4206B"/>
    <w:rsid w:val="00F42175"/>
    <w:rsid w:val="00F422C7"/>
    <w:rsid w:val="00F424A2"/>
    <w:rsid w:val="00F424BA"/>
    <w:rsid w:val="00F4274F"/>
    <w:rsid w:val="00F427BC"/>
    <w:rsid w:val="00F427F5"/>
    <w:rsid w:val="00F4280F"/>
    <w:rsid w:val="00F4283E"/>
    <w:rsid w:val="00F42850"/>
    <w:rsid w:val="00F429DA"/>
    <w:rsid w:val="00F42B07"/>
    <w:rsid w:val="00F42B61"/>
    <w:rsid w:val="00F42B76"/>
    <w:rsid w:val="00F42CA6"/>
    <w:rsid w:val="00F42D63"/>
    <w:rsid w:val="00F42E8F"/>
    <w:rsid w:val="00F42F7B"/>
    <w:rsid w:val="00F42F86"/>
    <w:rsid w:val="00F42FE6"/>
    <w:rsid w:val="00F431E5"/>
    <w:rsid w:val="00F431F7"/>
    <w:rsid w:val="00F43220"/>
    <w:rsid w:val="00F43262"/>
    <w:rsid w:val="00F43348"/>
    <w:rsid w:val="00F433B1"/>
    <w:rsid w:val="00F4340B"/>
    <w:rsid w:val="00F435BE"/>
    <w:rsid w:val="00F435DE"/>
    <w:rsid w:val="00F4363F"/>
    <w:rsid w:val="00F43681"/>
    <w:rsid w:val="00F437FA"/>
    <w:rsid w:val="00F4383A"/>
    <w:rsid w:val="00F43859"/>
    <w:rsid w:val="00F438BD"/>
    <w:rsid w:val="00F4398D"/>
    <w:rsid w:val="00F43AC8"/>
    <w:rsid w:val="00F43AD8"/>
    <w:rsid w:val="00F43B73"/>
    <w:rsid w:val="00F43C1E"/>
    <w:rsid w:val="00F43C40"/>
    <w:rsid w:val="00F43CC6"/>
    <w:rsid w:val="00F43CD2"/>
    <w:rsid w:val="00F43D46"/>
    <w:rsid w:val="00F43D7A"/>
    <w:rsid w:val="00F43D98"/>
    <w:rsid w:val="00F43E15"/>
    <w:rsid w:val="00F43E8E"/>
    <w:rsid w:val="00F43EEE"/>
    <w:rsid w:val="00F43F10"/>
    <w:rsid w:val="00F440AF"/>
    <w:rsid w:val="00F440C9"/>
    <w:rsid w:val="00F441F1"/>
    <w:rsid w:val="00F4420C"/>
    <w:rsid w:val="00F44454"/>
    <w:rsid w:val="00F444F8"/>
    <w:rsid w:val="00F445CA"/>
    <w:rsid w:val="00F4465C"/>
    <w:rsid w:val="00F44688"/>
    <w:rsid w:val="00F446A7"/>
    <w:rsid w:val="00F446AE"/>
    <w:rsid w:val="00F4474F"/>
    <w:rsid w:val="00F447AE"/>
    <w:rsid w:val="00F44847"/>
    <w:rsid w:val="00F44A36"/>
    <w:rsid w:val="00F44AD3"/>
    <w:rsid w:val="00F44B76"/>
    <w:rsid w:val="00F44B83"/>
    <w:rsid w:val="00F44C19"/>
    <w:rsid w:val="00F44C4A"/>
    <w:rsid w:val="00F44CB2"/>
    <w:rsid w:val="00F44E3F"/>
    <w:rsid w:val="00F44E9E"/>
    <w:rsid w:val="00F44EE7"/>
    <w:rsid w:val="00F44FE9"/>
    <w:rsid w:val="00F45015"/>
    <w:rsid w:val="00F45029"/>
    <w:rsid w:val="00F4506B"/>
    <w:rsid w:val="00F450E9"/>
    <w:rsid w:val="00F452A6"/>
    <w:rsid w:val="00F4530B"/>
    <w:rsid w:val="00F45484"/>
    <w:rsid w:val="00F45500"/>
    <w:rsid w:val="00F456AC"/>
    <w:rsid w:val="00F4574E"/>
    <w:rsid w:val="00F457C2"/>
    <w:rsid w:val="00F457F1"/>
    <w:rsid w:val="00F45832"/>
    <w:rsid w:val="00F4583A"/>
    <w:rsid w:val="00F45854"/>
    <w:rsid w:val="00F459D3"/>
    <w:rsid w:val="00F45A95"/>
    <w:rsid w:val="00F45B4F"/>
    <w:rsid w:val="00F45B7F"/>
    <w:rsid w:val="00F45C94"/>
    <w:rsid w:val="00F45DCC"/>
    <w:rsid w:val="00F45E3F"/>
    <w:rsid w:val="00F45ECE"/>
    <w:rsid w:val="00F45EDE"/>
    <w:rsid w:val="00F45F66"/>
    <w:rsid w:val="00F4606F"/>
    <w:rsid w:val="00F46168"/>
    <w:rsid w:val="00F46240"/>
    <w:rsid w:val="00F462E2"/>
    <w:rsid w:val="00F46363"/>
    <w:rsid w:val="00F46538"/>
    <w:rsid w:val="00F4680D"/>
    <w:rsid w:val="00F4696D"/>
    <w:rsid w:val="00F469EE"/>
    <w:rsid w:val="00F46A28"/>
    <w:rsid w:val="00F46B6D"/>
    <w:rsid w:val="00F46C04"/>
    <w:rsid w:val="00F46C82"/>
    <w:rsid w:val="00F46D6C"/>
    <w:rsid w:val="00F46D7E"/>
    <w:rsid w:val="00F46D94"/>
    <w:rsid w:val="00F46E69"/>
    <w:rsid w:val="00F46EF4"/>
    <w:rsid w:val="00F46F10"/>
    <w:rsid w:val="00F46F28"/>
    <w:rsid w:val="00F46F8A"/>
    <w:rsid w:val="00F47039"/>
    <w:rsid w:val="00F47088"/>
    <w:rsid w:val="00F471B6"/>
    <w:rsid w:val="00F471D3"/>
    <w:rsid w:val="00F47216"/>
    <w:rsid w:val="00F47226"/>
    <w:rsid w:val="00F4737B"/>
    <w:rsid w:val="00F474A8"/>
    <w:rsid w:val="00F474B9"/>
    <w:rsid w:val="00F4766C"/>
    <w:rsid w:val="00F476AC"/>
    <w:rsid w:val="00F476E6"/>
    <w:rsid w:val="00F4792A"/>
    <w:rsid w:val="00F47ABF"/>
    <w:rsid w:val="00F47B7F"/>
    <w:rsid w:val="00F47B89"/>
    <w:rsid w:val="00F47BA0"/>
    <w:rsid w:val="00F47BA2"/>
    <w:rsid w:val="00F47CC2"/>
    <w:rsid w:val="00F47DA4"/>
    <w:rsid w:val="00F47DE5"/>
    <w:rsid w:val="00F47F7C"/>
    <w:rsid w:val="00F47FD4"/>
    <w:rsid w:val="00F50182"/>
    <w:rsid w:val="00F50232"/>
    <w:rsid w:val="00F5026E"/>
    <w:rsid w:val="00F502F0"/>
    <w:rsid w:val="00F5034D"/>
    <w:rsid w:val="00F50375"/>
    <w:rsid w:val="00F50377"/>
    <w:rsid w:val="00F5037B"/>
    <w:rsid w:val="00F5039E"/>
    <w:rsid w:val="00F503D0"/>
    <w:rsid w:val="00F504AB"/>
    <w:rsid w:val="00F505AC"/>
    <w:rsid w:val="00F505B7"/>
    <w:rsid w:val="00F505F1"/>
    <w:rsid w:val="00F506D6"/>
    <w:rsid w:val="00F50721"/>
    <w:rsid w:val="00F507FC"/>
    <w:rsid w:val="00F50A45"/>
    <w:rsid w:val="00F50A8D"/>
    <w:rsid w:val="00F50AF6"/>
    <w:rsid w:val="00F50BBA"/>
    <w:rsid w:val="00F50C3B"/>
    <w:rsid w:val="00F50CC7"/>
    <w:rsid w:val="00F50CF9"/>
    <w:rsid w:val="00F50D20"/>
    <w:rsid w:val="00F50D3D"/>
    <w:rsid w:val="00F511DC"/>
    <w:rsid w:val="00F512D3"/>
    <w:rsid w:val="00F512EF"/>
    <w:rsid w:val="00F513B0"/>
    <w:rsid w:val="00F513CF"/>
    <w:rsid w:val="00F51620"/>
    <w:rsid w:val="00F5179C"/>
    <w:rsid w:val="00F51BEB"/>
    <w:rsid w:val="00F51CAD"/>
    <w:rsid w:val="00F51DEF"/>
    <w:rsid w:val="00F51E65"/>
    <w:rsid w:val="00F51EA2"/>
    <w:rsid w:val="00F51ED9"/>
    <w:rsid w:val="00F51EE4"/>
    <w:rsid w:val="00F51EFD"/>
    <w:rsid w:val="00F51F0A"/>
    <w:rsid w:val="00F51F3F"/>
    <w:rsid w:val="00F51F91"/>
    <w:rsid w:val="00F51FA3"/>
    <w:rsid w:val="00F51FDE"/>
    <w:rsid w:val="00F521BC"/>
    <w:rsid w:val="00F5233F"/>
    <w:rsid w:val="00F52362"/>
    <w:rsid w:val="00F52441"/>
    <w:rsid w:val="00F52475"/>
    <w:rsid w:val="00F52543"/>
    <w:rsid w:val="00F525B5"/>
    <w:rsid w:val="00F525C8"/>
    <w:rsid w:val="00F52645"/>
    <w:rsid w:val="00F5267B"/>
    <w:rsid w:val="00F5277F"/>
    <w:rsid w:val="00F52806"/>
    <w:rsid w:val="00F5297B"/>
    <w:rsid w:val="00F529A0"/>
    <w:rsid w:val="00F529E1"/>
    <w:rsid w:val="00F52B4C"/>
    <w:rsid w:val="00F52C07"/>
    <w:rsid w:val="00F52C78"/>
    <w:rsid w:val="00F52D56"/>
    <w:rsid w:val="00F52E4A"/>
    <w:rsid w:val="00F52E9C"/>
    <w:rsid w:val="00F52F13"/>
    <w:rsid w:val="00F52FB1"/>
    <w:rsid w:val="00F53099"/>
    <w:rsid w:val="00F5316B"/>
    <w:rsid w:val="00F532CE"/>
    <w:rsid w:val="00F53336"/>
    <w:rsid w:val="00F5342A"/>
    <w:rsid w:val="00F53531"/>
    <w:rsid w:val="00F53606"/>
    <w:rsid w:val="00F53699"/>
    <w:rsid w:val="00F536CF"/>
    <w:rsid w:val="00F536F2"/>
    <w:rsid w:val="00F538DD"/>
    <w:rsid w:val="00F53934"/>
    <w:rsid w:val="00F539DC"/>
    <w:rsid w:val="00F53ABE"/>
    <w:rsid w:val="00F53CC1"/>
    <w:rsid w:val="00F53CC3"/>
    <w:rsid w:val="00F53CF8"/>
    <w:rsid w:val="00F53D45"/>
    <w:rsid w:val="00F53EA9"/>
    <w:rsid w:val="00F53ED8"/>
    <w:rsid w:val="00F53FC0"/>
    <w:rsid w:val="00F54003"/>
    <w:rsid w:val="00F5401D"/>
    <w:rsid w:val="00F540FB"/>
    <w:rsid w:val="00F54228"/>
    <w:rsid w:val="00F542DA"/>
    <w:rsid w:val="00F542FA"/>
    <w:rsid w:val="00F544C3"/>
    <w:rsid w:val="00F54541"/>
    <w:rsid w:val="00F5465D"/>
    <w:rsid w:val="00F54730"/>
    <w:rsid w:val="00F5477E"/>
    <w:rsid w:val="00F54816"/>
    <w:rsid w:val="00F548BD"/>
    <w:rsid w:val="00F5494D"/>
    <w:rsid w:val="00F54A13"/>
    <w:rsid w:val="00F54A1C"/>
    <w:rsid w:val="00F54B68"/>
    <w:rsid w:val="00F54BB8"/>
    <w:rsid w:val="00F54CE2"/>
    <w:rsid w:val="00F54CF3"/>
    <w:rsid w:val="00F550B0"/>
    <w:rsid w:val="00F55230"/>
    <w:rsid w:val="00F55253"/>
    <w:rsid w:val="00F55284"/>
    <w:rsid w:val="00F55309"/>
    <w:rsid w:val="00F55525"/>
    <w:rsid w:val="00F55550"/>
    <w:rsid w:val="00F5557E"/>
    <w:rsid w:val="00F5558D"/>
    <w:rsid w:val="00F555EE"/>
    <w:rsid w:val="00F556CA"/>
    <w:rsid w:val="00F5585B"/>
    <w:rsid w:val="00F558D9"/>
    <w:rsid w:val="00F5595F"/>
    <w:rsid w:val="00F5599A"/>
    <w:rsid w:val="00F55A7D"/>
    <w:rsid w:val="00F55BB7"/>
    <w:rsid w:val="00F55C7B"/>
    <w:rsid w:val="00F55DE4"/>
    <w:rsid w:val="00F55DE5"/>
    <w:rsid w:val="00F55EC4"/>
    <w:rsid w:val="00F560F4"/>
    <w:rsid w:val="00F561B0"/>
    <w:rsid w:val="00F562D0"/>
    <w:rsid w:val="00F562FC"/>
    <w:rsid w:val="00F56342"/>
    <w:rsid w:val="00F563C0"/>
    <w:rsid w:val="00F56416"/>
    <w:rsid w:val="00F5641E"/>
    <w:rsid w:val="00F5648E"/>
    <w:rsid w:val="00F5649F"/>
    <w:rsid w:val="00F5653F"/>
    <w:rsid w:val="00F56602"/>
    <w:rsid w:val="00F56626"/>
    <w:rsid w:val="00F5662A"/>
    <w:rsid w:val="00F567AE"/>
    <w:rsid w:val="00F568D6"/>
    <w:rsid w:val="00F56925"/>
    <w:rsid w:val="00F569BF"/>
    <w:rsid w:val="00F569C2"/>
    <w:rsid w:val="00F569F2"/>
    <w:rsid w:val="00F56A97"/>
    <w:rsid w:val="00F56ACF"/>
    <w:rsid w:val="00F56AE9"/>
    <w:rsid w:val="00F56B5A"/>
    <w:rsid w:val="00F56CAC"/>
    <w:rsid w:val="00F56D13"/>
    <w:rsid w:val="00F56E6E"/>
    <w:rsid w:val="00F56EB7"/>
    <w:rsid w:val="00F56EB8"/>
    <w:rsid w:val="00F56F0C"/>
    <w:rsid w:val="00F56FA3"/>
    <w:rsid w:val="00F5706F"/>
    <w:rsid w:val="00F570BA"/>
    <w:rsid w:val="00F57144"/>
    <w:rsid w:val="00F5714C"/>
    <w:rsid w:val="00F5719D"/>
    <w:rsid w:val="00F571A8"/>
    <w:rsid w:val="00F57255"/>
    <w:rsid w:val="00F572EA"/>
    <w:rsid w:val="00F5733C"/>
    <w:rsid w:val="00F573D7"/>
    <w:rsid w:val="00F573F5"/>
    <w:rsid w:val="00F575BD"/>
    <w:rsid w:val="00F57671"/>
    <w:rsid w:val="00F5770A"/>
    <w:rsid w:val="00F577C8"/>
    <w:rsid w:val="00F57AAB"/>
    <w:rsid w:val="00F57D79"/>
    <w:rsid w:val="00F57D9F"/>
    <w:rsid w:val="00F57E4B"/>
    <w:rsid w:val="00F57EE1"/>
    <w:rsid w:val="00F57FC8"/>
    <w:rsid w:val="00F57FFD"/>
    <w:rsid w:val="00F60077"/>
    <w:rsid w:val="00F60085"/>
    <w:rsid w:val="00F601CC"/>
    <w:rsid w:val="00F602D0"/>
    <w:rsid w:val="00F60333"/>
    <w:rsid w:val="00F6037E"/>
    <w:rsid w:val="00F60421"/>
    <w:rsid w:val="00F60484"/>
    <w:rsid w:val="00F6054A"/>
    <w:rsid w:val="00F6066D"/>
    <w:rsid w:val="00F6073E"/>
    <w:rsid w:val="00F608D3"/>
    <w:rsid w:val="00F60966"/>
    <w:rsid w:val="00F609F3"/>
    <w:rsid w:val="00F60A1E"/>
    <w:rsid w:val="00F60A81"/>
    <w:rsid w:val="00F60AE5"/>
    <w:rsid w:val="00F60C7E"/>
    <w:rsid w:val="00F6100C"/>
    <w:rsid w:val="00F610F9"/>
    <w:rsid w:val="00F611EB"/>
    <w:rsid w:val="00F6122B"/>
    <w:rsid w:val="00F6133E"/>
    <w:rsid w:val="00F61392"/>
    <w:rsid w:val="00F6142E"/>
    <w:rsid w:val="00F61465"/>
    <w:rsid w:val="00F61700"/>
    <w:rsid w:val="00F617DE"/>
    <w:rsid w:val="00F617E2"/>
    <w:rsid w:val="00F61927"/>
    <w:rsid w:val="00F61935"/>
    <w:rsid w:val="00F619A5"/>
    <w:rsid w:val="00F61A08"/>
    <w:rsid w:val="00F61AB8"/>
    <w:rsid w:val="00F61B5C"/>
    <w:rsid w:val="00F61B8E"/>
    <w:rsid w:val="00F61C00"/>
    <w:rsid w:val="00F61C61"/>
    <w:rsid w:val="00F61DB4"/>
    <w:rsid w:val="00F61E56"/>
    <w:rsid w:val="00F61E63"/>
    <w:rsid w:val="00F61E95"/>
    <w:rsid w:val="00F6209A"/>
    <w:rsid w:val="00F621EA"/>
    <w:rsid w:val="00F6223C"/>
    <w:rsid w:val="00F622CF"/>
    <w:rsid w:val="00F622E6"/>
    <w:rsid w:val="00F6232E"/>
    <w:rsid w:val="00F62455"/>
    <w:rsid w:val="00F62555"/>
    <w:rsid w:val="00F626B2"/>
    <w:rsid w:val="00F6273B"/>
    <w:rsid w:val="00F62942"/>
    <w:rsid w:val="00F62AC9"/>
    <w:rsid w:val="00F62DA1"/>
    <w:rsid w:val="00F62E87"/>
    <w:rsid w:val="00F62EA6"/>
    <w:rsid w:val="00F62ED1"/>
    <w:rsid w:val="00F63160"/>
    <w:rsid w:val="00F63162"/>
    <w:rsid w:val="00F63255"/>
    <w:rsid w:val="00F632D0"/>
    <w:rsid w:val="00F632FB"/>
    <w:rsid w:val="00F6336E"/>
    <w:rsid w:val="00F6339A"/>
    <w:rsid w:val="00F6340A"/>
    <w:rsid w:val="00F63445"/>
    <w:rsid w:val="00F635E0"/>
    <w:rsid w:val="00F63732"/>
    <w:rsid w:val="00F637E0"/>
    <w:rsid w:val="00F6384E"/>
    <w:rsid w:val="00F638D5"/>
    <w:rsid w:val="00F63941"/>
    <w:rsid w:val="00F63A65"/>
    <w:rsid w:val="00F63A68"/>
    <w:rsid w:val="00F63A6F"/>
    <w:rsid w:val="00F63B50"/>
    <w:rsid w:val="00F63BE6"/>
    <w:rsid w:val="00F63C16"/>
    <w:rsid w:val="00F63C18"/>
    <w:rsid w:val="00F63C93"/>
    <w:rsid w:val="00F63DDC"/>
    <w:rsid w:val="00F63E1F"/>
    <w:rsid w:val="00F63E34"/>
    <w:rsid w:val="00F63EB1"/>
    <w:rsid w:val="00F63F93"/>
    <w:rsid w:val="00F63F9E"/>
    <w:rsid w:val="00F6412E"/>
    <w:rsid w:val="00F6419A"/>
    <w:rsid w:val="00F64262"/>
    <w:rsid w:val="00F642DB"/>
    <w:rsid w:val="00F643AB"/>
    <w:rsid w:val="00F643E7"/>
    <w:rsid w:val="00F645D6"/>
    <w:rsid w:val="00F646AA"/>
    <w:rsid w:val="00F646E5"/>
    <w:rsid w:val="00F64778"/>
    <w:rsid w:val="00F648A2"/>
    <w:rsid w:val="00F648D3"/>
    <w:rsid w:val="00F64AFD"/>
    <w:rsid w:val="00F64DC0"/>
    <w:rsid w:val="00F64E1A"/>
    <w:rsid w:val="00F6511F"/>
    <w:rsid w:val="00F651A6"/>
    <w:rsid w:val="00F651CB"/>
    <w:rsid w:val="00F651D7"/>
    <w:rsid w:val="00F651FB"/>
    <w:rsid w:val="00F65283"/>
    <w:rsid w:val="00F652E8"/>
    <w:rsid w:val="00F652EF"/>
    <w:rsid w:val="00F65316"/>
    <w:rsid w:val="00F6533D"/>
    <w:rsid w:val="00F653BE"/>
    <w:rsid w:val="00F6543E"/>
    <w:rsid w:val="00F655DB"/>
    <w:rsid w:val="00F65663"/>
    <w:rsid w:val="00F656E9"/>
    <w:rsid w:val="00F65886"/>
    <w:rsid w:val="00F6596C"/>
    <w:rsid w:val="00F6597C"/>
    <w:rsid w:val="00F65993"/>
    <w:rsid w:val="00F65A46"/>
    <w:rsid w:val="00F65D99"/>
    <w:rsid w:val="00F65EA6"/>
    <w:rsid w:val="00F65ED7"/>
    <w:rsid w:val="00F65EE4"/>
    <w:rsid w:val="00F65EEF"/>
    <w:rsid w:val="00F6604E"/>
    <w:rsid w:val="00F660F7"/>
    <w:rsid w:val="00F6612C"/>
    <w:rsid w:val="00F661A5"/>
    <w:rsid w:val="00F661B5"/>
    <w:rsid w:val="00F661DA"/>
    <w:rsid w:val="00F6627E"/>
    <w:rsid w:val="00F663CD"/>
    <w:rsid w:val="00F6656A"/>
    <w:rsid w:val="00F66597"/>
    <w:rsid w:val="00F665E0"/>
    <w:rsid w:val="00F665E9"/>
    <w:rsid w:val="00F66679"/>
    <w:rsid w:val="00F666AE"/>
    <w:rsid w:val="00F6678A"/>
    <w:rsid w:val="00F66881"/>
    <w:rsid w:val="00F66952"/>
    <w:rsid w:val="00F66A04"/>
    <w:rsid w:val="00F66B57"/>
    <w:rsid w:val="00F66B71"/>
    <w:rsid w:val="00F66C85"/>
    <w:rsid w:val="00F66C9B"/>
    <w:rsid w:val="00F66CAF"/>
    <w:rsid w:val="00F66DC3"/>
    <w:rsid w:val="00F66EF9"/>
    <w:rsid w:val="00F66FF6"/>
    <w:rsid w:val="00F670AD"/>
    <w:rsid w:val="00F670BE"/>
    <w:rsid w:val="00F6723A"/>
    <w:rsid w:val="00F672F5"/>
    <w:rsid w:val="00F67418"/>
    <w:rsid w:val="00F67464"/>
    <w:rsid w:val="00F675FC"/>
    <w:rsid w:val="00F67631"/>
    <w:rsid w:val="00F6786D"/>
    <w:rsid w:val="00F6794E"/>
    <w:rsid w:val="00F67A56"/>
    <w:rsid w:val="00F67B05"/>
    <w:rsid w:val="00F67B4F"/>
    <w:rsid w:val="00F67C2D"/>
    <w:rsid w:val="00F67D93"/>
    <w:rsid w:val="00F67DD0"/>
    <w:rsid w:val="00F67F33"/>
    <w:rsid w:val="00F67F6F"/>
    <w:rsid w:val="00F67F73"/>
    <w:rsid w:val="00F67FEE"/>
    <w:rsid w:val="00F70048"/>
    <w:rsid w:val="00F70083"/>
    <w:rsid w:val="00F70362"/>
    <w:rsid w:val="00F703A8"/>
    <w:rsid w:val="00F7040A"/>
    <w:rsid w:val="00F70427"/>
    <w:rsid w:val="00F70471"/>
    <w:rsid w:val="00F7057F"/>
    <w:rsid w:val="00F705AF"/>
    <w:rsid w:val="00F70623"/>
    <w:rsid w:val="00F70655"/>
    <w:rsid w:val="00F706A1"/>
    <w:rsid w:val="00F706B3"/>
    <w:rsid w:val="00F70746"/>
    <w:rsid w:val="00F70767"/>
    <w:rsid w:val="00F70806"/>
    <w:rsid w:val="00F708BD"/>
    <w:rsid w:val="00F708FE"/>
    <w:rsid w:val="00F70973"/>
    <w:rsid w:val="00F709A3"/>
    <w:rsid w:val="00F70A14"/>
    <w:rsid w:val="00F70A1C"/>
    <w:rsid w:val="00F70AC4"/>
    <w:rsid w:val="00F70AF0"/>
    <w:rsid w:val="00F70B17"/>
    <w:rsid w:val="00F70C24"/>
    <w:rsid w:val="00F70C70"/>
    <w:rsid w:val="00F70D10"/>
    <w:rsid w:val="00F70E5C"/>
    <w:rsid w:val="00F70F02"/>
    <w:rsid w:val="00F71078"/>
    <w:rsid w:val="00F7109C"/>
    <w:rsid w:val="00F7116C"/>
    <w:rsid w:val="00F71301"/>
    <w:rsid w:val="00F7133B"/>
    <w:rsid w:val="00F713E5"/>
    <w:rsid w:val="00F7156D"/>
    <w:rsid w:val="00F71623"/>
    <w:rsid w:val="00F7184E"/>
    <w:rsid w:val="00F71876"/>
    <w:rsid w:val="00F719FF"/>
    <w:rsid w:val="00F71A86"/>
    <w:rsid w:val="00F71B8B"/>
    <w:rsid w:val="00F71D4F"/>
    <w:rsid w:val="00F71E3E"/>
    <w:rsid w:val="00F71F19"/>
    <w:rsid w:val="00F71F81"/>
    <w:rsid w:val="00F720CD"/>
    <w:rsid w:val="00F7221F"/>
    <w:rsid w:val="00F72251"/>
    <w:rsid w:val="00F7245D"/>
    <w:rsid w:val="00F72478"/>
    <w:rsid w:val="00F7253A"/>
    <w:rsid w:val="00F72628"/>
    <w:rsid w:val="00F72649"/>
    <w:rsid w:val="00F726A8"/>
    <w:rsid w:val="00F7296D"/>
    <w:rsid w:val="00F729A5"/>
    <w:rsid w:val="00F72AA6"/>
    <w:rsid w:val="00F72B18"/>
    <w:rsid w:val="00F72B53"/>
    <w:rsid w:val="00F72B73"/>
    <w:rsid w:val="00F72E97"/>
    <w:rsid w:val="00F72EA2"/>
    <w:rsid w:val="00F72F06"/>
    <w:rsid w:val="00F72FA4"/>
    <w:rsid w:val="00F73036"/>
    <w:rsid w:val="00F73081"/>
    <w:rsid w:val="00F73084"/>
    <w:rsid w:val="00F730BF"/>
    <w:rsid w:val="00F73160"/>
    <w:rsid w:val="00F73239"/>
    <w:rsid w:val="00F73304"/>
    <w:rsid w:val="00F73374"/>
    <w:rsid w:val="00F733A5"/>
    <w:rsid w:val="00F73499"/>
    <w:rsid w:val="00F7349D"/>
    <w:rsid w:val="00F734B5"/>
    <w:rsid w:val="00F734CA"/>
    <w:rsid w:val="00F734D8"/>
    <w:rsid w:val="00F73515"/>
    <w:rsid w:val="00F7355A"/>
    <w:rsid w:val="00F735E9"/>
    <w:rsid w:val="00F736A4"/>
    <w:rsid w:val="00F736E8"/>
    <w:rsid w:val="00F737A7"/>
    <w:rsid w:val="00F738D0"/>
    <w:rsid w:val="00F7399D"/>
    <w:rsid w:val="00F739C3"/>
    <w:rsid w:val="00F73A56"/>
    <w:rsid w:val="00F73A6E"/>
    <w:rsid w:val="00F73AFF"/>
    <w:rsid w:val="00F73B0C"/>
    <w:rsid w:val="00F73B27"/>
    <w:rsid w:val="00F73B87"/>
    <w:rsid w:val="00F73B98"/>
    <w:rsid w:val="00F73BCC"/>
    <w:rsid w:val="00F73DEC"/>
    <w:rsid w:val="00F73E22"/>
    <w:rsid w:val="00F73FCF"/>
    <w:rsid w:val="00F74025"/>
    <w:rsid w:val="00F740C2"/>
    <w:rsid w:val="00F7426C"/>
    <w:rsid w:val="00F742CA"/>
    <w:rsid w:val="00F7432A"/>
    <w:rsid w:val="00F744B5"/>
    <w:rsid w:val="00F745CB"/>
    <w:rsid w:val="00F746C6"/>
    <w:rsid w:val="00F74A79"/>
    <w:rsid w:val="00F74B0E"/>
    <w:rsid w:val="00F74C51"/>
    <w:rsid w:val="00F74C6D"/>
    <w:rsid w:val="00F74D42"/>
    <w:rsid w:val="00F74EA4"/>
    <w:rsid w:val="00F74F71"/>
    <w:rsid w:val="00F7501F"/>
    <w:rsid w:val="00F7504A"/>
    <w:rsid w:val="00F75151"/>
    <w:rsid w:val="00F75286"/>
    <w:rsid w:val="00F753F6"/>
    <w:rsid w:val="00F75522"/>
    <w:rsid w:val="00F755DD"/>
    <w:rsid w:val="00F7569D"/>
    <w:rsid w:val="00F756AE"/>
    <w:rsid w:val="00F756EC"/>
    <w:rsid w:val="00F75863"/>
    <w:rsid w:val="00F758D5"/>
    <w:rsid w:val="00F75959"/>
    <w:rsid w:val="00F75B12"/>
    <w:rsid w:val="00F75B13"/>
    <w:rsid w:val="00F75B27"/>
    <w:rsid w:val="00F75BDA"/>
    <w:rsid w:val="00F75CB9"/>
    <w:rsid w:val="00F75CBB"/>
    <w:rsid w:val="00F75D4E"/>
    <w:rsid w:val="00F75D7C"/>
    <w:rsid w:val="00F75E37"/>
    <w:rsid w:val="00F75ED5"/>
    <w:rsid w:val="00F7604B"/>
    <w:rsid w:val="00F760DB"/>
    <w:rsid w:val="00F761CB"/>
    <w:rsid w:val="00F76323"/>
    <w:rsid w:val="00F763A1"/>
    <w:rsid w:val="00F763CB"/>
    <w:rsid w:val="00F76489"/>
    <w:rsid w:val="00F76505"/>
    <w:rsid w:val="00F76684"/>
    <w:rsid w:val="00F768CA"/>
    <w:rsid w:val="00F76949"/>
    <w:rsid w:val="00F76972"/>
    <w:rsid w:val="00F7699E"/>
    <w:rsid w:val="00F76A7F"/>
    <w:rsid w:val="00F76AA6"/>
    <w:rsid w:val="00F76B24"/>
    <w:rsid w:val="00F76B8F"/>
    <w:rsid w:val="00F76C39"/>
    <w:rsid w:val="00F76D8A"/>
    <w:rsid w:val="00F76DC3"/>
    <w:rsid w:val="00F76E0A"/>
    <w:rsid w:val="00F76E6E"/>
    <w:rsid w:val="00F76E9B"/>
    <w:rsid w:val="00F76EA3"/>
    <w:rsid w:val="00F76EFD"/>
    <w:rsid w:val="00F76F0A"/>
    <w:rsid w:val="00F76F40"/>
    <w:rsid w:val="00F76F7A"/>
    <w:rsid w:val="00F7709A"/>
    <w:rsid w:val="00F7711D"/>
    <w:rsid w:val="00F7714F"/>
    <w:rsid w:val="00F77234"/>
    <w:rsid w:val="00F7728E"/>
    <w:rsid w:val="00F7730B"/>
    <w:rsid w:val="00F7736A"/>
    <w:rsid w:val="00F7741A"/>
    <w:rsid w:val="00F77473"/>
    <w:rsid w:val="00F7747C"/>
    <w:rsid w:val="00F774B5"/>
    <w:rsid w:val="00F774B8"/>
    <w:rsid w:val="00F775D6"/>
    <w:rsid w:val="00F77619"/>
    <w:rsid w:val="00F77631"/>
    <w:rsid w:val="00F776C2"/>
    <w:rsid w:val="00F77760"/>
    <w:rsid w:val="00F77810"/>
    <w:rsid w:val="00F779D7"/>
    <w:rsid w:val="00F77AE0"/>
    <w:rsid w:val="00F77B6F"/>
    <w:rsid w:val="00F77B7B"/>
    <w:rsid w:val="00F77BF4"/>
    <w:rsid w:val="00F77C04"/>
    <w:rsid w:val="00F77D27"/>
    <w:rsid w:val="00F77EE9"/>
    <w:rsid w:val="00F8008B"/>
    <w:rsid w:val="00F800FD"/>
    <w:rsid w:val="00F8023D"/>
    <w:rsid w:val="00F802B0"/>
    <w:rsid w:val="00F802EA"/>
    <w:rsid w:val="00F8032B"/>
    <w:rsid w:val="00F803E5"/>
    <w:rsid w:val="00F80468"/>
    <w:rsid w:val="00F804CB"/>
    <w:rsid w:val="00F806E5"/>
    <w:rsid w:val="00F8072B"/>
    <w:rsid w:val="00F8072D"/>
    <w:rsid w:val="00F807A3"/>
    <w:rsid w:val="00F8081A"/>
    <w:rsid w:val="00F80937"/>
    <w:rsid w:val="00F80B09"/>
    <w:rsid w:val="00F80C22"/>
    <w:rsid w:val="00F80C3B"/>
    <w:rsid w:val="00F80CAB"/>
    <w:rsid w:val="00F80CCB"/>
    <w:rsid w:val="00F80CFD"/>
    <w:rsid w:val="00F80D3D"/>
    <w:rsid w:val="00F80DCD"/>
    <w:rsid w:val="00F80EA5"/>
    <w:rsid w:val="00F8103B"/>
    <w:rsid w:val="00F811B7"/>
    <w:rsid w:val="00F812C4"/>
    <w:rsid w:val="00F8136A"/>
    <w:rsid w:val="00F81494"/>
    <w:rsid w:val="00F814EE"/>
    <w:rsid w:val="00F815D1"/>
    <w:rsid w:val="00F81695"/>
    <w:rsid w:val="00F81757"/>
    <w:rsid w:val="00F817AA"/>
    <w:rsid w:val="00F81894"/>
    <w:rsid w:val="00F81965"/>
    <w:rsid w:val="00F8197A"/>
    <w:rsid w:val="00F81A62"/>
    <w:rsid w:val="00F81AAB"/>
    <w:rsid w:val="00F81C4D"/>
    <w:rsid w:val="00F81C56"/>
    <w:rsid w:val="00F81CA1"/>
    <w:rsid w:val="00F81CEC"/>
    <w:rsid w:val="00F81D46"/>
    <w:rsid w:val="00F81DFC"/>
    <w:rsid w:val="00F82104"/>
    <w:rsid w:val="00F82117"/>
    <w:rsid w:val="00F8212A"/>
    <w:rsid w:val="00F82193"/>
    <w:rsid w:val="00F821C1"/>
    <w:rsid w:val="00F8227A"/>
    <w:rsid w:val="00F8228F"/>
    <w:rsid w:val="00F822BB"/>
    <w:rsid w:val="00F82352"/>
    <w:rsid w:val="00F823C7"/>
    <w:rsid w:val="00F82439"/>
    <w:rsid w:val="00F8252E"/>
    <w:rsid w:val="00F825A6"/>
    <w:rsid w:val="00F825D5"/>
    <w:rsid w:val="00F8279A"/>
    <w:rsid w:val="00F82905"/>
    <w:rsid w:val="00F82A2F"/>
    <w:rsid w:val="00F82AE6"/>
    <w:rsid w:val="00F82C7B"/>
    <w:rsid w:val="00F82D84"/>
    <w:rsid w:val="00F82E38"/>
    <w:rsid w:val="00F82E84"/>
    <w:rsid w:val="00F82F46"/>
    <w:rsid w:val="00F82F95"/>
    <w:rsid w:val="00F82FA5"/>
    <w:rsid w:val="00F83027"/>
    <w:rsid w:val="00F83086"/>
    <w:rsid w:val="00F8309C"/>
    <w:rsid w:val="00F830BB"/>
    <w:rsid w:val="00F8311C"/>
    <w:rsid w:val="00F832AF"/>
    <w:rsid w:val="00F832BE"/>
    <w:rsid w:val="00F83384"/>
    <w:rsid w:val="00F8353F"/>
    <w:rsid w:val="00F83562"/>
    <w:rsid w:val="00F8356A"/>
    <w:rsid w:val="00F835F0"/>
    <w:rsid w:val="00F83687"/>
    <w:rsid w:val="00F8371C"/>
    <w:rsid w:val="00F83725"/>
    <w:rsid w:val="00F8374A"/>
    <w:rsid w:val="00F8378A"/>
    <w:rsid w:val="00F837A2"/>
    <w:rsid w:val="00F837EA"/>
    <w:rsid w:val="00F839D8"/>
    <w:rsid w:val="00F839ED"/>
    <w:rsid w:val="00F83A28"/>
    <w:rsid w:val="00F83B29"/>
    <w:rsid w:val="00F83B54"/>
    <w:rsid w:val="00F83BF3"/>
    <w:rsid w:val="00F83C1B"/>
    <w:rsid w:val="00F83CEB"/>
    <w:rsid w:val="00F83D3C"/>
    <w:rsid w:val="00F83DF5"/>
    <w:rsid w:val="00F83FCD"/>
    <w:rsid w:val="00F8423A"/>
    <w:rsid w:val="00F8423D"/>
    <w:rsid w:val="00F842A6"/>
    <w:rsid w:val="00F842EF"/>
    <w:rsid w:val="00F8435C"/>
    <w:rsid w:val="00F8437B"/>
    <w:rsid w:val="00F8440A"/>
    <w:rsid w:val="00F84557"/>
    <w:rsid w:val="00F8475F"/>
    <w:rsid w:val="00F848A4"/>
    <w:rsid w:val="00F8491A"/>
    <w:rsid w:val="00F84933"/>
    <w:rsid w:val="00F84992"/>
    <w:rsid w:val="00F849E6"/>
    <w:rsid w:val="00F84A6C"/>
    <w:rsid w:val="00F84A84"/>
    <w:rsid w:val="00F84B68"/>
    <w:rsid w:val="00F84B83"/>
    <w:rsid w:val="00F84B99"/>
    <w:rsid w:val="00F84CF3"/>
    <w:rsid w:val="00F84CF9"/>
    <w:rsid w:val="00F84F90"/>
    <w:rsid w:val="00F8503D"/>
    <w:rsid w:val="00F850A4"/>
    <w:rsid w:val="00F85130"/>
    <w:rsid w:val="00F85319"/>
    <w:rsid w:val="00F853B7"/>
    <w:rsid w:val="00F85407"/>
    <w:rsid w:val="00F854BF"/>
    <w:rsid w:val="00F854F3"/>
    <w:rsid w:val="00F856C2"/>
    <w:rsid w:val="00F856E1"/>
    <w:rsid w:val="00F8582F"/>
    <w:rsid w:val="00F85941"/>
    <w:rsid w:val="00F8598E"/>
    <w:rsid w:val="00F859E5"/>
    <w:rsid w:val="00F85C4B"/>
    <w:rsid w:val="00F85C75"/>
    <w:rsid w:val="00F85DCB"/>
    <w:rsid w:val="00F85E0D"/>
    <w:rsid w:val="00F85E3B"/>
    <w:rsid w:val="00F85E96"/>
    <w:rsid w:val="00F85EED"/>
    <w:rsid w:val="00F85F15"/>
    <w:rsid w:val="00F85F74"/>
    <w:rsid w:val="00F860D6"/>
    <w:rsid w:val="00F862FD"/>
    <w:rsid w:val="00F86361"/>
    <w:rsid w:val="00F8642C"/>
    <w:rsid w:val="00F86451"/>
    <w:rsid w:val="00F86489"/>
    <w:rsid w:val="00F86542"/>
    <w:rsid w:val="00F8655A"/>
    <w:rsid w:val="00F86735"/>
    <w:rsid w:val="00F86831"/>
    <w:rsid w:val="00F86891"/>
    <w:rsid w:val="00F86B9F"/>
    <w:rsid w:val="00F86D42"/>
    <w:rsid w:val="00F86DA0"/>
    <w:rsid w:val="00F873EA"/>
    <w:rsid w:val="00F873F7"/>
    <w:rsid w:val="00F8742E"/>
    <w:rsid w:val="00F87431"/>
    <w:rsid w:val="00F8763F"/>
    <w:rsid w:val="00F87711"/>
    <w:rsid w:val="00F877E0"/>
    <w:rsid w:val="00F878CD"/>
    <w:rsid w:val="00F87901"/>
    <w:rsid w:val="00F87978"/>
    <w:rsid w:val="00F8797C"/>
    <w:rsid w:val="00F87D4A"/>
    <w:rsid w:val="00F87D76"/>
    <w:rsid w:val="00F87DFF"/>
    <w:rsid w:val="00F87ED6"/>
    <w:rsid w:val="00F90000"/>
    <w:rsid w:val="00F90279"/>
    <w:rsid w:val="00F90375"/>
    <w:rsid w:val="00F90377"/>
    <w:rsid w:val="00F903D3"/>
    <w:rsid w:val="00F90450"/>
    <w:rsid w:val="00F904A2"/>
    <w:rsid w:val="00F904C7"/>
    <w:rsid w:val="00F90524"/>
    <w:rsid w:val="00F90525"/>
    <w:rsid w:val="00F905FF"/>
    <w:rsid w:val="00F90677"/>
    <w:rsid w:val="00F906BC"/>
    <w:rsid w:val="00F9088B"/>
    <w:rsid w:val="00F90976"/>
    <w:rsid w:val="00F90984"/>
    <w:rsid w:val="00F90B96"/>
    <w:rsid w:val="00F90B99"/>
    <w:rsid w:val="00F90C08"/>
    <w:rsid w:val="00F90CC8"/>
    <w:rsid w:val="00F90D20"/>
    <w:rsid w:val="00F90D5C"/>
    <w:rsid w:val="00F90EC4"/>
    <w:rsid w:val="00F90ECE"/>
    <w:rsid w:val="00F90F7F"/>
    <w:rsid w:val="00F91047"/>
    <w:rsid w:val="00F91064"/>
    <w:rsid w:val="00F91126"/>
    <w:rsid w:val="00F91143"/>
    <w:rsid w:val="00F9128D"/>
    <w:rsid w:val="00F913A6"/>
    <w:rsid w:val="00F915F4"/>
    <w:rsid w:val="00F91638"/>
    <w:rsid w:val="00F91699"/>
    <w:rsid w:val="00F9171C"/>
    <w:rsid w:val="00F9178D"/>
    <w:rsid w:val="00F91809"/>
    <w:rsid w:val="00F91844"/>
    <w:rsid w:val="00F918A6"/>
    <w:rsid w:val="00F918F5"/>
    <w:rsid w:val="00F91914"/>
    <w:rsid w:val="00F91915"/>
    <w:rsid w:val="00F91923"/>
    <w:rsid w:val="00F91A15"/>
    <w:rsid w:val="00F91AFC"/>
    <w:rsid w:val="00F91B7D"/>
    <w:rsid w:val="00F91C0E"/>
    <w:rsid w:val="00F91C4B"/>
    <w:rsid w:val="00F91E08"/>
    <w:rsid w:val="00F91E74"/>
    <w:rsid w:val="00F91F85"/>
    <w:rsid w:val="00F92038"/>
    <w:rsid w:val="00F92051"/>
    <w:rsid w:val="00F920A1"/>
    <w:rsid w:val="00F920B9"/>
    <w:rsid w:val="00F9216F"/>
    <w:rsid w:val="00F92193"/>
    <w:rsid w:val="00F92291"/>
    <w:rsid w:val="00F92296"/>
    <w:rsid w:val="00F923DC"/>
    <w:rsid w:val="00F9240C"/>
    <w:rsid w:val="00F92444"/>
    <w:rsid w:val="00F92474"/>
    <w:rsid w:val="00F92540"/>
    <w:rsid w:val="00F92610"/>
    <w:rsid w:val="00F9275B"/>
    <w:rsid w:val="00F927C5"/>
    <w:rsid w:val="00F928E8"/>
    <w:rsid w:val="00F92905"/>
    <w:rsid w:val="00F9293B"/>
    <w:rsid w:val="00F929AD"/>
    <w:rsid w:val="00F92E04"/>
    <w:rsid w:val="00F92E14"/>
    <w:rsid w:val="00F92F20"/>
    <w:rsid w:val="00F930E2"/>
    <w:rsid w:val="00F930ED"/>
    <w:rsid w:val="00F9314B"/>
    <w:rsid w:val="00F931FF"/>
    <w:rsid w:val="00F93255"/>
    <w:rsid w:val="00F93337"/>
    <w:rsid w:val="00F9334E"/>
    <w:rsid w:val="00F93368"/>
    <w:rsid w:val="00F933A1"/>
    <w:rsid w:val="00F93464"/>
    <w:rsid w:val="00F9346B"/>
    <w:rsid w:val="00F93564"/>
    <w:rsid w:val="00F93597"/>
    <w:rsid w:val="00F93688"/>
    <w:rsid w:val="00F936BA"/>
    <w:rsid w:val="00F936E0"/>
    <w:rsid w:val="00F93780"/>
    <w:rsid w:val="00F939B2"/>
    <w:rsid w:val="00F939C5"/>
    <w:rsid w:val="00F93A26"/>
    <w:rsid w:val="00F93A52"/>
    <w:rsid w:val="00F93A90"/>
    <w:rsid w:val="00F93AAF"/>
    <w:rsid w:val="00F93B01"/>
    <w:rsid w:val="00F93CA5"/>
    <w:rsid w:val="00F93CEF"/>
    <w:rsid w:val="00F93D72"/>
    <w:rsid w:val="00F93DF0"/>
    <w:rsid w:val="00F93E0E"/>
    <w:rsid w:val="00F94041"/>
    <w:rsid w:val="00F94084"/>
    <w:rsid w:val="00F9411C"/>
    <w:rsid w:val="00F94143"/>
    <w:rsid w:val="00F941BF"/>
    <w:rsid w:val="00F942B9"/>
    <w:rsid w:val="00F942F3"/>
    <w:rsid w:val="00F945D5"/>
    <w:rsid w:val="00F9480C"/>
    <w:rsid w:val="00F94B8C"/>
    <w:rsid w:val="00F94EDE"/>
    <w:rsid w:val="00F95087"/>
    <w:rsid w:val="00F95180"/>
    <w:rsid w:val="00F9535B"/>
    <w:rsid w:val="00F953F6"/>
    <w:rsid w:val="00F9548B"/>
    <w:rsid w:val="00F95505"/>
    <w:rsid w:val="00F95520"/>
    <w:rsid w:val="00F9557B"/>
    <w:rsid w:val="00F95836"/>
    <w:rsid w:val="00F95BEE"/>
    <w:rsid w:val="00F95CF0"/>
    <w:rsid w:val="00F95D1D"/>
    <w:rsid w:val="00F95DB4"/>
    <w:rsid w:val="00F95E6D"/>
    <w:rsid w:val="00F95E91"/>
    <w:rsid w:val="00F95F46"/>
    <w:rsid w:val="00F9607F"/>
    <w:rsid w:val="00F960F0"/>
    <w:rsid w:val="00F9611A"/>
    <w:rsid w:val="00F96196"/>
    <w:rsid w:val="00F96315"/>
    <w:rsid w:val="00F9632E"/>
    <w:rsid w:val="00F9633B"/>
    <w:rsid w:val="00F9638D"/>
    <w:rsid w:val="00F963CD"/>
    <w:rsid w:val="00F963D9"/>
    <w:rsid w:val="00F96448"/>
    <w:rsid w:val="00F96466"/>
    <w:rsid w:val="00F9658F"/>
    <w:rsid w:val="00F96690"/>
    <w:rsid w:val="00F9679F"/>
    <w:rsid w:val="00F96836"/>
    <w:rsid w:val="00F9684E"/>
    <w:rsid w:val="00F968A1"/>
    <w:rsid w:val="00F968AA"/>
    <w:rsid w:val="00F9690E"/>
    <w:rsid w:val="00F96A4B"/>
    <w:rsid w:val="00F96A93"/>
    <w:rsid w:val="00F96A9C"/>
    <w:rsid w:val="00F96B26"/>
    <w:rsid w:val="00F96C8D"/>
    <w:rsid w:val="00F96D74"/>
    <w:rsid w:val="00F96DA2"/>
    <w:rsid w:val="00F96E11"/>
    <w:rsid w:val="00F96EF5"/>
    <w:rsid w:val="00F96EF6"/>
    <w:rsid w:val="00F97007"/>
    <w:rsid w:val="00F97100"/>
    <w:rsid w:val="00F9713A"/>
    <w:rsid w:val="00F97181"/>
    <w:rsid w:val="00F9721B"/>
    <w:rsid w:val="00F972A7"/>
    <w:rsid w:val="00F972BA"/>
    <w:rsid w:val="00F9732D"/>
    <w:rsid w:val="00F973B2"/>
    <w:rsid w:val="00F97475"/>
    <w:rsid w:val="00F97498"/>
    <w:rsid w:val="00F977BD"/>
    <w:rsid w:val="00F97948"/>
    <w:rsid w:val="00F97987"/>
    <w:rsid w:val="00F979DE"/>
    <w:rsid w:val="00F97B2B"/>
    <w:rsid w:val="00F97C7E"/>
    <w:rsid w:val="00F97D85"/>
    <w:rsid w:val="00F97E00"/>
    <w:rsid w:val="00F97F39"/>
    <w:rsid w:val="00FA007A"/>
    <w:rsid w:val="00FA0097"/>
    <w:rsid w:val="00FA014C"/>
    <w:rsid w:val="00FA01C7"/>
    <w:rsid w:val="00FA01EF"/>
    <w:rsid w:val="00FA02B1"/>
    <w:rsid w:val="00FA03A0"/>
    <w:rsid w:val="00FA0457"/>
    <w:rsid w:val="00FA05B7"/>
    <w:rsid w:val="00FA06C7"/>
    <w:rsid w:val="00FA07B0"/>
    <w:rsid w:val="00FA0925"/>
    <w:rsid w:val="00FA0A6F"/>
    <w:rsid w:val="00FA0ABE"/>
    <w:rsid w:val="00FA0BA2"/>
    <w:rsid w:val="00FA0BF9"/>
    <w:rsid w:val="00FA0D54"/>
    <w:rsid w:val="00FA0DCB"/>
    <w:rsid w:val="00FA0DF7"/>
    <w:rsid w:val="00FA0E00"/>
    <w:rsid w:val="00FA0E92"/>
    <w:rsid w:val="00FA0EA8"/>
    <w:rsid w:val="00FA1012"/>
    <w:rsid w:val="00FA1050"/>
    <w:rsid w:val="00FA11D9"/>
    <w:rsid w:val="00FA122C"/>
    <w:rsid w:val="00FA1244"/>
    <w:rsid w:val="00FA12F9"/>
    <w:rsid w:val="00FA1556"/>
    <w:rsid w:val="00FA15F4"/>
    <w:rsid w:val="00FA1637"/>
    <w:rsid w:val="00FA16A9"/>
    <w:rsid w:val="00FA183A"/>
    <w:rsid w:val="00FA198F"/>
    <w:rsid w:val="00FA1C3A"/>
    <w:rsid w:val="00FA1DCD"/>
    <w:rsid w:val="00FA1E0D"/>
    <w:rsid w:val="00FA1E60"/>
    <w:rsid w:val="00FA1E6C"/>
    <w:rsid w:val="00FA1E9F"/>
    <w:rsid w:val="00FA1F81"/>
    <w:rsid w:val="00FA1FD8"/>
    <w:rsid w:val="00FA201D"/>
    <w:rsid w:val="00FA21EB"/>
    <w:rsid w:val="00FA221F"/>
    <w:rsid w:val="00FA22B4"/>
    <w:rsid w:val="00FA2391"/>
    <w:rsid w:val="00FA23A9"/>
    <w:rsid w:val="00FA23E9"/>
    <w:rsid w:val="00FA256C"/>
    <w:rsid w:val="00FA25AC"/>
    <w:rsid w:val="00FA264E"/>
    <w:rsid w:val="00FA2679"/>
    <w:rsid w:val="00FA27EF"/>
    <w:rsid w:val="00FA284F"/>
    <w:rsid w:val="00FA28B0"/>
    <w:rsid w:val="00FA28BA"/>
    <w:rsid w:val="00FA28D6"/>
    <w:rsid w:val="00FA293C"/>
    <w:rsid w:val="00FA2951"/>
    <w:rsid w:val="00FA2A5E"/>
    <w:rsid w:val="00FA2AAE"/>
    <w:rsid w:val="00FA2AB8"/>
    <w:rsid w:val="00FA2ABA"/>
    <w:rsid w:val="00FA2D99"/>
    <w:rsid w:val="00FA2E52"/>
    <w:rsid w:val="00FA2F2D"/>
    <w:rsid w:val="00FA2FFD"/>
    <w:rsid w:val="00FA3028"/>
    <w:rsid w:val="00FA31F3"/>
    <w:rsid w:val="00FA32C7"/>
    <w:rsid w:val="00FA3454"/>
    <w:rsid w:val="00FA359D"/>
    <w:rsid w:val="00FA376D"/>
    <w:rsid w:val="00FA3A82"/>
    <w:rsid w:val="00FA3AAD"/>
    <w:rsid w:val="00FA3CAB"/>
    <w:rsid w:val="00FA3D42"/>
    <w:rsid w:val="00FA3E30"/>
    <w:rsid w:val="00FA3EDE"/>
    <w:rsid w:val="00FA3FB1"/>
    <w:rsid w:val="00FA41B7"/>
    <w:rsid w:val="00FA4234"/>
    <w:rsid w:val="00FA42CF"/>
    <w:rsid w:val="00FA42FE"/>
    <w:rsid w:val="00FA4334"/>
    <w:rsid w:val="00FA43A4"/>
    <w:rsid w:val="00FA4407"/>
    <w:rsid w:val="00FA44BE"/>
    <w:rsid w:val="00FA44DF"/>
    <w:rsid w:val="00FA465D"/>
    <w:rsid w:val="00FA466F"/>
    <w:rsid w:val="00FA467B"/>
    <w:rsid w:val="00FA46C1"/>
    <w:rsid w:val="00FA47CF"/>
    <w:rsid w:val="00FA47DF"/>
    <w:rsid w:val="00FA49F5"/>
    <w:rsid w:val="00FA4AF5"/>
    <w:rsid w:val="00FA4B94"/>
    <w:rsid w:val="00FA4C68"/>
    <w:rsid w:val="00FA4CE2"/>
    <w:rsid w:val="00FA4CF6"/>
    <w:rsid w:val="00FA4E0B"/>
    <w:rsid w:val="00FA4EEE"/>
    <w:rsid w:val="00FA4F88"/>
    <w:rsid w:val="00FA505A"/>
    <w:rsid w:val="00FA508C"/>
    <w:rsid w:val="00FA511B"/>
    <w:rsid w:val="00FA518F"/>
    <w:rsid w:val="00FA51F9"/>
    <w:rsid w:val="00FA52B4"/>
    <w:rsid w:val="00FA534A"/>
    <w:rsid w:val="00FA54FF"/>
    <w:rsid w:val="00FA555F"/>
    <w:rsid w:val="00FA5569"/>
    <w:rsid w:val="00FA55CF"/>
    <w:rsid w:val="00FA55DD"/>
    <w:rsid w:val="00FA563A"/>
    <w:rsid w:val="00FA566D"/>
    <w:rsid w:val="00FA57F6"/>
    <w:rsid w:val="00FA584D"/>
    <w:rsid w:val="00FA588F"/>
    <w:rsid w:val="00FA58D3"/>
    <w:rsid w:val="00FA58F0"/>
    <w:rsid w:val="00FA593D"/>
    <w:rsid w:val="00FA594F"/>
    <w:rsid w:val="00FA5A5C"/>
    <w:rsid w:val="00FA5B14"/>
    <w:rsid w:val="00FA5B1E"/>
    <w:rsid w:val="00FA5B24"/>
    <w:rsid w:val="00FA5D1E"/>
    <w:rsid w:val="00FA5D27"/>
    <w:rsid w:val="00FA5EB8"/>
    <w:rsid w:val="00FA5EFF"/>
    <w:rsid w:val="00FA602F"/>
    <w:rsid w:val="00FA614F"/>
    <w:rsid w:val="00FA620B"/>
    <w:rsid w:val="00FA63A9"/>
    <w:rsid w:val="00FA63BB"/>
    <w:rsid w:val="00FA63C6"/>
    <w:rsid w:val="00FA6436"/>
    <w:rsid w:val="00FA6438"/>
    <w:rsid w:val="00FA6544"/>
    <w:rsid w:val="00FA65A7"/>
    <w:rsid w:val="00FA65ED"/>
    <w:rsid w:val="00FA6602"/>
    <w:rsid w:val="00FA6638"/>
    <w:rsid w:val="00FA66EB"/>
    <w:rsid w:val="00FA6715"/>
    <w:rsid w:val="00FA67D9"/>
    <w:rsid w:val="00FA67DA"/>
    <w:rsid w:val="00FA6854"/>
    <w:rsid w:val="00FA68A8"/>
    <w:rsid w:val="00FA69A7"/>
    <w:rsid w:val="00FA6B0F"/>
    <w:rsid w:val="00FA6BA8"/>
    <w:rsid w:val="00FA6D6C"/>
    <w:rsid w:val="00FA6F35"/>
    <w:rsid w:val="00FA6FBB"/>
    <w:rsid w:val="00FA7082"/>
    <w:rsid w:val="00FA70B9"/>
    <w:rsid w:val="00FA7175"/>
    <w:rsid w:val="00FA7245"/>
    <w:rsid w:val="00FA72CE"/>
    <w:rsid w:val="00FA740D"/>
    <w:rsid w:val="00FA743C"/>
    <w:rsid w:val="00FA7476"/>
    <w:rsid w:val="00FA74DE"/>
    <w:rsid w:val="00FA7565"/>
    <w:rsid w:val="00FA75A3"/>
    <w:rsid w:val="00FA7677"/>
    <w:rsid w:val="00FA7684"/>
    <w:rsid w:val="00FA7698"/>
    <w:rsid w:val="00FA76D4"/>
    <w:rsid w:val="00FA774B"/>
    <w:rsid w:val="00FA7834"/>
    <w:rsid w:val="00FA7867"/>
    <w:rsid w:val="00FA78C2"/>
    <w:rsid w:val="00FA78E8"/>
    <w:rsid w:val="00FA7B2D"/>
    <w:rsid w:val="00FA7B80"/>
    <w:rsid w:val="00FA7C49"/>
    <w:rsid w:val="00FA7D00"/>
    <w:rsid w:val="00FA7D86"/>
    <w:rsid w:val="00FA7DA0"/>
    <w:rsid w:val="00FA7DE2"/>
    <w:rsid w:val="00FA7F05"/>
    <w:rsid w:val="00FB0190"/>
    <w:rsid w:val="00FB0280"/>
    <w:rsid w:val="00FB03E1"/>
    <w:rsid w:val="00FB04EE"/>
    <w:rsid w:val="00FB0572"/>
    <w:rsid w:val="00FB066D"/>
    <w:rsid w:val="00FB06BC"/>
    <w:rsid w:val="00FB06DC"/>
    <w:rsid w:val="00FB079F"/>
    <w:rsid w:val="00FB0896"/>
    <w:rsid w:val="00FB0980"/>
    <w:rsid w:val="00FB0B15"/>
    <w:rsid w:val="00FB0BAA"/>
    <w:rsid w:val="00FB0CA7"/>
    <w:rsid w:val="00FB0D02"/>
    <w:rsid w:val="00FB0F06"/>
    <w:rsid w:val="00FB0F1D"/>
    <w:rsid w:val="00FB0F2F"/>
    <w:rsid w:val="00FB101C"/>
    <w:rsid w:val="00FB118F"/>
    <w:rsid w:val="00FB11C0"/>
    <w:rsid w:val="00FB12FB"/>
    <w:rsid w:val="00FB142A"/>
    <w:rsid w:val="00FB14DB"/>
    <w:rsid w:val="00FB1762"/>
    <w:rsid w:val="00FB1830"/>
    <w:rsid w:val="00FB1854"/>
    <w:rsid w:val="00FB189A"/>
    <w:rsid w:val="00FB19FD"/>
    <w:rsid w:val="00FB1D7B"/>
    <w:rsid w:val="00FB1DA5"/>
    <w:rsid w:val="00FB1E79"/>
    <w:rsid w:val="00FB1E9A"/>
    <w:rsid w:val="00FB1EA1"/>
    <w:rsid w:val="00FB20A9"/>
    <w:rsid w:val="00FB233D"/>
    <w:rsid w:val="00FB2396"/>
    <w:rsid w:val="00FB2454"/>
    <w:rsid w:val="00FB2460"/>
    <w:rsid w:val="00FB2547"/>
    <w:rsid w:val="00FB263E"/>
    <w:rsid w:val="00FB26D4"/>
    <w:rsid w:val="00FB2710"/>
    <w:rsid w:val="00FB27AB"/>
    <w:rsid w:val="00FB2924"/>
    <w:rsid w:val="00FB2960"/>
    <w:rsid w:val="00FB2A1F"/>
    <w:rsid w:val="00FB2AE4"/>
    <w:rsid w:val="00FB2B2B"/>
    <w:rsid w:val="00FB2B9C"/>
    <w:rsid w:val="00FB2F1E"/>
    <w:rsid w:val="00FB3000"/>
    <w:rsid w:val="00FB30CC"/>
    <w:rsid w:val="00FB318A"/>
    <w:rsid w:val="00FB3195"/>
    <w:rsid w:val="00FB3293"/>
    <w:rsid w:val="00FB32CE"/>
    <w:rsid w:val="00FB3592"/>
    <w:rsid w:val="00FB3652"/>
    <w:rsid w:val="00FB3867"/>
    <w:rsid w:val="00FB3923"/>
    <w:rsid w:val="00FB3936"/>
    <w:rsid w:val="00FB3A37"/>
    <w:rsid w:val="00FB3B41"/>
    <w:rsid w:val="00FB3D47"/>
    <w:rsid w:val="00FB3D48"/>
    <w:rsid w:val="00FB3E6C"/>
    <w:rsid w:val="00FB3ED2"/>
    <w:rsid w:val="00FB3F32"/>
    <w:rsid w:val="00FB3F72"/>
    <w:rsid w:val="00FB435C"/>
    <w:rsid w:val="00FB4363"/>
    <w:rsid w:val="00FB437F"/>
    <w:rsid w:val="00FB43A6"/>
    <w:rsid w:val="00FB4446"/>
    <w:rsid w:val="00FB461E"/>
    <w:rsid w:val="00FB4769"/>
    <w:rsid w:val="00FB476B"/>
    <w:rsid w:val="00FB4782"/>
    <w:rsid w:val="00FB486C"/>
    <w:rsid w:val="00FB488B"/>
    <w:rsid w:val="00FB48F3"/>
    <w:rsid w:val="00FB48FB"/>
    <w:rsid w:val="00FB498B"/>
    <w:rsid w:val="00FB49AC"/>
    <w:rsid w:val="00FB4A8D"/>
    <w:rsid w:val="00FB4B51"/>
    <w:rsid w:val="00FB4BC0"/>
    <w:rsid w:val="00FB4C66"/>
    <w:rsid w:val="00FB4C91"/>
    <w:rsid w:val="00FB4EB7"/>
    <w:rsid w:val="00FB4FF7"/>
    <w:rsid w:val="00FB50EA"/>
    <w:rsid w:val="00FB51E6"/>
    <w:rsid w:val="00FB5249"/>
    <w:rsid w:val="00FB5280"/>
    <w:rsid w:val="00FB5284"/>
    <w:rsid w:val="00FB52BF"/>
    <w:rsid w:val="00FB5516"/>
    <w:rsid w:val="00FB55E7"/>
    <w:rsid w:val="00FB5827"/>
    <w:rsid w:val="00FB5890"/>
    <w:rsid w:val="00FB5ABF"/>
    <w:rsid w:val="00FB5B31"/>
    <w:rsid w:val="00FB5B70"/>
    <w:rsid w:val="00FB5B83"/>
    <w:rsid w:val="00FB5BA3"/>
    <w:rsid w:val="00FB5C7E"/>
    <w:rsid w:val="00FB5D5D"/>
    <w:rsid w:val="00FB5DBB"/>
    <w:rsid w:val="00FB5F70"/>
    <w:rsid w:val="00FB60BF"/>
    <w:rsid w:val="00FB60F2"/>
    <w:rsid w:val="00FB6185"/>
    <w:rsid w:val="00FB6316"/>
    <w:rsid w:val="00FB633A"/>
    <w:rsid w:val="00FB640A"/>
    <w:rsid w:val="00FB640C"/>
    <w:rsid w:val="00FB64DD"/>
    <w:rsid w:val="00FB658D"/>
    <w:rsid w:val="00FB6646"/>
    <w:rsid w:val="00FB671A"/>
    <w:rsid w:val="00FB684E"/>
    <w:rsid w:val="00FB69AD"/>
    <w:rsid w:val="00FB69E8"/>
    <w:rsid w:val="00FB6B30"/>
    <w:rsid w:val="00FB6C57"/>
    <w:rsid w:val="00FB6CCD"/>
    <w:rsid w:val="00FB6D07"/>
    <w:rsid w:val="00FB6DDF"/>
    <w:rsid w:val="00FB6E02"/>
    <w:rsid w:val="00FB6ED9"/>
    <w:rsid w:val="00FB6FDF"/>
    <w:rsid w:val="00FB7357"/>
    <w:rsid w:val="00FB73AF"/>
    <w:rsid w:val="00FB73BE"/>
    <w:rsid w:val="00FB74AB"/>
    <w:rsid w:val="00FB74F2"/>
    <w:rsid w:val="00FB75AE"/>
    <w:rsid w:val="00FB7697"/>
    <w:rsid w:val="00FB780B"/>
    <w:rsid w:val="00FB78FB"/>
    <w:rsid w:val="00FB79DA"/>
    <w:rsid w:val="00FB79FC"/>
    <w:rsid w:val="00FB7A1E"/>
    <w:rsid w:val="00FB7A25"/>
    <w:rsid w:val="00FB7A3C"/>
    <w:rsid w:val="00FB7AAC"/>
    <w:rsid w:val="00FB7B49"/>
    <w:rsid w:val="00FB7BA1"/>
    <w:rsid w:val="00FB7CB5"/>
    <w:rsid w:val="00FB7E50"/>
    <w:rsid w:val="00FC0047"/>
    <w:rsid w:val="00FC0109"/>
    <w:rsid w:val="00FC057E"/>
    <w:rsid w:val="00FC0926"/>
    <w:rsid w:val="00FC0947"/>
    <w:rsid w:val="00FC0956"/>
    <w:rsid w:val="00FC0A4A"/>
    <w:rsid w:val="00FC0AA5"/>
    <w:rsid w:val="00FC0CC4"/>
    <w:rsid w:val="00FC0DAF"/>
    <w:rsid w:val="00FC0E60"/>
    <w:rsid w:val="00FC0EF4"/>
    <w:rsid w:val="00FC0F2F"/>
    <w:rsid w:val="00FC10D1"/>
    <w:rsid w:val="00FC10F5"/>
    <w:rsid w:val="00FC117F"/>
    <w:rsid w:val="00FC1185"/>
    <w:rsid w:val="00FC1431"/>
    <w:rsid w:val="00FC1518"/>
    <w:rsid w:val="00FC1788"/>
    <w:rsid w:val="00FC17F1"/>
    <w:rsid w:val="00FC1878"/>
    <w:rsid w:val="00FC18AC"/>
    <w:rsid w:val="00FC192D"/>
    <w:rsid w:val="00FC1944"/>
    <w:rsid w:val="00FC1A35"/>
    <w:rsid w:val="00FC1AF0"/>
    <w:rsid w:val="00FC1B70"/>
    <w:rsid w:val="00FC1C4D"/>
    <w:rsid w:val="00FC241B"/>
    <w:rsid w:val="00FC2467"/>
    <w:rsid w:val="00FC2644"/>
    <w:rsid w:val="00FC2647"/>
    <w:rsid w:val="00FC26BA"/>
    <w:rsid w:val="00FC27EB"/>
    <w:rsid w:val="00FC28C2"/>
    <w:rsid w:val="00FC2955"/>
    <w:rsid w:val="00FC2979"/>
    <w:rsid w:val="00FC2983"/>
    <w:rsid w:val="00FC29AE"/>
    <w:rsid w:val="00FC2C0D"/>
    <w:rsid w:val="00FC2C35"/>
    <w:rsid w:val="00FC2C61"/>
    <w:rsid w:val="00FC2D2E"/>
    <w:rsid w:val="00FC2D99"/>
    <w:rsid w:val="00FC2DD1"/>
    <w:rsid w:val="00FC2EA5"/>
    <w:rsid w:val="00FC2EC2"/>
    <w:rsid w:val="00FC2F82"/>
    <w:rsid w:val="00FC2F8C"/>
    <w:rsid w:val="00FC3069"/>
    <w:rsid w:val="00FC312C"/>
    <w:rsid w:val="00FC3184"/>
    <w:rsid w:val="00FC3226"/>
    <w:rsid w:val="00FC329D"/>
    <w:rsid w:val="00FC3335"/>
    <w:rsid w:val="00FC3377"/>
    <w:rsid w:val="00FC3549"/>
    <w:rsid w:val="00FC359C"/>
    <w:rsid w:val="00FC3698"/>
    <w:rsid w:val="00FC36FA"/>
    <w:rsid w:val="00FC39D0"/>
    <w:rsid w:val="00FC3ACC"/>
    <w:rsid w:val="00FC3B32"/>
    <w:rsid w:val="00FC3B60"/>
    <w:rsid w:val="00FC3BF8"/>
    <w:rsid w:val="00FC3C75"/>
    <w:rsid w:val="00FC3CFC"/>
    <w:rsid w:val="00FC402E"/>
    <w:rsid w:val="00FC414E"/>
    <w:rsid w:val="00FC4291"/>
    <w:rsid w:val="00FC42DB"/>
    <w:rsid w:val="00FC42FC"/>
    <w:rsid w:val="00FC4421"/>
    <w:rsid w:val="00FC4497"/>
    <w:rsid w:val="00FC44D6"/>
    <w:rsid w:val="00FC4508"/>
    <w:rsid w:val="00FC4894"/>
    <w:rsid w:val="00FC4953"/>
    <w:rsid w:val="00FC4986"/>
    <w:rsid w:val="00FC49FC"/>
    <w:rsid w:val="00FC4A4A"/>
    <w:rsid w:val="00FC4B0B"/>
    <w:rsid w:val="00FC4C31"/>
    <w:rsid w:val="00FC4C3F"/>
    <w:rsid w:val="00FC4C63"/>
    <w:rsid w:val="00FC4C70"/>
    <w:rsid w:val="00FC4D9A"/>
    <w:rsid w:val="00FC4DFA"/>
    <w:rsid w:val="00FC4E49"/>
    <w:rsid w:val="00FC4EB5"/>
    <w:rsid w:val="00FC50A1"/>
    <w:rsid w:val="00FC5136"/>
    <w:rsid w:val="00FC52FC"/>
    <w:rsid w:val="00FC5302"/>
    <w:rsid w:val="00FC5345"/>
    <w:rsid w:val="00FC5526"/>
    <w:rsid w:val="00FC55E0"/>
    <w:rsid w:val="00FC560B"/>
    <w:rsid w:val="00FC5682"/>
    <w:rsid w:val="00FC576B"/>
    <w:rsid w:val="00FC576E"/>
    <w:rsid w:val="00FC5799"/>
    <w:rsid w:val="00FC5861"/>
    <w:rsid w:val="00FC58B4"/>
    <w:rsid w:val="00FC5A5F"/>
    <w:rsid w:val="00FC5AE2"/>
    <w:rsid w:val="00FC5B55"/>
    <w:rsid w:val="00FC5B76"/>
    <w:rsid w:val="00FC5B7D"/>
    <w:rsid w:val="00FC5C47"/>
    <w:rsid w:val="00FC5D3E"/>
    <w:rsid w:val="00FC5E6A"/>
    <w:rsid w:val="00FC5EC7"/>
    <w:rsid w:val="00FC5F6D"/>
    <w:rsid w:val="00FC5FB7"/>
    <w:rsid w:val="00FC603A"/>
    <w:rsid w:val="00FC604B"/>
    <w:rsid w:val="00FC6073"/>
    <w:rsid w:val="00FC608D"/>
    <w:rsid w:val="00FC6175"/>
    <w:rsid w:val="00FC617D"/>
    <w:rsid w:val="00FC61EB"/>
    <w:rsid w:val="00FC6355"/>
    <w:rsid w:val="00FC637F"/>
    <w:rsid w:val="00FC6486"/>
    <w:rsid w:val="00FC64A4"/>
    <w:rsid w:val="00FC6544"/>
    <w:rsid w:val="00FC660B"/>
    <w:rsid w:val="00FC673B"/>
    <w:rsid w:val="00FC6747"/>
    <w:rsid w:val="00FC674B"/>
    <w:rsid w:val="00FC67FA"/>
    <w:rsid w:val="00FC6B1A"/>
    <w:rsid w:val="00FC6C85"/>
    <w:rsid w:val="00FC6CA8"/>
    <w:rsid w:val="00FC6CC0"/>
    <w:rsid w:val="00FC6CCE"/>
    <w:rsid w:val="00FC6DB2"/>
    <w:rsid w:val="00FC6E0F"/>
    <w:rsid w:val="00FC6E70"/>
    <w:rsid w:val="00FC6EC1"/>
    <w:rsid w:val="00FC6EF9"/>
    <w:rsid w:val="00FC6FC8"/>
    <w:rsid w:val="00FC726D"/>
    <w:rsid w:val="00FC733F"/>
    <w:rsid w:val="00FC740F"/>
    <w:rsid w:val="00FC744F"/>
    <w:rsid w:val="00FC74CA"/>
    <w:rsid w:val="00FC7688"/>
    <w:rsid w:val="00FC76D5"/>
    <w:rsid w:val="00FC7716"/>
    <w:rsid w:val="00FC7761"/>
    <w:rsid w:val="00FC777B"/>
    <w:rsid w:val="00FC7853"/>
    <w:rsid w:val="00FC7901"/>
    <w:rsid w:val="00FC794D"/>
    <w:rsid w:val="00FC795C"/>
    <w:rsid w:val="00FC7A8E"/>
    <w:rsid w:val="00FC7A93"/>
    <w:rsid w:val="00FC7AC9"/>
    <w:rsid w:val="00FC7B2D"/>
    <w:rsid w:val="00FC7E68"/>
    <w:rsid w:val="00FC7F00"/>
    <w:rsid w:val="00FC7F23"/>
    <w:rsid w:val="00FD001C"/>
    <w:rsid w:val="00FD0037"/>
    <w:rsid w:val="00FD0073"/>
    <w:rsid w:val="00FD00D4"/>
    <w:rsid w:val="00FD0164"/>
    <w:rsid w:val="00FD016C"/>
    <w:rsid w:val="00FD022E"/>
    <w:rsid w:val="00FD025C"/>
    <w:rsid w:val="00FD03B4"/>
    <w:rsid w:val="00FD0416"/>
    <w:rsid w:val="00FD0495"/>
    <w:rsid w:val="00FD0513"/>
    <w:rsid w:val="00FD0604"/>
    <w:rsid w:val="00FD06A1"/>
    <w:rsid w:val="00FD087C"/>
    <w:rsid w:val="00FD0880"/>
    <w:rsid w:val="00FD089E"/>
    <w:rsid w:val="00FD0C57"/>
    <w:rsid w:val="00FD0DD5"/>
    <w:rsid w:val="00FD0E09"/>
    <w:rsid w:val="00FD0EC0"/>
    <w:rsid w:val="00FD0EDF"/>
    <w:rsid w:val="00FD0FAE"/>
    <w:rsid w:val="00FD0FD7"/>
    <w:rsid w:val="00FD1001"/>
    <w:rsid w:val="00FD10A7"/>
    <w:rsid w:val="00FD1110"/>
    <w:rsid w:val="00FD11B6"/>
    <w:rsid w:val="00FD120B"/>
    <w:rsid w:val="00FD12DC"/>
    <w:rsid w:val="00FD12EB"/>
    <w:rsid w:val="00FD1336"/>
    <w:rsid w:val="00FD13AD"/>
    <w:rsid w:val="00FD1446"/>
    <w:rsid w:val="00FD14AF"/>
    <w:rsid w:val="00FD1514"/>
    <w:rsid w:val="00FD1516"/>
    <w:rsid w:val="00FD155D"/>
    <w:rsid w:val="00FD1582"/>
    <w:rsid w:val="00FD15B5"/>
    <w:rsid w:val="00FD165D"/>
    <w:rsid w:val="00FD1679"/>
    <w:rsid w:val="00FD16F4"/>
    <w:rsid w:val="00FD1748"/>
    <w:rsid w:val="00FD17A9"/>
    <w:rsid w:val="00FD17BB"/>
    <w:rsid w:val="00FD1870"/>
    <w:rsid w:val="00FD18BA"/>
    <w:rsid w:val="00FD194A"/>
    <w:rsid w:val="00FD19A8"/>
    <w:rsid w:val="00FD1A88"/>
    <w:rsid w:val="00FD1AB7"/>
    <w:rsid w:val="00FD1ABC"/>
    <w:rsid w:val="00FD1ADA"/>
    <w:rsid w:val="00FD1B50"/>
    <w:rsid w:val="00FD1C18"/>
    <w:rsid w:val="00FD1C3C"/>
    <w:rsid w:val="00FD1CE7"/>
    <w:rsid w:val="00FD1D83"/>
    <w:rsid w:val="00FD1EB3"/>
    <w:rsid w:val="00FD1F82"/>
    <w:rsid w:val="00FD1F98"/>
    <w:rsid w:val="00FD1FE0"/>
    <w:rsid w:val="00FD2065"/>
    <w:rsid w:val="00FD20F6"/>
    <w:rsid w:val="00FD21E5"/>
    <w:rsid w:val="00FD22BF"/>
    <w:rsid w:val="00FD22FC"/>
    <w:rsid w:val="00FD2325"/>
    <w:rsid w:val="00FD2373"/>
    <w:rsid w:val="00FD25FE"/>
    <w:rsid w:val="00FD2616"/>
    <w:rsid w:val="00FD26A2"/>
    <w:rsid w:val="00FD270C"/>
    <w:rsid w:val="00FD277A"/>
    <w:rsid w:val="00FD284A"/>
    <w:rsid w:val="00FD2929"/>
    <w:rsid w:val="00FD2B98"/>
    <w:rsid w:val="00FD2C29"/>
    <w:rsid w:val="00FD2D44"/>
    <w:rsid w:val="00FD2DA4"/>
    <w:rsid w:val="00FD2E53"/>
    <w:rsid w:val="00FD2F63"/>
    <w:rsid w:val="00FD306B"/>
    <w:rsid w:val="00FD331E"/>
    <w:rsid w:val="00FD339E"/>
    <w:rsid w:val="00FD33D9"/>
    <w:rsid w:val="00FD33EE"/>
    <w:rsid w:val="00FD3457"/>
    <w:rsid w:val="00FD34C2"/>
    <w:rsid w:val="00FD35B9"/>
    <w:rsid w:val="00FD3781"/>
    <w:rsid w:val="00FD38D8"/>
    <w:rsid w:val="00FD3974"/>
    <w:rsid w:val="00FD3980"/>
    <w:rsid w:val="00FD3A1D"/>
    <w:rsid w:val="00FD3C27"/>
    <w:rsid w:val="00FD3DB4"/>
    <w:rsid w:val="00FD3DE3"/>
    <w:rsid w:val="00FD3E01"/>
    <w:rsid w:val="00FD3E5C"/>
    <w:rsid w:val="00FD3F26"/>
    <w:rsid w:val="00FD3F95"/>
    <w:rsid w:val="00FD402F"/>
    <w:rsid w:val="00FD4091"/>
    <w:rsid w:val="00FD4248"/>
    <w:rsid w:val="00FD425D"/>
    <w:rsid w:val="00FD4378"/>
    <w:rsid w:val="00FD441D"/>
    <w:rsid w:val="00FD45D4"/>
    <w:rsid w:val="00FD4675"/>
    <w:rsid w:val="00FD4A2A"/>
    <w:rsid w:val="00FD4B4C"/>
    <w:rsid w:val="00FD4D52"/>
    <w:rsid w:val="00FD4DEA"/>
    <w:rsid w:val="00FD4EF4"/>
    <w:rsid w:val="00FD4F34"/>
    <w:rsid w:val="00FD5122"/>
    <w:rsid w:val="00FD51ED"/>
    <w:rsid w:val="00FD5245"/>
    <w:rsid w:val="00FD528F"/>
    <w:rsid w:val="00FD5435"/>
    <w:rsid w:val="00FD5479"/>
    <w:rsid w:val="00FD54C8"/>
    <w:rsid w:val="00FD54D4"/>
    <w:rsid w:val="00FD54DC"/>
    <w:rsid w:val="00FD56D5"/>
    <w:rsid w:val="00FD572B"/>
    <w:rsid w:val="00FD58B8"/>
    <w:rsid w:val="00FD5988"/>
    <w:rsid w:val="00FD5A1C"/>
    <w:rsid w:val="00FD5A32"/>
    <w:rsid w:val="00FD5B0E"/>
    <w:rsid w:val="00FD5BE9"/>
    <w:rsid w:val="00FD5C11"/>
    <w:rsid w:val="00FD5CC9"/>
    <w:rsid w:val="00FD5E31"/>
    <w:rsid w:val="00FD61D5"/>
    <w:rsid w:val="00FD6232"/>
    <w:rsid w:val="00FD6255"/>
    <w:rsid w:val="00FD626E"/>
    <w:rsid w:val="00FD6282"/>
    <w:rsid w:val="00FD63D1"/>
    <w:rsid w:val="00FD6412"/>
    <w:rsid w:val="00FD657A"/>
    <w:rsid w:val="00FD65A2"/>
    <w:rsid w:val="00FD65C4"/>
    <w:rsid w:val="00FD66B0"/>
    <w:rsid w:val="00FD66B3"/>
    <w:rsid w:val="00FD677F"/>
    <w:rsid w:val="00FD694E"/>
    <w:rsid w:val="00FD69F3"/>
    <w:rsid w:val="00FD6A8D"/>
    <w:rsid w:val="00FD6AC4"/>
    <w:rsid w:val="00FD6B4B"/>
    <w:rsid w:val="00FD6BB1"/>
    <w:rsid w:val="00FD6C70"/>
    <w:rsid w:val="00FD6D63"/>
    <w:rsid w:val="00FD6D85"/>
    <w:rsid w:val="00FD6E29"/>
    <w:rsid w:val="00FD6FA2"/>
    <w:rsid w:val="00FD6FB3"/>
    <w:rsid w:val="00FD6FD4"/>
    <w:rsid w:val="00FD711C"/>
    <w:rsid w:val="00FD71DE"/>
    <w:rsid w:val="00FD7235"/>
    <w:rsid w:val="00FD72CA"/>
    <w:rsid w:val="00FD7337"/>
    <w:rsid w:val="00FD734C"/>
    <w:rsid w:val="00FD7466"/>
    <w:rsid w:val="00FD74A3"/>
    <w:rsid w:val="00FD764A"/>
    <w:rsid w:val="00FD76AC"/>
    <w:rsid w:val="00FD77EB"/>
    <w:rsid w:val="00FD7954"/>
    <w:rsid w:val="00FD79D0"/>
    <w:rsid w:val="00FD7A5A"/>
    <w:rsid w:val="00FD7BDA"/>
    <w:rsid w:val="00FD7C92"/>
    <w:rsid w:val="00FD7CDF"/>
    <w:rsid w:val="00FD7E18"/>
    <w:rsid w:val="00FD7E27"/>
    <w:rsid w:val="00FD7EF0"/>
    <w:rsid w:val="00FD7EFF"/>
    <w:rsid w:val="00FD7FE5"/>
    <w:rsid w:val="00FE002C"/>
    <w:rsid w:val="00FE0084"/>
    <w:rsid w:val="00FE00D2"/>
    <w:rsid w:val="00FE02CE"/>
    <w:rsid w:val="00FE03FF"/>
    <w:rsid w:val="00FE04E8"/>
    <w:rsid w:val="00FE0544"/>
    <w:rsid w:val="00FE0591"/>
    <w:rsid w:val="00FE068A"/>
    <w:rsid w:val="00FE06CC"/>
    <w:rsid w:val="00FE073C"/>
    <w:rsid w:val="00FE0833"/>
    <w:rsid w:val="00FE0A7F"/>
    <w:rsid w:val="00FE0BD0"/>
    <w:rsid w:val="00FE0C79"/>
    <w:rsid w:val="00FE0DCB"/>
    <w:rsid w:val="00FE0DD5"/>
    <w:rsid w:val="00FE105D"/>
    <w:rsid w:val="00FE105E"/>
    <w:rsid w:val="00FE10B8"/>
    <w:rsid w:val="00FE10DE"/>
    <w:rsid w:val="00FE10F0"/>
    <w:rsid w:val="00FE117C"/>
    <w:rsid w:val="00FE1214"/>
    <w:rsid w:val="00FE1215"/>
    <w:rsid w:val="00FE135A"/>
    <w:rsid w:val="00FE13EC"/>
    <w:rsid w:val="00FE14B8"/>
    <w:rsid w:val="00FE159A"/>
    <w:rsid w:val="00FE15A5"/>
    <w:rsid w:val="00FE160A"/>
    <w:rsid w:val="00FE168F"/>
    <w:rsid w:val="00FE16B9"/>
    <w:rsid w:val="00FE1819"/>
    <w:rsid w:val="00FE181D"/>
    <w:rsid w:val="00FE1876"/>
    <w:rsid w:val="00FE18CB"/>
    <w:rsid w:val="00FE1A62"/>
    <w:rsid w:val="00FE1A65"/>
    <w:rsid w:val="00FE1A85"/>
    <w:rsid w:val="00FE1ABD"/>
    <w:rsid w:val="00FE1ACA"/>
    <w:rsid w:val="00FE1B3F"/>
    <w:rsid w:val="00FE1B77"/>
    <w:rsid w:val="00FE1DE3"/>
    <w:rsid w:val="00FE1EFD"/>
    <w:rsid w:val="00FE1F22"/>
    <w:rsid w:val="00FE1FAE"/>
    <w:rsid w:val="00FE1FF7"/>
    <w:rsid w:val="00FE20F7"/>
    <w:rsid w:val="00FE210B"/>
    <w:rsid w:val="00FE232C"/>
    <w:rsid w:val="00FE2348"/>
    <w:rsid w:val="00FE237A"/>
    <w:rsid w:val="00FE2444"/>
    <w:rsid w:val="00FE2544"/>
    <w:rsid w:val="00FE257F"/>
    <w:rsid w:val="00FE2584"/>
    <w:rsid w:val="00FE25AD"/>
    <w:rsid w:val="00FE2639"/>
    <w:rsid w:val="00FE26BA"/>
    <w:rsid w:val="00FE26CF"/>
    <w:rsid w:val="00FE279C"/>
    <w:rsid w:val="00FE281D"/>
    <w:rsid w:val="00FE2953"/>
    <w:rsid w:val="00FE2B28"/>
    <w:rsid w:val="00FE2BC7"/>
    <w:rsid w:val="00FE2D92"/>
    <w:rsid w:val="00FE2D95"/>
    <w:rsid w:val="00FE2FAB"/>
    <w:rsid w:val="00FE3095"/>
    <w:rsid w:val="00FE3103"/>
    <w:rsid w:val="00FE311F"/>
    <w:rsid w:val="00FE3236"/>
    <w:rsid w:val="00FE323B"/>
    <w:rsid w:val="00FE339D"/>
    <w:rsid w:val="00FE3925"/>
    <w:rsid w:val="00FE3AD4"/>
    <w:rsid w:val="00FE3AD6"/>
    <w:rsid w:val="00FE3C17"/>
    <w:rsid w:val="00FE3C1A"/>
    <w:rsid w:val="00FE3CB0"/>
    <w:rsid w:val="00FE3CE6"/>
    <w:rsid w:val="00FE3DEC"/>
    <w:rsid w:val="00FE3E59"/>
    <w:rsid w:val="00FE3E78"/>
    <w:rsid w:val="00FE3E7E"/>
    <w:rsid w:val="00FE3EF5"/>
    <w:rsid w:val="00FE3F07"/>
    <w:rsid w:val="00FE3F58"/>
    <w:rsid w:val="00FE3F60"/>
    <w:rsid w:val="00FE41D0"/>
    <w:rsid w:val="00FE41E9"/>
    <w:rsid w:val="00FE4378"/>
    <w:rsid w:val="00FE4712"/>
    <w:rsid w:val="00FE49A9"/>
    <w:rsid w:val="00FE49E8"/>
    <w:rsid w:val="00FE4A48"/>
    <w:rsid w:val="00FE4D0A"/>
    <w:rsid w:val="00FE4E5E"/>
    <w:rsid w:val="00FE4E74"/>
    <w:rsid w:val="00FE4F0B"/>
    <w:rsid w:val="00FE4F81"/>
    <w:rsid w:val="00FE4F9C"/>
    <w:rsid w:val="00FE501F"/>
    <w:rsid w:val="00FE5033"/>
    <w:rsid w:val="00FE507B"/>
    <w:rsid w:val="00FE509B"/>
    <w:rsid w:val="00FE509D"/>
    <w:rsid w:val="00FE50BF"/>
    <w:rsid w:val="00FE5117"/>
    <w:rsid w:val="00FE5248"/>
    <w:rsid w:val="00FE5297"/>
    <w:rsid w:val="00FE52D8"/>
    <w:rsid w:val="00FE5399"/>
    <w:rsid w:val="00FE5405"/>
    <w:rsid w:val="00FE543D"/>
    <w:rsid w:val="00FE5442"/>
    <w:rsid w:val="00FE548A"/>
    <w:rsid w:val="00FE5627"/>
    <w:rsid w:val="00FE5640"/>
    <w:rsid w:val="00FE580C"/>
    <w:rsid w:val="00FE5936"/>
    <w:rsid w:val="00FE5970"/>
    <w:rsid w:val="00FE5973"/>
    <w:rsid w:val="00FE5AD3"/>
    <w:rsid w:val="00FE5B54"/>
    <w:rsid w:val="00FE5C1E"/>
    <w:rsid w:val="00FE5DE9"/>
    <w:rsid w:val="00FE5F2E"/>
    <w:rsid w:val="00FE5F3D"/>
    <w:rsid w:val="00FE5F92"/>
    <w:rsid w:val="00FE6080"/>
    <w:rsid w:val="00FE62FE"/>
    <w:rsid w:val="00FE6541"/>
    <w:rsid w:val="00FE6566"/>
    <w:rsid w:val="00FE65A4"/>
    <w:rsid w:val="00FE65DE"/>
    <w:rsid w:val="00FE65FA"/>
    <w:rsid w:val="00FE6663"/>
    <w:rsid w:val="00FE6684"/>
    <w:rsid w:val="00FE6710"/>
    <w:rsid w:val="00FE6828"/>
    <w:rsid w:val="00FE683B"/>
    <w:rsid w:val="00FE6856"/>
    <w:rsid w:val="00FE69DC"/>
    <w:rsid w:val="00FE6ADD"/>
    <w:rsid w:val="00FE6B89"/>
    <w:rsid w:val="00FE6CE7"/>
    <w:rsid w:val="00FE7003"/>
    <w:rsid w:val="00FE707C"/>
    <w:rsid w:val="00FE7160"/>
    <w:rsid w:val="00FE7200"/>
    <w:rsid w:val="00FE73A9"/>
    <w:rsid w:val="00FE73BB"/>
    <w:rsid w:val="00FE767E"/>
    <w:rsid w:val="00FE76B5"/>
    <w:rsid w:val="00FE76CD"/>
    <w:rsid w:val="00FE79B5"/>
    <w:rsid w:val="00FE7A5C"/>
    <w:rsid w:val="00FE7B3C"/>
    <w:rsid w:val="00FE7C3C"/>
    <w:rsid w:val="00FE7D01"/>
    <w:rsid w:val="00FE7D96"/>
    <w:rsid w:val="00FE7FA2"/>
    <w:rsid w:val="00FF00F0"/>
    <w:rsid w:val="00FF0101"/>
    <w:rsid w:val="00FF012A"/>
    <w:rsid w:val="00FF02EC"/>
    <w:rsid w:val="00FF030A"/>
    <w:rsid w:val="00FF0360"/>
    <w:rsid w:val="00FF038E"/>
    <w:rsid w:val="00FF0399"/>
    <w:rsid w:val="00FF03CD"/>
    <w:rsid w:val="00FF03F5"/>
    <w:rsid w:val="00FF0446"/>
    <w:rsid w:val="00FF0454"/>
    <w:rsid w:val="00FF0639"/>
    <w:rsid w:val="00FF0647"/>
    <w:rsid w:val="00FF06F0"/>
    <w:rsid w:val="00FF088F"/>
    <w:rsid w:val="00FF0890"/>
    <w:rsid w:val="00FF08B6"/>
    <w:rsid w:val="00FF09DC"/>
    <w:rsid w:val="00FF0A7B"/>
    <w:rsid w:val="00FF0CEA"/>
    <w:rsid w:val="00FF0CF5"/>
    <w:rsid w:val="00FF0D51"/>
    <w:rsid w:val="00FF0DF0"/>
    <w:rsid w:val="00FF0EC3"/>
    <w:rsid w:val="00FF0EE2"/>
    <w:rsid w:val="00FF0FB4"/>
    <w:rsid w:val="00FF1068"/>
    <w:rsid w:val="00FF10CC"/>
    <w:rsid w:val="00FF10F9"/>
    <w:rsid w:val="00FF1109"/>
    <w:rsid w:val="00FF1206"/>
    <w:rsid w:val="00FF12E0"/>
    <w:rsid w:val="00FF1467"/>
    <w:rsid w:val="00FF1598"/>
    <w:rsid w:val="00FF1863"/>
    <w:rsid w:val="00FF187A"/>
    <w:rsid w:val="00FF190F"/>
    <w:rsid w:val="00FF19AC"/>
    <w:rsid w:val="00FF19D8"/>
    <w:rsid w:val="00FF19F9"/>
    <w:rsid w:val="00FF1A72"/>
    <w:rsid w:val="00FF1B5F"/>
    <w:rsid w:val="00FF1BEB"/>
    <w:rsid w:val="00FF1C83"/>
    <w:rsid w:val="00FF1D53"/>
    <w:rsid w:val="00FF1D85"/>
    <w:rsid w:val="00FF1E0A"/>
    <w:rsid w:val="00FF1E72"/>
    <w:rsid w:val="00FF1FEA"/>
    <w:rsid w:val="00FF21C7"/>
    <w:rsid w:val="00FF2323"/>
    <w:rsid w:val="00FF242B"/>
    <w:rsid w:val="00FF254B"/>
    <w:rsid w:val="00FF2690"/>
    <w:rsid w:val="00FF26F7"/>
    <w:rsid w:val="00FF2956"/>
    <w:rsid w:val="00FF2978"/>
    <w:rsid w:val="00FF29AD"/>
    <w:rsid w:val="00FF2AD2"/>
    <w:rsid w:val="00FF2ADC"/>
    <w:rsid w:val="00FF2AF6"/>
    <w:rsid w:val="00FF2B0A"/>
    <w:rsid w:val="00FF2BEF"/>
    <w:rsid w:val="00FF2D41"/>
    <w:rsid w:val="00FF2ECF"/>
    <w:rsid w:val="00FF2EE7"/>
    <w:rsid w:val="00FF2FE2"/>
    <w:rsid w:val="00FF3169"/>
    <w:rsid w:val="00FF3261"/>
    <w:rsid w:val="00FF328A"/>
    <w:rsid w:val="00FF344E"/>
    <w:rsid w:val="00FF3450"/>
    <w:rsid w:val="00FF3564"/>
    <w:rsid w:val="00FF368B"/>
    <w:rsid w:val="00FF368E"/>
    <w:rsid w:val="00FF3739"/>
    <w:rsid w:val="00FF381B"/>
    <w:rsid w:val="00FF3933"/>
    <w:rsid w:val="00FF3959"/>
    <w:rsid w:val="00FF3989"/>
    <w:rsid w:val="00FF39F7"/>
    <w:rsid w:val="00FF3B7F"/>
    <w:rsid w:val="00FF3C67"/>
    <w:rsid w:val="00FF3C79"/>
    <w:rsid w:val="00FF3E24"/>
    <w:rsid w:val="00FF3E36"/>
    <w:rsid w:val="00FF4010"/>
    <w:rsid w:val="00FF4048"/>
    <w:rsid w:val="00FF40AF"/>
    <w:rsid w:val="00FF40D8"/>
    <w:rsid w:val="00FF419D"/>
    <w:rsid w:val="00FF4214"/>
    <w:rsid w:val="00FF4279"/>
    <w:rsid w:val="00FF4296"/>
    <w:rsid w:val="00FF446B"/>
    <w:rsid w:val="00FF4519"/>
    <w:rsid w:val="00FF45A0"/>
    <w:rsid w:val="00FF461B"/>
    <w:rsid w:val="00FF4725"/>
    <w:rsid w:val="00FF479D"/>
    <w:rsid w:val="00FF4850"/>
    <w:rsid w:val="00FF4898"/>
    <w:rsid w:val="00FF48AB"/>
    <w:rsid w:val="00FF4A49"/>
    <w:rsid w:val="00FF4A52"/>
    <w:rsid w:val="00FF4B6E"/>
    <w:rsid w:val="00FF4F1B"/>
    <w:rsid w:val="00FF5064"/>
    <w:rsid w:val="00FF5145"/>
    <w:rsid w:val="00FF515D"/>
    <w:rsid w:val="00FF515F"/>
    <w:rsid w:val="00FF525F"/>
    <w:rsid w:val="00FF52E8"/>
    <w:rsid w:val="00FF532B"/>
    <w:rsid w:val="00FF5387"/>
    <w:rsid w:val="00FF53B0"/>
    <w:rsid w:val="00FF543C"/>
    <w:rsid w:val="00FF54F9"/>
    <w:rsid w:val="00FF5518"/>
    <w:rsid w:val="00FF56A7"/>
    <w:rsid w:val="00FF5704"/>
    <w:rsid w:val="00FF57F3"/>
    <w:rsid w:val="00FF5892"/>
    <w:rsid w:val="00FF59FF"/>
    <w:rsid w:val="00FF5AAE"/>
    <w:rsid w:val="00FF5ABB"/>
    <w:rsid w:val="00FF5C68"/>
    <w:rsid w:val="00FF5D52"/>
    <w:rsid w:val="00FF5EEC"/>
    <w:rsid w:val="00FF608D"/>
    <w:rsid w:val="00FF60EC"/>
    <w:rsid w:val="00FF6264"/>
    <w:rsid w:val="00FF6301"/>
    <w:rsid w:val="00FF63AC"/>
    <w:rsid w:val="00FF63E2"/>
    <w:rsid w:val="00FF63FA"/>
    <w:rsid w:val="00FF644E"/>
    <w:rsid w:val="00FF64E6"/>
    <w:rsid w:val="00FF64FD"/>
    <w:rsid w:val="00FF650E"/>
    <w:rsid w:val="00FF66C9"/>
    <w:rsid w:val="00FF67E0"/>
    <w:rsid w:val="00FF682E"/>
    <w:rsid w:val="00FF695F"/>
    <w:rsid w:val="00FF69C8"/>
    <w:rsid w:val="00FF6B1B"/>
    <w:rsid w:val="00FF6C2B"/>
    <w:rsid w:val="00FF6CB6"/>
    <w:rsid w:val="00FF6F55"/>
    <w:rsid w:val="00FF7195"/>
    <w:rsid w:val="00FF72CD"/>
    <w:rsid w:val="00FF7383"/>
    <w:rsid w:val="00FF73A5"/>
    <w:rsid w:val="00FF74D7"/>
    <w:rsid w:val="00FF7565"/>
    <w:rsid w:val="00FF771A"/>
    <w:rsid w:val="00FF771E"/>
    <w:rsid w:val="00FF776B"/>
    <w:rsid w:val="00FF77A6"/>
    <w:rsid w:val="00FF7859"/>
    <w:rsid w:val="00FF7898"/>
    <w:rsid w:val="00FF789D"/>
    <w:rsid w:val="00FF791D"/>
    <w:rsid w:val="00FF7A0C"/>
    <w:rsid w:val="00FF7A44"/>
    <w:rsid w:val="00FF7A45"/>
    <w:rsid w:val="00FF7C50"/>
    <w:rsid w:val="00FF7D5B"/>
    <w:rsid w:val="00FF7D90"/>
    <w:rsid w:val="011413BF"/>
    <w:rsid w:val="01617A3F"/>
    <w:rsid w:val="0175448A"/>
    <w:rsid w:val="01790337"/>
    <w:rsid w:val="01BE19E1"/>
    <w:rsid w:val="01E41949"/>
    <w:rsid w:val="021B5E96"/>
    <w:rsid w:val="0221636B"/>
    <w:rsid w:val="02375C7C"/>
    <w:rsid w:val="023E5276"/>
    <w:rsid w:val="027123D6"/>
    <w:rsid w:val="02734732"/>
    <w:rsid w:val="02AA0ACB"/>
    <w:rsid w:val="02AB6608"/>
    <w:rsid w:val="02D62211"/>
    <w:rsid w:val="02F27F47"/>
    <w:rsid w:val="032338C8"/>
    <w:rsid w:val="03433F84"/>
    <w:rsid w:val="03B749DA"/>
    <w:rsid w:val="040710EB"/>
    <w:rsid w:val="043B3C52"/>
    <w:rsid w:val="045D2E23"/>
    <w:rsid w:val="048A4730"/>
    <w:rsid w:val="04DD7648"/>
    <w:rsid w:val="04F72997"/>
    <w:rsid w:val="04F76DD4"/>
    <w:rsid w:val="05024A06"/>
    <w:rsid w:val="054151D7"/>
    <w:rsid w:val="055931ED"/>
    <w:rsid w:val="055B010D"/>
    <w:rsid w:val="05663C3E"/>
    <w:rsid w:val="05703906"/>
    <w:rsid w:val="057B5EBF"/>
    <w:rsid w:val="059735C2"/>
    <w:rsid w:val="05D00691"/>
    <w:rsid w:val="061C7051"/>
    <w:rsid w:val="063C10B1"/>
    <w:rsid w:val="0643190E"/>
    <w:rsid w:val="065F6C85"/>
    <w:rsid w:val="06767A22"/>
    <w:rsid w:val="068900D8"/>
    <w:rsid w:val="069526C8"/>
    <w:rsid w:val="06B37A9F"/>
    <w:rsid w:val="06C204C3"/>
    <w:rsid w:val="06F15B36"/>
    <w:rsid w:val="072E39E1"/>
    <w:rsid w:val="07551017"/>
    <w:rsid w:val="07771DE0"/>
    <w:rsid w:val="079E5D91"/>
    <w:rsid w:val="07F709B4"/>
    <w:rsid w:val="081029AD"/>
    <w:rsid w:val="08442B07"/>
    <w:rsid w:val="085225AB"/>
    <w:rsid w:val="086337AE"/>
    <w:rsid w:val="08E41BFF"/>
    <w:rsid w:val="08E76C90"/>
    <w:rsid w:val="08F5760F"/>
    <w:rsid w:val="0910446D"/>
    <w:rsid w:val="09151B89"/>
    <w:rsid w:val="09223D97"/>
    <w:rsid w:val="094824B3"/>
    <w:rsid w:val="09594CED"/>
    <w:rsid w:val="09634B62"/>
    <w:rsid w:val="096C0307"/>
    <w:rsid w:val="097818E3"/>
    <w:rsid w:val="097B7CE4"/>
    <w:rsid w:val="09846B73"/>
    <w:rsid w:val="09926857"/>
    <w:rsid w:val="099A28D4"/>
    <w:rsid w:val="09B16B12"/>
    <w:rsid w:val="09B46C47"/>
    <w:rsid w:val="09C736FA"/>
    <w:rsid w:val="09E32A78"/>
    <w:rsid w:val="0A0501E5"/>
    <w:rsid w:val="0A596D8E"/>
    <w:rsid w:val="0ABF2DAD"/>
    <w:rsid w:val="0ABF42E9"/>
    <w:rsid w:val="0AD14E33"/>
    <w:rsid w:val="0AF15164"/>
    <w:rsid w:val="0B104DA4"/>
    <w:rsid w:val="0B195D48"/>
    <w:rsid w:val="0B1D2B62"/>
    <w:rsid w:val="0B250C26"/>
    <w:rsid w:val="0B4F7677"/>
    <w:rsid w:val="0B81544F"/>
    <w:rsid w:val="0B951C57"/>
    <w:rsid w:val="0BAF665A"/>
    <w:rsid w:val="0BBB4D38"/>
    <w:rsid w:val="0BD460C1"/>
    <w:rsid w:val="0BE03407"/>
    <w:rsid w:val="0C1A4101"/>
    <w:rsid w:val="0C1C7199"/>
    <w:rsid w:val="0C5E65F5"/>
    <w:rsid w:val="0C9E62E6"/>
    <w:rsid w:val="0CB91D68"/>
    <w:rsid w:val="0CD503C7"/>
    <w:rsid w:val="0D0B3D64"/>
    <w:rsid w:val="0D161F3F"/>
    <w:rsid w:val="0D433EE4"/>
    <w:rsid w:val="0D541053"/>
    <w:rsid w:val="0D554552"/>
    <w:rsid w:val="0D636DA7"/>
    <w:rsid w:val="0D643455"/>
    <w:rsid w:val="0D887FCD"/>
    <w:rsid w:val="0D893657"/>
    <w:rsid w:val="0DBD35FB"/>
    <w:rsid w:val="0DC67C8B"/>
    <w:rsid w:val="0E0831FE"/>
    <w:rsid w:val="0E4F0837"/>
    <w:rsid w:val="0E555A4F"/>
    <w:rsid w:val="0EC344DB"/>
    <w:rsid w:val="0EDB19CF"/>
    <w:rsid w:val="0F1113DA"/>
    <w:rsid w:val="0FB83FC5"/>
    <w:rsid w:val="0FB957EC"/>
    <w:rsid w:val="0FD05F55"/>
    <w:rsid w:val="0FDC5544"/>
    <w:rsid w:val="10484987"/>
    <w:rsid w:val="107D139C"/>
    <w:rsid w:val="10932F37"/>
    <w:rsid w:val="111F4200"/>
    <w:rsid w:val="111F6419"/>
    <w:rsid w:val="118F65E6"/>
    <w:rsid w:val="11C024E9"/>
    <w:rsid w:val="11D84431"/>
    <w:rsid w:val="11DF5B8B"/>
    <w:rsid w:val="11E879B1"/>
    <w:rsid w:val="12087F96"/>
    <w:rsid w:val="120B0362"/>
    <w:rsid w:val="121E50BC"/>
    <w:rsid w:val="123B41BD"/>
    <w:rsid w:val="126B237E"/>
    <w:rsid w:val="129E67FF"/>
    <w:rsid w:val="12F348E1"/>
    <w:rsid w:val="13005AAE"/>
    <w:rsid w:val="130B7BEF"/>
    <w:rsid w:val="132A072D"/>
    <w:rsid w:val="135A4EF2"/>
    <w:rsid w:val="136E2054"/>
    <w:rsid w:val="137138F2"/>
    <w:rsid w:val="137A33A8"/>
    <w:rsid w:val="13BC64B5"/>
    <w:rsid w:val="14013F42"/>
    <w:rsid w:val="140C3128"/>
    <w:rsid w:val="143B0E98"/>
    <w:rsid w:val="14411A74"/>
    <w:rsid w:val="14564440"/>
    <w:rsid w:val="146678B6"/>
    <w:rsid w:val="146F7121"/>
    <w:rsid w:val="147541B9"/>
    <w:rsid w:val="148D68DF"/>
    <w:rsid w:val="14AD0CC9"/>
    <w:rsid w:val="14B94CE7"/>
    <w:rsid w:val="14BE2ABC"/>
    <w:rsid w:val="14D22610"/>
    <w:rsid w:val="14D405DC"/>
    <w:rsid w:val="150F764C"/>
    <w:rsid w:val="15232DC2"/>
    <w:rsid w:val="153656F6"/>
    <w:rsid w:val="1554222F"/>
    <w:rsid w:val="156F058F"/>
    <w:rsid w:val="1596280C"/>
    <w:rsid w:val="1599563C"/>
    <w:rsid w:val="160C2061"/>
    <w:rsid w:val="162936C8"/>
    <w:rsid w:val="165D2A04"/>
    <w:rsid w:val="16852D45"/>
    <w:rsid w:val="16976668"/>
    <w:rsid w:val="16F1128B"/>
    <w:rsid w:val="16FA2F44"/>
    <w:rsid w:val="17012C29"/>
    <w:rsid w:val="171D71FB"/>
    <w:rsid w:val="175517D3"/>
    <w:rsid w:val="176D4D7A"/>
    <w:rsid w:val="1775595C"/>
    <w:rsid w:val="17FC541C"/>
    <w:rsid w:val="181C39F7"/>
    <w:rsid w:val="185D09A5"/>
    <w:rsid w:val="188C6C29"/>
    <w:rsid w:val="18BC6513"/>
    <w:rsid w:val="18C65F7C"/>
    <w:rsid w:val="18C83A9F"/>
    <w:rsid w:val="18E41F63"/>
    <w:rsid w:val="194D1207"/>
    <w:rsid w:val="19724304"/>
    <w:rsid w:val="19762565"/>
    <w:rsid w:val="19792055"/>
    <w:rsid w:val="19824AF4"/>
    <w:rsid w:val="19BC09AA"/>
    <w:rsid w:val="19CE460A"/>
    <w:rsid w:val="19CF49D0"/>
    <w:rsid w:val="1A3A3F52"/>
    <w:rsid w:val="1A4623F6"/>
    <w:rsid w:val="1A55296C"/>
    <w:rsid w:val="1A882E64"/>
    <w:rsid w:val="1A8D6B46"/>
    <w:rsid w:val="1A9E6FD5"/>
    <w:rsid w:val="1AAF57CE"/>
    <w:rsid w:val="1AB82D17"/>
    <w:rsid w:val="1AE962DC"/>
    <w:rsid w:val="1AF80DC9"/>
    <w:rsid w:val="1AF95743"/>
    <w:rsid w:val="1AFC2F3E"/>
    <w:rsid w:val="1B352187"/>
    <w:rsid w:val="1B3B4209"/>
    <w:rsid w:val="1B541DD4"/>
    <w:rsid w:val="1B7018D4"/>
    <w:rsid w:val="1B853E26"/>
    <w:rsid w:val="1B8F5A77"/>
    <w:rsid w:val="1B950F4F"/>
    <w:rsid w:val="1BAF5C5B"/>
    <w:rsid w:val="1BC8128B"/>
    <w:rsid w:val="1BC902E1"/>
    <w:rsid w:val="1BF0749E"/>
    <w:rsid w:val="1BF87F78"/>
    <w:rsid w:val="1C047E77"/>
    <w:rsid w:val="1C973E48"/>
    <w:rsid w:val="1C9E3764"/>
    <w:rsid w:val="1CD62D3A"/>
    <w:rsid w:val="1CF45604"/>
    <w:rsid w:val="1D3C5874"/>
    <w:rsid w:val="1D7E2EF6"/>
    <w:rsid w:val="1DFB5305"/>
    <w:rsid w:val="1E081BFA"/>
    <w:rsid w:val="1E26580C"/>
    <w:rsid w:val="1E2745B3"/>
    <w:rsid w:val="1E3E59D0"/>
    <w:rsid w:val="1EE628D1"/>
    <w:rsid w:val="1F161790"/>
    <w:rsid w:val="1F1D1B63"/>
    <w:rsid w:val="1F1D2AFC"/>
    <w:rsid w:val="1F457669"/>
    <w:rsid w:val="1F5F2C02"/>
    <w:rsid w:val="1F6512DB"/>
    <w:rsid w:val="1F6A4B7F"/>
    <w:rsid w:val="1F797D47"/>
    <w:rsid w:val="1FAE657C"/>
    <w:rsid w:val="1FE63E8A"/>
    <w:rsid w:val="20220479"/>
    <w:rsid w:val="205445D1"/>
    <w:rsid w:val="2062239E"/>
    <w:rsid w:val="206709FA"/>
    <w:rsid w:val="20706397"/>
    <w:rsid w:val="20886270"/>
    <w:rsid w:val="20C44850"/>
    <w:rsid w:val="20D508B9"/>
    <w:rsid w:val="20EE44F3"/>
    <w:rsid w:val="20F048BF"/>
    <w:rsid w:val="20F24A4E"/>
    <w:rsid w:val="21057DBC"/>
    <w:rsid w:val="21081056"/>
    <w:rsid w:val="210A2348"/>
    <w:rsid w:val="21524D63"/>
    <w:rsid w:val="21925631"/>
    <w:rsid w:val="220579BD"/>
    <w:rsid w:val="22133054"/>
    <w:rsid w:val="2220294F"/>
    <w:rsid w:val="2255506F"/>
    <w:rsid w:val="22594F53"/>
    <w:rsid w:val="226F1EC3"/>
    <w:rsid w:val="227930C6"/>
    <w:rsid w:val="228E2886"/>
    <w:rsid w:val="22B056D5"/>
    <w:rsid w:val="22DC5459"/>
    <w:rsid w:val="23113A17"/>
    <w:rsid w:val="23594BDC"/>
    <w:rsid w:val="23721F9F"/>
    <w:rsid w:val="237D6BE6"/>
    <w:rsid w:val="23A14C50"/>
    <w:rsid w:val="23A40832"/>
    <w:rsid w:val="23A75530"/>
    <w:rsid w:val="23C0790C"/>
    <w:rsid w:val="23E427C1"/>
    <w:rsid w:val="23FA3243"/>
    <w:rsid w:val="242016BF"/>
    <w:rsid w:val="24250A6A"/>
    <w:rsid w:val="24621761"/>
    <w:rsid w:val="24655E72"/>
    <w:rsid w:val="246D0E3D"/>
    <w:rsid w:val="24AE6635"/>
    <w:rsid w:val="251E436C"/>
    <w:rsid w:val="25205A7B"/>
    <w:rsid w:val="258D021E"/>
    <w:rsid w:val="259F567E"/>
    <w:rsid w:val="25AC730F"/>
    <w:rsid w:val="25B6018D"/>
    <w:rsid w:val="25C166F2"/>
    <w:rsid w:val="25D25042"/>
    <w:rsid w:val="264627A8"/>
    <w:rsid w:val="267D37F7"/>
    <w:rsid w:val="26927290"/>
    <w:rsid w:val="26960FFA"/>
    <w:rsid w:val="26B9213F"/>
    <w:rsid w:val="26D6031D"/>
    <w:rsid w:val="26E52AD8"/>
    <w:rsid w:val="2711073C"/>
    <w:rsid w:val="273278C0"/>
    <w:rsid w:val="278B4150"/>
    <w:rsid w:val="27934C2A"/>
    <w:rsid w:val="27A134E1"/>
    <w:rsid w:val="27D70D25"/>
    <w:rsid w:val="281D21FE"/>
    <w:rsid w:val="2841114C"/>
    <w:rsid w:val="28483128"/>
    <w:rsid w:val="28610884"/>
    <w:rsid w:val="289E3534"/>
    <w:rsid w:val="28A11C70"/>
    <w:rsid w:val="28A76BA9"/>
    <w:rsid w:val="28BA7D27"/>
    <w:rsid w:val="28C369F3"/>
    <w:rsid w:val="28D006BA"/>
    <w:rsid w:val="28D4732E"/>
    <w:rsid w:val="29047469"/>
    <w:rsid w:val="291A16B6"/>
    <w:rsid w:val="293E50CC"/>
    <w:rsid w:val="298A3E0B"/>
    <w:rsid w:val="2993151F"/>
    <w:rsid w:val="29E83EED"/>
    <w:rsid w:val="2A091DFC"/>
    <w:rsid w:val="2A0D0CC4"/>
    <w:rsid w:val="2A4055DE"/>
    <w:rsid w:val="2A9736ED"/>
    <w:rsid w:val="2AC7608B"/>
    <w:rsid w:val="2ADB491E"/>
    <w:rsid w:val="2AE4371C"/>
    <w:rsid w:val="2B273657"/>
    <w:rsid w:val="2B3D035C"/>
    <w:rsid w:val="2B9B7558"/>
    <w:rsid w:val="2BDE3DB7"/>
    <w:rsid w:val="2C687EF4"/>
    <w:rsid w:val="2C7F1847"/>
    <w:rsid w:val="2C926DA7"/>
    <w:rsid w:val="2C9424B9"/>
    <w:rsid w:val="2CA03C9A"/>
    <w:rsid w:val="2CC825FC"/>
    <w:rsid w:val="2CDB116C"/>
    <w:rsid w:val="2CF9057D"/>
    <w:rsid w:val="2D067403"/>
    <w:rsid w:val="2D3D7CA3"/>
    <w:rsid w:val="2D4E0688"/>
    <w:rsid w:val="2D8A4108"/>
    <w:rsid w:val="2D9466A0"/>
    <w:rsid w:val="2DBB4A99"/>
    <w:rsid w:val="2DCF4ABA"/>
    <w:rsid w:val="2DD24D42"/>
    <w:rsid w:val="2ECA0B16"/>
    <w:rsid w:val="2EEF1974"/>
    <w:rsid w:val="2EF43A25"/>
    <w:rsid w:val="2F312621"/>
    <w:rsid w:val="2F354756"/>
    <w:rsid w:val="2F3F2F15"/>
    <w:rsid w:val="2F4666AF"/>
    <w:rsid w:val="2F685B71"/>
    <w:rsid w:val="2F79053B"/>
    <w:rsid w:val="2FD03CE8"/>
    <w:rsid w:val="2FD64FAC"/>
    <w:rsid w:val="2FED3F70"/>
    <w:rsid w:val="30534F57"/>
    <w:rsid w:val="307F5A9B"/>
    <w:rsid w:val="30A43A04"/>
    <w:rsid w:val="30A57819"/>
    <w:rsid w:val="30A6328B"/>
    <w:rsid w:val="310F4447"/>
    <w:rsid w:val="31434DFB"/>
    <w:rsid w:val="316C673B"/>
    <w:rsid w:val="31781329"/>
    <w:rsid w:val="31A87E60"/>
    <w:rsid w:val="31B07504"/>
    <w:rsid w:val="31B13A19"/>
    <w:rsid w:val="31B2093A"/>
    <w:rsid w:val="31DD4ADB"/>
    <w:rsid w:val="31F06C8B"/>
    <w:rsid w:val="31F40BD6"/>
    <w:rsid w:val="32307D8F"/>
    <w:rsid w:val="3233692D"/>
    <w:rsid w:val="3269661A"/>
    <w:rsid w:val="3285157D"/>
    <w:rsid w:val="32AC470D"/>
    <w:rsid w:val="32AD004B"/>
    <w:rsid w:val="32CE2325"/>
    <w:rsid w:val="32FF0075"/>
    <w:rsid w:val="32FF49F7"/>
    <w:rsid w:val="33150590"/>
    <w:rsid w:val="332A494A"/>
    <w:rsid w:val="33417C8F"/>
    <w:rsid w:val="33571136"/>
    <w:rsid w:val="33661FAC"/>
    <w:rsid w:val="337A73F2"/>
    <w:rsid w:val="339A5A99"/>
    <w:rsid w:val="33BB2B55"/>
    <w:rsid w:val="33D461DB"/>
    <w:rsid w:val="34095BD9"/>
    <w:rsid w:val="34503376"/>
    <w:rsid w:val="3476779E"/>
    <w:rsid w:val="3490626C"/>
    <w:rsid w:val="34DD39FE"/>
    <w:rsid w:val="350327B4"/>
    <w:rsid w:val="352B0250"/>
    <w:rsid w:val="355B27B5"/>
    <w:rsid w:val="35707FD8"/>
    <w:rsid w:val="35814314"/>
    <w:rsid w:val="35947AF5"/>
    <w:rsid w:val="35A95619"/>
    <w:rsid w:val="35C538FD"/>
    <w:rsid w:val="35D546C2"/>
    <w:rsid w:val="35D97D7C"/>
    <w:rsid w:val="36534FBA"/>
    <w:rsid w:val="365C4654"/>
    <w:rsid w:val="367B0EA7"/>
    <w:rsid w:val="369E6565"/>
    <w:rsid w:val="36B267C5"/>
    <w:rsid w:val="36D30B9F"/>
    <w:rsid w:val="36D978FA"/>
    <w:rsid w:val="36D9797F"/>
    <w:rsid w:val="36DE3886"/>
    <w:rsid w:val="36E36539"/>
    <w:rsid w:val="37215F3A"/>
    <w:rsid w:val="37842BD6"/>
    <w:rsid w:val="37B45984"/>
    <w:rsid w:val="37D75607"/>
    <w:rsid w:val="37D8215B"/>
    <w:rsid w:val="37EA46A3"/>
    <w:rsid w:val="38083C36"/>
    <w:rsid w:val="383B24AE"/>
    <w:rsid w:val="384A4F07"/>
    <w:rsid w:val="384D21E9"/>
    <w:rsid w:val="385530EC"/>
    <w:rsid w:val="385A2A23"/>
    <w:rsid w:val="38701131"/>
    <w:rsid w:val="38750AA3"/>
    <w:rsid w:val="389528EF"/>
    <w:rsid w:val="38A21AD9"/>
    <w:rsid w:val="38AE2389"/>
    <w:rsid w:val="38CA7457"/>
    <w:rsid w:val="38D72F05"/>
    <w:rsid w:val="38EC14D6"/>
    <w:rsid w:val="38F82811"/>
    <w:rsid w:val="38F83FEA"/>
    <w:rsid w:val="3927004C"/>
    <w:rsid w:val="394B2381"/>
    <w:rsid w:val="397F5D55"/>
    <w:rsid w:val="399C33A5"/>
    <w:rsid w:val="39CD2122"/>
    <w:rsid w:val="39D00C02"/>
    <w:rsid w:val="39E52EC7"/>
    <w:rsid w:val="39F261DE"/>
    <w:rsid w:val="3A0D54F5"/>
    <w:rsid w:val="3A5A0EB4"/>
    <w:rsid w:val="3A9777F5"/>
    <w:rsid w:val="3A9F014C"/>
    <w:rsid w:val="3AB71744"/>
    <w:rsid w:val="3AC139F7"/>
    <w:rsid w:val="3AC25E90"/>
    <w:rsid w:val="3AEA295B"/>
    <w:rsid w:val="3AF857B6"/>
    <w:rsid w:val="3B8632FC"/>
    <w:rsid w:val="3BCC3D3B"/>
    <w:rsid w:val="3BD2084F"/>
    <w:rsid w:val="3BE64ED1"/>
    <w:rsid w:val="3BF575ED"/>
    <w:rsid w:val="3BFB251E"/>
    <w:rsid w:val="3BFD1BC7"/>
    <w:rsid w:val="3C2B322B"/>
    <w:rsid w:val="3C374086"/>
    <w:rsid w:val="3C577784"/>
    <w:rsid w:val="3C595008"/>
    <w:rsid w:val="3C7B5EFE"/>
    <w:rsid w:val="3C8C2FD4"/>
    <w:rsid w:val="3C976E92"/>
    <w:rsid w:val="3C9C1CA2"/>
    <w:rsid w:val="3CE04D42"/>
    <w:rsid w:val="3CE14793"/>
    <w:rsid w:val="3D0C2B94"/>
    <w:rsid w:val="3D1F58C4"/>
    <w:rsid w:val="3D222ADE"/>
    <w:rsid w:val="3D255522"/>
    <w:rsid w:val="3D37266C"/>
    <w:rsid w:val="3D5175F6"/>
    <w:rsid w:val="3DA836BC"/>
    <w:rsid w:val="3DBF3C2B"/>
    <w:rsid w:val="3DF50567"/>
    <w:rsid w:val="3E3130C7"/>
    <w:rsid w:val="3E374CD8"/>
    <w:rsid w:val="3E6A1A97"/>
    <w:rsid w:val="3E90612B"/>
    <w:rsid w:val="3EA63718"/>
    <w:rsid w:val="3EE74BD8"/>
    <w:rsid w:val="3EF142B8"/>
    <w:rsid w:val="3EF31720"/>
    <w:rsid w:val="3EF96844"/>
    <w:rsid w:val="3F092266"/>
    <w:rsid w:val="3F214990"/>
    <w:rsid w:val="3F367706"/>
    <w:rsid w:val="3F421A0C"/>
    <w:rsid w:val="3F4666D8"/>
    <w:rsid w:val="3F5F5370"/>
    <w:rsid w:val="3F751D74"/>
    <w:rsid w:val="3F7C1DFB"/>
    <w:rsid w:val="3F7F5797"/>
    <w:rsid w:val="3F8F7E0B"/>
    <w:rsid w:val="3FE86FFC"/>
    <w:rsid w:val="40027493"/>
    <w:rsid w:val="400304D1"/>
    <w:rsid w:val="402A4067"/>
    <w:rsid w:val="40410578"/>
    <w:rsid w:val="40A7674E"/>
    <w:rsid w:val="40BA6BD0"/>
    <w:rsid w:val="40BF391F"/>
    <w:rsid w:val="40E7528E"/>
    <w:rsid w:val="411A59C2"/>
    <w:rsid w:val="412B145B"/>
    <w:rsid w:val="416D60AE"/>
    <w:rsid w:val="416F2DD1"/>
    <w:rsid w:val="417C185B"/>
    <w:rsid w:val="417E5BAB"/>
    <w:rsid w:val="41982A5B"/>
    <w:rsid w:val="41E24252"/>
    <w:rsid w:val="422A32E6"/>
    <w:rsid w:val="422D3D58"/>
    <w:rsid w:val="422E5823"/>
    <w:rsid w:val="42365529"/>
    <w:rsid w:val="428A6930"/>
    <w:rsid w:val="42A9411F"/>
    <w:rsid w:val="42D43A02"/>
    <w:rsid w:val="42D44D64"/>
    <w:rsid w:val="42D5711F"/>
    <w:rsid w:val="42F4340F"/>
    <w:rsid w:val="433E065C"/>
    <w:rsid w:val="43657023"/>
    <w:rsid w:val="43674989"/>
    <w:rsid w:val="436A4639"/>
    <w:rsid w:val="43972F54"/>
    <w:rsid w:val="43D843AB"/>
    <w:rsid w:val="43E029A9"/>
    <w:rsid w:val="43EC6B6E"/>
    <w:rsid w:val="44084B48"/>
    <w:rsid w:val="442A29B6"/>
    <w:rsid w:val="44393EB4"/>
    <w:rsid w:val="443A3685"/>
    <w:rsid w:val="44450DF0"/>
    <w:rsid w:val="447A6E2D"/>
    <w:rsid w:val="44FD33A2"/>
    <w:rsid w:val="453413AE"/>
    <w:rsid w:val="45616C45"/>
    <w:rsid w:val="457C57B8"/>
    <w:rsid w:val="45B63D3C"/>
    <w:rsid w:val="45D079C5"/>
    <w:rsid w:val="45EB38EC"/>
    <w:rsid w:val="461B60BF"/>
    <w:rsid w:val="464420DE"/>
    <w:rsid w:val="465D581E"/>
    <w:rsid w:val="4669643F"/>
    <w:rsid w:val="467C5F62"/>
    <w:rsid w:val="469837B1"/>
    <w:rsid w:val="46E666CD"/>
    <w:rsid w:val="470D1EAB"/>
    <w:rsid w:val="472F3B65"/>
    <w:rsid w:val="47317437"/>
    <w:rsid w:val="473E1472"/>
    <w:rsid w:val="473E2065"/>
    <w:rsid w:val="47547C8B"/>
    <w:rsid w:val="47A02CEF"/>
    <w:rsid w:val="47B46143"/>
    <w:rsid w:val="47C007BB"/>
    <w:rsid w:val="48066FE5"/>
    <w:rsid w:val="480F4B8B"/>
    <w:rsid w:val="483A64A1"/>
    <w:rsid w:val="48736E1E"/>
    <w:rsid w:val="488C6F20"/>
    <w:rsid w:val="48963F4D"/>
    <w:rsid w:val="48FA5198"/>
    <w:rsid w:val="49082A74"/>
    <w:rsid w:val="491B6B3B"/>
    <w:rsid w:val="49265732"/>
    <w:rsid w:val="494B75D4"/>
    <w:rsid w:val="49553696"/>
    <w:rsid w:val="49817313"/>
    <w:rsid w:val="49944DB5"/>
    <w:rsid w:val="49957229"/>
    <w:rsid w:val="49A6407A"/>
    <w:rsid w:val="49CB3B73"/>
    <w:rsid w:val="49EB4171"/>
    <w:rsid w:val="4A304360"/>
    <w:rsid w:val="4A445977"/>
    <w:rsid w:val="4A905130"/>
    <w:rsid w:val="4AA735F8"/>
    <w:rsid w:val="4AB23DF0"/>
    <w:rsid w:val="4ABF38B7"/>
    <w:rsid w:val="4ACE2990"/>
    <w:rsid w:val="4AE9151A"/>
    <w:rsid w:val="4AF07416"/>
    <w:rsid w:val="4AF5753F"/>
    <w:rsid w:val="4B107843"/>
    <w:rsid w:val="4B233D6B"/>
    <w:rsid w:val="4B4B0E45"/>
    <w:rsid w:val="4B516CF0"/>
    <w:rsid w:val="4B5E5B51"/>
    <w:rsid w:val="4B8D0A6C"/>
    <w:rsid w:val="4B91327F"/>
    <w:rsid w:val="4B9365A7"/>
    <w:rsid w:val="4B9E7ACA"/>
    <w:rsid w:val="4BBC63E0"/>
    <w:rsid w:val="4BBD1A3E"/>
    <w:rsid w:val="4BCC36FF"/>
    <w:rsid w:val="4BDB4E20"/>
    <w:rsid w:val="4BF85645"/>
    <w:rsid w:val="4C0B4B09"/>
    <w:rsid w:val="4C353756"/>
    <w:rsid w:val="4C4E2F68"/>
    <w:rsid w:val="4C4F4481"/>
    <w:rsid w:val="4C5514B1"/>
    <w:rsid w:val="4C6E798E"/>
    <w:rsid w:val="4C7C6999"/>
    <w:rsid w:val="4C8711B0"/>
    <w:rsid w:val="4C91428A"/>
    <w:rsid w:val="4CC626B4"/>
    <w:rsid w:val="4CF91D36"/>
    <w:rsid w:val="4D152B72"/>
    <w:rsid w:val="4D717F8A"/>
    <w:rsid w:val="4D9D3DA1"/>
    <w:rsid w:val="4DAD5E19"/>
    <w:rsid w:val="4DB7401C"/>
    <w:rsid w:val="4DBE4A08"/>
    <w:rsid w:val="4E1759E7"/>
    <w:rsid w:val="4E2F7C63"/>
    <w:rsid w:val="4E3E0172"/>
    <w:rsid w:val="4E6911A0"/>
    <w:rsid w:val="4E990509"/>
    <w:rsid w:val="4EB41A99"/>
    <w:rsid w:val="4ECB11B2"/>
    <w:rsid w:val="4ED72FA8"/>
    <w:rsid w:val="4F3C6E5B"/>
    <w:rsid w:val="4FE633C5"/>
    <w:rsid w:val="50061DA9"/>
    <w:rsid w:val="505553D2"/>
    <w:rsid w:val="50603B10"/>
    <w:rsid w:val="50743CE2"/>
    <w:rsid w:val="507C1E50"/>
    <w:rsid w:val="50831708"/>
    <w:rsid w:val="50852AB2"/>
    <w:rsid w:val="50A836EB"/>
    <w:rsid w:val="50B00F8F"/>
    <w:rsid w:val="50B03FF3"/>
    <w:rsid w:val="50F23D0D"/>
    <w:rsid w:val="51160711"/>
    <w:rsid w:val="515008D8"/>
    <w:rsid w:val="516E2F31"/>
    <w:rsid w:val="51724D37"/>
    <w:rsid w:val="51927398"/>
    <w:rsid w:val="519871F7"/>
    <w:rsid w:val="51A84B98"/>
    <w:rsid w:val="51C270E2"/>
    <w:rsid w:val="51D66921"/>
    <w:rsid w:val="51FF36C9"/>
    <w:rsid w:val="52312B32"/>
    <w:rsid w:val="52643326"/>
    <w:rsid w:val="5266150F"/>
    <w:rsid w:val="527669B3"/>
    <w:rsid w:val="52CB14BF"/>
    <w:rsid w:val="52EA67B0"/>
    <w:rsid w:val="53025947"/>
    <w:rsid w:val="530D4FE1"/>
    <w:rsid w:val="531C1D61"/>
    <w:rsid w:val="532531DF"/>
    <w:rsid w:val="532E2C8F"/>
    <w:rsid w:val="533B0238"/>
    <w:rsid w:val="53437A87"/>
    <w:rsid w:val="535E23F3"/>
    <w:rsid w:val="539C7BA4"/>
    <w:rsid w:val="53A37CA6"/>
    <w:rsid w:val="53B019ED"/>
    <w:rsid w:val="53B45FC0"/>
    <w:rsid w:val="53C55803"/>
    <w:rsid w:val="53FC1151"/>
    <w:rsid w:val="54297423"/>
    <w:rsid w:val="5433389F"/>
    <w:rsid w:val="546A5B06"/>
    <w:rsid w:val="54A322BC"/>
    <w:rsid w:val="54A97E62"/>
    <w:rsid w:val="54B03FEB"/>
    <w:rsid w:val="54B3659F"/>
    <w:rsid w:val="54B92A6D"/>
    <w:rsid w:val="54DB3A85"/>
    <w:rsid w:val="54ED6C41"/>
    <w:rsid w:val="550910FC"/>
    <w:rsid w:val="550A289C"/>
    <w:rsid w:val="55171E5A"/>
    <w:rsid w:val="55225414"/>
    <w:rsid w:val="552D514F"/>
    <w:rsid w:val="55902646"/>
    <w:rsid w:val="55962E03"/>
    <w:rsid w:val="55AE4859"/>
    <w:rsid w:val="55DA3AE3"/>
    <w:rsid w:val="55FF74C4"/>
    <w:rsid w:val="562B2040"/>
    <w:rsid w:val="564F7583"/>
    <w:rsid w:val="56567A04"/>
    <w:rsid w:val="56931D60"/>
    <w:rsid w:val="56AC560C"/>
    <w:rsid w:val="5749111B"/>
    <w:rsid w:val="57C055E8"/>
    <w:rsid w:val="58090B34"/>
    <w:rsid w:val="580B697B"/>
    <w:rsid w:val="58347A39"/>
    <w:rsid w:val="585264B0"/>
    <w:rsid w:val="58AE0BCF"/>
    <w:rsid w:val="58B179AE"/>
    <w:rsid w:val="58B34FA1"/>
    <w:rsid w:val="58D376D4"/>
    <w:rsid w:val="58D47B9F"/>
    <w:rsid w:val="58E06119"/>
    <w:rsid w:val="58FC6B3F"/>
    <w:rsid w:val="59135ED5"/>
    <w:rsid w:val="591A2310"/>
    <w:rsid w:val="5933590A"/>
    <w:rsid w:val="59674EBE"/>
    <w:rsid w:val="596C48D5"/>
    <w:rsid w:val="596E1FD1"/>
    <w:rsid w:val="596E38D3"/>
    <w:rsid w:val="59871BF3"/>
    <w:rsid w:val="598768AF"/>
    <w:rsid w:val="59BC20A7"/>
    <w:rsid w:val="59ED0971"/>
    <w:rsid w:val="59FB0FDC"/>
    <w:rsid w:val="5A4613C3"/>
    <w:rsid w:val="5A6534C1"/>
    <w:rsid w:val="5B422B69"/>
    <w:rsid w:val="5B566BC4"/>
    <w:rsid w:val="5B71765A"/>
    <w:rsid w:val="5B744A33"/>
    <w:rsid w:val="5B7C71A8"/>
    <w:rsid w:val="5B821E22"/>
    <w:rsid w:val="5BAB4624"/>
    <w:rsid w:val="5BDE1E2C"/>
    <w:rsid w:val="5C054082"/>
    <w:rsid w:val="5C441A74"/>
    <w:rsid w:val="5C6F056A"/>
    <w:rsid w:val="5C9C41B7"/>
    <w:rsid w:val="5CD3064D"/>
    <w:rsid w:val="5CD54DC2"/>
    <w:rsid w:val="5CDF34EB"/>
    <w:rsid w:val="5CEE0EED"/>
    <w:rsid w:val="5CF27E96"/>
    <w:rsid w:val="5D2F5C03"/>
    <w:rsid w:val="5D3B520E"/>
    <w:rsid w:val="5D3E2967"/>
    <w:rsid w:val="5D6746BB"/>
    <w:rsid w:val="5D705D4E"/>
    <w:rsid w:val="5D72103A"/>
    <w:rsid w:val="5DC43CE1"/>
    <w:rsid w:val="5DF85974"/>
    <w:rsid w:val="5E5A7AE4"/>
    <w:rsid w:val="5E751F0A"/>
    <w:rsid w:val="5E8E3969"/>
    <w:rsid w:val="5EB43F0D"/>
    <w:rsid w:val="5ED44EE9"/>
    <w:rsid w:val="5F122BB6"/>
    <w:rsid w:val="5F542F59"/>
    <w:rsid w:val="5F5A2D57"/>
    <w:rsid w:val="5F692A47"/>
    <w:rsid w:val="5F693971"/>
    <w:rsid w:val="5FA50178"/>
    <w:rsid w:val="5FA70CFD"/>
    <w:rsid w:val="5FAA17E7"/>
    <w:rsid w:val="5FB74E6E"/>
    <w:rsid w:val="5FD3114B"/>
    <w:rsid w:val="5FD8487C"/>
    <w:rsid w:val="5FE33D76"/>
    <w:rsid w:val="5FF42065"/>
    <w:rsid w:val="600E7DDB"/>
    <w:rsid w:val="60175A8B"/>
    <w:rsid w:val="603066CA"/>
    <w:rsid w:val="604432D3"/>
    <w:rsid w:val="60A45E85"/>
    <w:rsid w:val="60C8715E"/>
    <w:rsid w:val="60E56B01"/>
    <w:rsid w:val="610B2F63"/>
    <w:rsid w:val="614E1514"/>
    <w:rsid w:val="61532662"/>
    <w:rsid w:val="61840A19"/>
    <w:rsid w:val="61996F41"/>
    <w:rsid w:val="61D455D1"/>
    <w:rsid w:val="62761BA0"/>
    <w:rsid w:val="62785CC8"/>
    <w:rsid w:val="627D13FE"/>
    <w:rsid w:val="628A1CB2"/>
    <w:rsid w:val="62A65EAC"/>
    <w:rsid w:val="62B115B7"/>
    <w:rsid w:val="62D91D9A"/>
    <w:rsid w:val="62F27912"/>
    <w:rsid w:val="63040203"/>
    <w:rsid w:val="631143F2"/>
    <w:rsid w:val="63251ED3"/>
    <w:rsid w:val="63270409"/>
    <w:rsid w:val="63302D52"/>
    <w:rsid w:val="633E73F7"/>
    <w:rsid w:val="63713068"/>
    <w:rsid w:val="637A1CDB"/>
    <w:rsid w:val="637F40DE"/>
    <w:rsid w:val="639D71D4"/>
    <w:rsid w:val="639F49DD"/>
    <w:rsid w:val="63A65877"/>
    <w:rsid w:val="63D7571D"/>
    <w:rsid w:val="64123BD9"/>
    <w:rsid w:val="64423AFB"/>
    <w:rsid w:val="644840CB"/>
    <w:rsid w:val="649E2F0C"/>
    <w:rsid w:val="64A269E1"/>
    <w:rsid w:val="64C2044E"/>
    <w:rsid w:val="64C770BA"/>
    <w:rsid w:val="64C9283B"/>
    <w:rsid w:val="64F11540"/>
    <w:rsid w:val="650E608A"/>
    <w:rsid w:val="651C63F3"/>
    <w:rsid w:val="652C7E0C"/>
    <w:rsid w:val="653F2E52"/>
    <w:rsid w:val="65456983"/>
    <w:rsid w:val="654C63BF"/>
    <w:rsid w:val="65A10FEF"/>
    <w:rsid w:val="65A6787F"/>
    <w:rsid w:val="65D35269"/>
    <w:rsid w:val="65D47FBC"/>
    <w:rsid w:val="66181D27"/>
    <w:rsid w:val="66750F06"/>
    <w:rsid w:val="66772DB0"/>
    <w:rsid w:val="668819AA"/>
    <w:rsid w:val="668D1764"/>
    <w:rsid w:val="66AC6D71"/>
    <w:rsid w:val="66D45B5D"/>
    <w:rsid w:val="67172231"/>
    <w:rsid w:val="67221766"/>
    <w:rsid w:val="675E54C9"/>
    <w:rsid w:val="679A1169"/>
    <w:rsid w:val="67BF1805"/>
    <w:rsid w:val="67E759A9"/>
    <w:rsid w:val="67F93B99"/>
    <w:rsid w:val="680C3563"/>
    <w:rsid w:val="68337E05"/>
    <w:rsid w:val="68630FDF"/>
    <w:rsid w:val="687050DF"/>
    <w:rsid w:val="68760937"/>
    <w:rsid w:val="68C336AF"/>
    <w:rsid w:val="68F66848"/>
    <w:rsid w:val="69472522"/>
    <w:rsid w:val="694B6EB8"/>
    <w:rsid w:val="6954303F"/>
    <w:rsid w:val="698410F0"/>
    <w:rsid w:val="698E088D"/>
    <w:rsid w:val="69D27D80"/>
    <w:rsid w:val="6A007B19"/>
    <w:rsid w:val="6A410F0B"/>
    <w:rsid w:val="6A5F21D6"/>
    <w:rsid w:val="6A6B3761"/>
    <w:rsid w:val="6A7E7587"/>
    <w:rsid w:val="6A803338"/>
    <w:rsid w:val="6A872937"/>
    <w:rsid w:val="6A977375"/>
    <w:rsid w:val="6AB3326B"/>
    <w:rsid w:val="6AB722A4"/>
    <w:rsid w:val="6ABA1CCE"/>
    <w:rsid w:val="6B2F11C0"/>
    <w:rsid w:val="6B405BC0"/>
    <w:rsid w:val="6B4A7157"/>
    <w:rsid w:val="6B61122A"/>
    <w:rsid w:val="6B69435D"/>
    <w:rsid w:val="6BFD579B"/>
    <w:rsid w:val="6C040D59"/>
    <w:rsid w:val="6C3933DC"/>
    <w:rsid w:val="6C5D1AD3"/>
    <w:rsid w:val="6C74741D"/>
    <w:rsid w:val="6C8F2FF0"/>
    <w:rsid w:val="6CCF550C"/>
    <w:rsid w:val="6CDF2799"/>
    <w:rsid w:val="6CE95D1F"/>
    <w:rsid w:val="6CF47764"/>
    <w:rsid w:val="6D0B25F0"/>
    <w:rsid w:val="6D1A534D"/>
    <w:rsid w:val="6D6D2244"/>
    <w:rsid w:val="6DB315D7"/>
    <w:rsid w:val="6E3521B3"/>
    <w:rsid w:val="6E373F1B"/>
    <w:rsid w:val="6E522E61"/>
    <w:rsid w:val="6E656D12"/>
    <w:rsid w:val="6E6A2D24"/>
    <w:rsid w:val="6E71120D"/>
    <w:rsid w:val="6EDF26B9"/>
    <w:rsid w:val="6EF82DDB"/>
    <w:rsid w:val="6F191CC2"/>
    <w:rsid w:val="6F213339"/>
    <w:rsid w:val="6F3959FB"/>
    <w:rsid w:val="6F45311A"/>
    <w:rsid w:val="6F775864"/>
    <w:rsid w:val="6F97270A"/>
    <w:rsid w:val="6FA352F1"/>
    <w:rsid w:val="6FA825A8"/>
    <w:rsid w:val="6FB6638D"/>
    <w:rsid w:val="6FB865A9"/>
    <w:rsid w:val="6FB90A0C"/>
    <w:rsid w:val="6FC34F4E"/>
    <w:rsid w:val="6FD77364"/>
    <w:rsid w:val="7003020E"/>
    <w:rsid w:val="700B799B"/>
    <w:rsid w:val="70417A49"/>
    <w:rsid w:val="7095024A"/>
    <w:rsid w:val="70B57495"/>
    <w:rsid w:val="71027333"/>
    <w:rsid w:val="71477544"/>
    <w:rsid w:val="715E1B7E"/>
    <w:rsid w:val="718E681F"/>
    <w:rsid w:val="71A111EF"/>
    <w:rsid w:val="71AF1703"/>
    <w:rsid w:val="71D23226"/>
    <w:rsid w:val="720C2AB9"/>
    <w:rsid w:val="721C1498"/>
    <w:rsid w:val="722833D6"/>
    <w:rsid w:val="72393AFD"/>
    <w:rsid w:val="725B6D95"/>
    <w:rsid w:val="72BC2C8E"/>
    <w:rsid w:val="72EA6EB0"/>
    <w:rsid w:val="72F36AEB"/>
    <w:rsid w:val="72F677A5"/>
    <w:rsid w:val="73353FCA"/>
    <w:rsid w:val="7358522F"/>
    <w:rsid w:val="73725823"/>
    <w:rsid w:val="73BC6873"/>
    <w:rsid w:val="73BE2C19"/>
    <w:rsid w:val="73E97CBC"/>
    <w:rsid w:val="74175C2F"/>
    <w:rsid w:val="742559E9"/>
    <w:rsid w:val="742B623F"/>
    <w:rsid w:val="74367077"/>
    <w:rsid w:val="74A52253"/>
    <w:rsid w:val="74B828AC"/>
    <w:rsid w:val="74BD01BD"/>
    <w:rsid w:val="75265360"/>
    <w:rsid w:val="75425E46"/>
    <w:rsid w:val="75811C9D"/>
    <w:rsid w:val="759C7BBC"/>
    <w:rsid w:val="75A23A72"/>
    <w:rsid w:val="75AA5E02"/>
    <w:rsid w:val="75AB3E1A"/>
    <w:rsid w:val="75DC0489"/>
    <w:rsid w:val="75DC28C5"/>
    <w:rsid w:val="76082A27"/>
    <w:rsid w:val="765B2CE0"/>
    <w:rsid w:val="76C842AC"/>
    <w:rsid w:val="76E330CB"/>
    <w:rsid w:val="76F679B7"/>
    <w:rsid w:val="76FF4ABD"/>
    <w:rsid w:val="771478CB"/>
    <w:rsid w:val="773C4A9A"/>
    <w:rsid w:val="776F37EE"/>
    <w:rsid w:val="777A596B"/>
    <w:rsid w:val="77967F8E"/>
    <w:rsid w:val="77AC6C03"/>
    <w:rsid w:val="78407667"/>
    <w:rsid w:val="78527AAB"/>
    <w:rsid w:val="786077DD"/>
    <w:rsid w:val="78672B4D"/>
    <w:rsid w:val="786E25A7"/>
    <w:rsid w:val="78702A0E"/>
    <w:rsid w:val="788923F6"/>
    <w:rsid w:val="78CB63A3"/>
    <w:rsid w:val="791A3E30"/>
    <w:rsid w:val="79443BB1"/>
    <w:rsid w:val="79D244E1"/>
    <w:rsid w:val="79D815F5"/>
    <w:rsid w:val="79FA1DBD"/>
    <w:rsid w:val="7A095FF1"/>
    <w:rsid w:val="7A0A1B65"/>
    <w:rsid w:val="7A4E49A6"/>
    <w:rsid w:val="7A865883"/>
    <w:rsid w:val="7A8772A3"/>
    <w:rsid w:val="7A962DC2"/>
    <w:rsid w:val="7A981A62"/>
    <w:rsid w:val="7A9A7AC7"/>
    <w:rsid w:val="7AC45E1B"/>
    <w:rsid w:val="7AD34CFE"/>
    <w:rsid w:val="7B0C1081"/>
    <w:rsid w:val="7B3D705F"/>
    <w:rsid w:val="7B5D0F17"/>
    <w:rsid w:val="7B677FF8"/>
    <w:rsid w:val="7B846629"/>
    <w:rsid w:val="7BAB6AFA"/>
    <w:rsid w:val="7BB5537C"/>
    <w:rsid w:val="7C227EC9"/>
    <w:rsid w:val="7C321491"/>
    <w:rsid w:val="7C4368F7"/>
    <w:rsid w:val="7C55677F"/>
    <w:rsid w:val="7C720A78"/>
    <w:rsid w:val="7C7318C4"/>
    <w:rsid w:val="7CDC40DB"/>
    <w:rsid w:val="7CEF313D"/>
    <w:rsid w:val="7D2F58E8"/>
    <w:rsid w:val="7D511A83"/>
    <w:rsid w:val="7DAD04F5"/>
    <w:rsid w:val="7DC96D4B"/>
    <w:rsid w:val="7DE572E9"/>
    <w:rsid w:val="7DFA7312"/>
    <w:rsid w:val="7E526B3F"/>
    <w:rsid w:val="7E5457E7"/>
    <w:rsid w:val="7E596D16"/>
    <w:rsid w:val="7E721F5E"/>
    <w:rsid w:val="7E7B47EF"/>
    <w:rsid w:val="7E7E6795"/>
    <w:rsid w:val="7E857D9D"/>
    <w:rsid w:val="7EB75C7D"/>
    <w:rsid w:val="7EDB0A1A"/>
    <w:rsid w:val="7F2C7391"/>
    <w:rsid w:val="7F881044"/>
    <w:rsid w:val="7FA3301E"/>
    <w:rsid w:val="7FA65F3A"/>
    <w:rsid w:val="7FB96C5A"/>
    <w:rsid w:val="7FC8456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nhideWhenUsed="0" w:uiPriority="0" w:semiHidden="0" w:name="caption"/>
    <w:lsdException w:qFormat="1" w:unhideWhenUsed="0" w:uiPriority="0" w:name="table of figures"/>
    <w:lsdException w:qFormat="1" w:unhideWhenUsed="0" w:uiPriority="0" w:name="envelope address"/>
    <w:lsdException w:qFormat="1" w:unhideWhenUsed="0" w:uiPriority="0" w:name="envelope return"/>
    <w:lsdException w:unhideWhenUsed="0" w:uiPriority="0" w:semiHidden="0" w:name="footnote reference"/>
    <w:lsdException w:qFormat="1" w:unhideWhenUsed="0" w:uiPriority="0" w:semiHidden="0" w:name="annotation reference"/>
    <w:lsdException w:qFormat="1" w:unhideWhenUsed="0" w:uiPriority="0" w:name="line number"/>
    <w:lsdException w:qFormat="1" w:unhideWhenUsed="0" w:uiPriority="0" w:semiHidden="0" w:name="page number"/>
    <w:lsdException w:unhideWhenUsed="0" w:uiPriority="0" w:semiHidden="0" w:name="endnote reference"/>
    <w:lsdException w:qFormat="1" w:unhideWhenUsed="0" w:uiPriority="0" w:name="endnote text"/>
    <w:lsdException w:qFormat="1" w:unhideWhenUsed="0" w:uiPriority="0" w:name="table of authorities"/>
    <w:lsdException w:qFormat="1" w:unhideWhenUsed="0" w:uiPriority="0" w:name="macro"/>
    <w:lsdException w:qFormat="1" w:unhideWhenUsed="0" w:uiPriority="0" w:name="toa heading"/>
    <w:lsdException w:qFormat="1" w:unhideWhenUsed="0" w:uiPriority="0" w:semiHidden="0" w:name="List"/>
    <w:lsdException w:qFormat="1" w:unhideWhenUsed="0" w:uiPriority="0" w:name="List Bullet"/>
    <w:lsdException w:qFormat="1" w:unhideWhenUsed="0" w:uiPriority="0" w:name="List Number"/>
    <w:lsdException w:qFormat="1" w:unhideWhenUsed="0" w:uiPriority="0" w:name="List 2"/>
    <w:lsdException w:qFormat="1" w:unhideWhenUsed="0" w:uiPriority="0" w:name="List 3"/>
    <w:lsdException w:qFormat="1" w:unhideWhenUsed="0" w:uiPriority="0" w:name="List 4"/>
    <w:lsdException w:qFormat="1" w:unhideWhenUsed="0" w:uiPriority="0" w:name="List 5"/>
    <w:lsdException w:qFormat="1" w:unhideWhenUsed="0" w:uiPriority="0" w:name="List Bullet 2"/>
    <w:lsdException w:qFormat="1" w:unhideWhenUsed="0" w:uiPriority="0" w:name="List Bullet 3"/>
    <w:lsdException w:qFormat="1" w:unhideWhenUsed="0" w:uiPriority="0" w:name="List Bullet 4"/>
    <w:lsdException w:qFormat="1" w:unhideWhenUsed="0" w:uiPriority="0" w:name="List Bullet 5"/>
    <w:lsdException w:qFormat="1" w:unhideWhenUsed="0" w:uiPriority="0" w:name="List Number 2"/>
    <w:lsdException w:qFormat="1" w:unhideWhenUsed="0" w:uiPriority="0" w:name="List Number 3"/>
    <w:lsdException w:qFormat="1" w:unhideWhenUsed="0" w:uiPriority="0" w:name="List Number 4"/>
    <w:lsdException w:qFormat="1" w:unhideWhenUsed="0" w:uiPriority="0" w:name="List Number 5"/>
    <w:lsdException w:qFormat="1" w:unhideWhenUsed="0" w:uiPriority="0" w:semiHidden="0" w:name="Title"/>
    <w:lsdException w:qFormat="1" w:unhideWhenUsed="0" w:uiPriority="0" w:name="Closing"/>
    <w:lsdException w:qFormat="1" w:unhideWhenUsed="0"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name="List Continue"/>
    <w:lsdException w:qFormat="1" w:unhideWhenUsed="0" w:uiPriority="0" w:name="List Continue 2"/>
    <w:lsdException w:qFormat="1" w:unhideWhenUsed="0" w:uiPriority="0" w:name="List Continue 3"/>
    <w:lsdException w:qFormat="1" w:unhideWhenUsed="0" w:uiPriority="0" w:name="List Continue 4"/>
    <w:lsdException w:qFormat="1" w:unhideWhenUsed="0" w:uiPriority="0" w:name="List Continue 5"/>
    <w:lsdException w:qFormat="1" w:unhideWhenUsed="0" w:uiPriority="0" w:name="Message Header"/>
    <w:lsdException w:qFormat="1" w:unhideWhenUsed="0" w:uiPriority="0" w:semiHidden="0" w:name="Subtitle"/>
    <w:lsdException w:qFormat="1" w:unhideWhenUsed="0" w:uiPriority="0" w:name="Salutation"/>
    <w:lsdException w:qFormat="1" w:unhideWhenUsed="0" w:uiPriority="0" w:semiHidden="0" w:name="Date"/>
    <w:lsdException w:qFormat="1" w:unhideWhenUsed="0" w:uiPriority="0" w:name="Body Text First Indent"/>
    <w:lsdException w:qFormat="1" w:unhideWhenUsed="0" w:uiPriority="0" w:semiHidden="0" w:name="Body Text First Indent 2"/>
    <w:lsdException w:qFormat="1" w:unhideWhenUsed="0"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qFormat="1" w:unhideWhenUsed="0" w:uiPriority="0" w:name="E-mail Signature"/>
    <w:lsdException w:qFormat="1" w:unhideWhenUsed="0" w:uiPriority="0" w:semiHidden="0" w:name="Normal (Web)"/>
    <w:lsdException w:qFormat="1" w:unhideWhenUsed="0" w:uiPriority="0" w:name="HTML Acronym"/>
    <w:lsdException w:qFormat="1" w:unhideWhenUsed="0" w:uiPriority="0" w:name="HTML Address"/>
    <w:lsdException w:qFormat="1" w:unhideWhenUsed="0" w:uiPriority="0" w:name="HTML Cite"/>
    <w:lsdException w:qFormat="1" w:unhideWhenUsed="0" w:uiPriority="0" w:name="HTML Code"/>
    <w:lsdException w:qFormat="1" w:unhideWhenUsed="0" w:uiPriority="0" w:name="HTML Definition"/>
    <w:lsdException w:qFormat="1" w:unhideWhenUsed="0" w:uiPriority="0" w:name="HTML Keyboard"/>
    <w:lsdException w:qFormat="1" w:unhideWhenUsed="0" w:uiPriority="0" w:name="HTML Preformatted"/>
    <w:lsdException w:qFormat="1" w:unhideWhenUsed="0" w:uiPriority="0" w:name="HTML Sample"/>
    <w:lsdException w:qFormat="1" w:unhideWhenUsed="0" w:uiPriority="0" w:name="HTML Typewriter"/>
    <w:lsdException w:qFormat="1" w:unhideWhenUsed="0" w:uiPriority="0" w:name="HTML Variable"/>
    <w:lsdException w:qFormat="1" w:uiPriority="99" w:semiHidden="0" w:name="Normal Table"/>
    <w:lsdException w:qFormat="1" w:unhideWhenUsed="0" w:uiPriority="0" w:name="annotation subject"/>
    <w:lsdException w:qFormat="1" w:unhideWhenUsed="0" w:uiPriority="0" w:name="Table Simple 1"/>
    <w:lsdException w:qFormat="1" w:unhideWhenUsed="0" w:uiPriority="0" w:name="Table Simple 2"/>
    <w:lsdException w:qFormat="1" w:unhideWhenUsed="0" w:uiPriority="0" w:name="Table Simple 3"/>
    <w:lsdException w:qFormat="1" w:unhideWhenUsed="0" w:uiPriority="0" w:name="Table Classic 1"/>
    <w:lsdException w:qFormat="1" w:unhideWhenUsed="0" w:uiPriority="0" w:name="Table Classic 2"/>
    <w:lsdException w:qFormat="1" w:unhideWhenUsed="0" w:uiPriority="0" w:name="Table Classic 3"/>
    <w:lsdException w:qFormat="1" w:unhideWhenUsed="0" w:uiPriority="0" w:name="Table Classic 4"/>
    <w:lsdException w:qFormat="1" w:unhideWhenUsed="0" w:uiPriority="0" w:name="Table Colorful 1"/>
    <w:lsdException w:qFormat="1" w:unhideWhenUsed="0" w:uiPriority="0" w:name="Table Colorful 2"/>
    <w:lsdException w:qFormat="1" w:unhideWhenUsed="0" w:uiPriority="0" w:name="Table Colorful 3"/>
    <w:lsdException w:qFormat="1" w:unhideWhenUsed="0" w:uiPriority="0" w:name="Table Columns 1"/>
    <w:lsdException w:qFormat="1" w:unhideWhenUsed="0" w:uiPriority="0" w:name="Table Columns 2"/>
    <w:lsdException w:qFormat="1" w:unhideWhenUsed="0" w:uiPriority="0" w:name="Table Columns 3"/>
    <w:lsdException w:qFormat="1" w:unhideWhenUsed="0" w:uiPriority="0" w:name="Table Columns 4"/>
    <w:lsdException w:qFormat="1" w:unhideWhenUsed="0" w:uiPriority="0" w:name="Table Columns 5"/>
    <w:lsdException w:qFormat="1" w:unhideWhenUsed="0" w:uiPriority="0" w:name="Table Grid 1"/>
    <w:lsdException w:qFormat="1" w:unhideWhenUsed="0" w:uiPriority="0" w:semiHidden="0" w:name="Table Grid 2"/>
    <w:lsdException w:qFormat="1" w:unhideWhenUsed="0" w:uiPriority="0" w:name="Table Grid 3"/>
    <w:lsdException w:qFormat="1" w:unhideWhenUsed="0" w:uiPriority="0" w:name="Table Grid 4"/>
    <w:lsdException w:qFormat="1" w:unhideWhenUsed="0" w:uiPriority="0" w:name="Table Grid 5"/>
    <w:lsdException w:qFormat="1" w:unhideWhenUsed="0" w:uiPriority="0" w:name="Table Grid 6"/>
    <w:lsdException w:qFormat="1" w:unhideWhenUsed="0" w:uiPriority="0" w:name="Table Grid 7"/>
    <w:lsdException w:qFormat="1" w:unhideWhenUsed="0" w:uiPriority="0" w:name="Table Grid 8"/>
    <w:lsdException w:qFormat="1" w:unhideWhenUsed="0" w:uiPriority="0" w:name="Table List 1"/>
    <w:lsdException w:qFormat="1" w:unhideWhenUsed="0" w:uiPriority="0" w:name="Table List 2"/>
    <w:lsdException w:qFormat="1" w:unhideWhenUsed="0" w:uiPriority="0" w:name="Table List 3"/>
    <w:lsdException w:qFormat="1" w:unhideWhenUsed="0" w:uiPriority="0" w:name="Table List 4"/>
    <w:lsdException w:qFormat="1" w:unhideWhenUsed="0" w:uiPriority="0" w:name="Table List 5"/>
    <w:lsdException w:qFormat="1" w:unhideWhenUsed="0" w:uiPriority="0" w:name="Table List 6"/>
    <w:lsdException w:qFormat="1" w:unhideWhenUsed="0" w:uiPriority="0" w:name="Table List 7"/>
    <w:lsdException w:qFormat="1" w:unhideWhenUsed="0" w:uiPriority="0" w:name="Table List 8"/>
    <w:lsdException w:qFormat="1" w:unhideWhenUsed="0" w:uiPriority="0" w:name="Table 3D effects 1"/>
    <w:lsdException w:qFormat="1" w:unhideWhenUsed="0" w:uiPriority="0" w:name="Table 3D effects 2"/>
    <w:lsdException w:qFormat="1" w:unhideWhenUsed="0" w:uiPriority="0" w:name="Table 3D effects 3"/>
    <w:lsdException w:qFormat="1" w:unhideWhenUsed="0" w:uiPriority="0" w:name="Table Contemporary"/>
    <w:lsdException w:qFormat="1" w:unhideWhenUsed="0" w:uiPriority="0" w:name="Table Elegant"/>
    <w:lsdException w:qFormat="1" w:unhideWhenUsed="0" w:uiPriority="0" w:name="Table Professional"/>
    <w:lsdException w:qFormat="1" w:unhideWhenUsed="0" w:uiPriority="0" w:name="Table Subtle 1"/>
    <w:lsdException w:qFormat="1" w:unhideWhenUsed="0" w:uiPriority="0" w:name="Table Subtle 2"/>
    <w:lsdException w:qFormat="1" w:unhideWhenUsed="0" w:uiPriority="0" w:name="Table Web 1"/>
    <w:lsdException w:qFormat="1" w:unhideWhenUsed="0" w:uiPriority="0" w:name="Table Web 2"/>
    <w:lsdException w:qFormat="1" w:unhideWhenUsed="0" w:uiPriority="0" w:name="Table Web 3"/>
    <w:lsdException w:qFormat="1" w:unhideWhenUsed="0" w:uiPriority="0" w:name="Balloon Text"/>
    <w:lsdException w:qFormat="1" w:unhideWhenUsed="0" w:uiPriority="0" w:semiHidden="0" w:name="Table Grid"/>
    <w:lsdException w:qFormat="1"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54"/>
    <w:qFormat/>
    <w:uiPriority w:val="0"/>
    <w:pPr>
      <w:keepNext/>
      <w:keepLines/>
      <w:spacing w:line="360" w:lineRule="auto"/>
      <w:outlineLvl w:val="0"/>
    </w:pPr>
    <w:rPr>
      <w:rFonts w:ascii="Times New Roman" w:hAnsi="Times New Roman" w:eastAsia="仿宋_GB2312"/>
      <w:b/>
      <w:bCs/>
      <w:kern w:val="44"/>
      <w:sz w:val="30"/>
      <w:szCs w:val="32"/>
    </w:rPr>
  </w:style>
  <w:style w:type="paragraph" w:styleId="5">
    <w:name w:val="heading 2"/>
    <w:basedOn w:val="1"/>
    <w:next w:val="1"/>
    <w:link w:val="149"/>
    <w:qFormat/>
    <w:uiPriority w:val="0"/>
    <w:pPr>
      <w:keepNext/>
      <w:keepLines/>
      <w:tabs>
        <w:tab w:val="left" w:pos="0"/>
      </w:tabs>
      <w:autoSpaceDE w:val="0"/>
      <w:autoSpaceDN w:val="0"/>
      <w:spacing w:line="360" w:lineRule="auto"/>
      <w:ind w:left="0" w:firstLine="0"/>
      <w:jc w:val="both"/>
      <w:textAlignment w:val="bottom"/>
      <w:outlineLvl w:val="1"/>
    </w:pPr>
    <w:rPr>
      <w:rFonts w:ascii="黑体" w:hAnsi="黑体" w:eastAsia="仿宋_GB2312" w:cs="Arial"/>
      <w:b/>
      <w:bCs/>
      <w:kern w:val="0"/>
      <w:sz w:val="28"/>
      <w:szCs w:val="20"/>
    </w:rPr>
  </w:style>
  <w:style w:type="paragraph" w:styleId="6">
    <w:name w:val="heading 3"/>
    <w:basedOn w:val="1"/>
    <w:next w:val="7"/>
    <w:link w:val="150"/>
    <w:qFormat/>
    <w:uiPriority w:val="0"/>
    <w:pPr>
      <w:keepNext/>
      <w:keepLines/>
      <w:tabs>
        <w:tab w:val="left" w:pos="0"/>
      </w:tabs>
      <w:spacing w:line="360" w:lineRule="auto"/>
      <w:ind w:left="0" w:firstLine="0"/>
      <w:outlineLvl w:val="2"/>
    </w:pPr>
    <w:rPr>
      <w:rFonts w:ascii="Times New Roman" w:hAnsi="Times New Roman" w:eastAsia="仿宋_GB2312"/>
      <w:b/>
      <w:bCs/>
      <w:sz w:val="24"/>
      <w:szCs w:val="28"/>
    </w:rPr>
  </w:style>
  <w:style w:type="paragraph" w:styleId="8">
    <w:name w:val="heading 4"/>
    <w:basedOn w:val="1"/>
    <w:next w:val="1"/>
    <w:link w:val="156"/>
    <w:qFormat/>
    <w:uiPriority w:val="0"/>
    <w:pPr>
      <w:keepNext/>
      <w:keepLines/>
      <w:numPr>
        <w:ilvl w:val="3"/>
        <w:numId w:val="1"/>
      </w:numPr>
      <w:adjustRightInd w:val="0"/>
      <w:spacing w:line="500" w:lineRule="exact"/>
      <w:jc w:val="left"/>
      <w:textAlignment w:val="baseline"/>
      <w:outlineLvl w:val="3"/>
    </w:pPr>
    <w:rPr>
      <w:rFonts w:ascii="Arial" w:hAnsi="Arial"/>
      <w:kern w:val="0"/>
      <w:sz w:val="26"/>
      <w:szCs w:val="20"/>
    </w:rPr>
  </w:style>
  <w:style w:type="paragraph" w:styleId="9">
    <w:name w:val="heading 5"/>
    <w:basedOn w:val="1"/>
    <w:next w:val="1"/>
    <w:qFormat/>
    <w:uiPriority w:val="0"/>
    <w:pPr>
      <w:keepNext/>
      <w:spacing w:line="360" w:lineRule="auto"/>
      <w:ind w:left="1008" w:hanging="1008"/>
      <w:jc w:val="left"/>
      <w:outlineLvl w:val="4"/>
    </w:pPr>
    <w:rPr>
      <w:rFonts w:ascii="Arial" w:hAnsi="Arial" w:cs="Arial"/>
      <w:b/>
      <w:bCs/>
      <w:sz w:val="24"/>
    </w:rPr>
  </w:style>
  <w:style w:type="paragraph" w:styleId="10">
    <w:name w:val="heading 6"/>
    <w:basedOn w:val="1"/>
    <w:next w:val="1"/>
    <w:qFormat/>
    <w:uiPriority w:val="0"/>
    <w:pPr>
      <w:keepNext/>
      <w:keepLines/>
      <w:adjustRightInd w:val="0"/>
      <w:spacing w:before="240" w:after="64" w:line="320" w:lineRule="atLeast"/>
      <w:ind w:left="1152" w:hanging="1152"/>
      <w:jc w:val="left"/>
      <w:textAlignment w:val="baseline"/>
      <w:outlineLvl w:val="5"/>
    </w:pPr>
    <w:rPr>
      <w:rFonts w:ascii="Arial" w:hAnsi="Arial" w:eastAsia="黑体"/>
      <w:b/>
      <w:kern w:val="0"/>
      <w:sz w:val="24"/>
      <w:szCs w:val="20"/>
    </w:rPr>
  </w:style>
  <w:style w:type="paragraph" w:styleId="11">
    <w:name w:val="heading 7"/>
    <w:basedOn w:val="1"/>
    <w:next w:val="1"/>
    <w:qFormat/>
    <w:uiPriority w:val="0"/>
    <w:pPr>
      <w:keepNext/>
      <w:keepLines/>
      <w:adjustRightInd w:val="0"/>
      <w:spacing w:before="240" w:after="64" w:line="320" w:lineRule="atLeast"/>
      <w:ind w:left="1296" w:hanging="1296"/>
      <w:jc w:val="left"/>
      <w:textAlignment w:val="baseline"/>
      <w:outlineLvl w:val="6"/>
    </w:pPr>
    <w:rPr>
      <w:rFonts w:ascii="宋体"/>
      <w:b/>
      <w:kern w:val="0"/>
      <w:sz w:val="24"/>
      <w:szCs w:val="20"/>
    </w:rPr>
  </w:style>
  <w:style w:type="paragraph" w:styleId="12">
    <w:name w:val="heading 8"/>
    <w:basedOn w:val="1"/>
    <w:next w:val="1"/>
    <w:qFormat/>
    <w:uiPriority w:val="0"/>
    <w:pPr>
      <w:keepNext/>
      <w:keepLines/>
      <w:adjustRightInd w:val="0"/>
      <w:spacing w:before="240" w:after="64" w:line="320" w:lineRule="atLeast"/>
      <w:ind w:left="1440" w:hanging="1440"/>
      <w:jc w:val="left"/>
      <w:textAlignment w:val="baseline"/>
      <w:outlineLvl w:val="7"/>
    </w:pPr>
    <w:rPr>
      <w:rFonts w:ascii="Arial" w:hAnsi="Arial" w:eastAsia="黑体"/>
      <w:kern w:val="0"/>
      <w:sz w:val="24"/>
      <w:szCs w:val="20"/>
    </w:rPr>
  </w:style>
  <w:style w:type="paragraph" w:styleId="13">
    <w:name w:val="heading 9"/>
    <w:basedOn w:val="1"/>
    <w:next w:val="1"/>
    <w:qFormat/>
    <w:uiPriority w:val="0"/>
    <w:pPr>
      <w:keepNext/>
      <w:keepLines/>
      <w:adjustRightInd w:val="0"/>
      <w:spacing w:before="240" w:after="64" w:line="320" w:lineRule="atLeast"/>
      <w:ind w:left="1584" w:hanging="1584"/>
      <w:jc w:val="left"/>
      <w:textAlignment w:val="baseline"/>
      <w:outlineLvl w:val="8"/>
    </w:pPr>
    <w:rPr>
      <w:rFonts w:ascii="Arial" w:hAnsi="Arial" w:eastAsia="黑体"/>
      <w:kern w:val="0"/>
      <w:szCs w:val="20"/>
    </w:rPr>
  </w:style>
  <w:style w:type="character" w:default="1" w:styleId="133">
    <w:name w:val="Default Paragraph Font"/>
    <w:unhideWhenUsed/>
    <w:qFormat/>
    <w:uiPriority w:val="1"/>
  </w:style>
  <w:style w:type="table" w:default="1" w:styleId="88">
    <w:name w:val="Normal Table"/>
    <w:unhideWhenUsed/>
    <w:qFormat/>
    <w:uiPriority w:val="99"/>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4"/>
    </w:rPr>
  </w:style>
  <w:style w:type="paragraph" w:styleId="3">
    <w:name w:val="macro"/>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textAlignment w:val="baseline"/>
    </w:pPr>
    <w:rPr>
      <w:rFonts w:ascii="Courier New" w:hAnsi="Courier New" w:eastAsia="宋体" w:cs="Courier New"/>
      <w:kern w:val="2"/>
      <w:sz w:val="24"/>
      <w:szCs w:val="24"/>
      <w:lang w:val="en-US" w:eastAsia="zh-CN" w:bidi="ar-SA"/>
    </w:rPr>
  </w:style>
  <w:style w:type="paragraph" w:styleId="7">
    <w:name w:val="Normal Indent"/>
    <w:basedOn w:val="1"/>
    <w:link w:val="155"/>
    <w:qFormat/>
    <w:uiPriority w:val="0"/>
    <w:pPr>
      <w:ind w:firstLine="420" w:firstLineChars="200"/>
    </w:pPr>
  </w:style>
  <w:style w:type="paragraph" w:styleId="14">
    <w:name w:val="List 3"/>
    <w:basedOn w:val="1"/>
    <w:semiHidden/>
    <w:qFormat/>
    <w:uiPriority w:val="0"/>
    <w:pPr>
      <w:widowControl/>
      <w:spacing w:line="520" w:lineRule="exact"/>
      <w:ind w:left="100" w:leftChars="400" w:hanging="200" w:hangingChars="200"/>
    </w:pPr>
    <w:rPr>
      <w:rFonts w:ascii="宋体" w:hAnsi="宋体" w:cs="宋体"/>
      <w:bCs/>
      <w:kern w:val="0"/>
      <w:sz w:val="28"/>
      <w:szCs w:val="32"/>
    </w:rPr>
  </w:style>
  <w:style w:type="paragraph" w:styleId="15">
    <w:name w:val="toc 7"/>
    <w:basedOn w:val="1"/>
    <w:next w:val="1"/>
    <w:qFormat/>
    <w:uiPriority w:val="39"/>
    <w:pPr>
      <w:ind w:left="1260"/>
      <w:jc w:val="left"/>
    </w:pPr>
    <w:rPr>
      <w:szCs w:val="21"/>
    </w:rPr>
  </w:style>
  <w:style w:type="paragraph" w:styleId="16">
    <w:name w:val="List Number 2"/>
    <w:basedOn w:val="1"/>
    <w:semiHidden/>
    <w:qFormat/>
    <w:uiPriority w:val="0"/>
    <w:pPr>
      <w:widowControl/>
      <w:tabs>
        <w:tab w:val="left" w:pos="780"/>
      </w:tabs>
      <w:spacing w:line="520" w:lineRule="exact"/>
      <w:ind w:left="780" w:leftChars="200" w:hanging="360" w:hangingChars="200"/>
    </w:pPr>
    <w:rPr>
      <w:rFonts w:ascii="宋体" w:hAnsi="宋体" w:cs="宋体"/>
      <w:bCs/>
      <w:kern w:val="0"/>
      <w:sz w:val="28"/>
      <w:szCs w:val="32"/>
    </w:rPr>
  </w:style>
  <w:style w:type="paragraph" w:styleId="17">
    <w:name w:val="table of authorities"/>
    <w:basedOn w:val="1"/>
    <w:next w:val="1"/>
    <w:semiHidden/>
    <w:qFormat/>
    <w:uiPriority w:val="0"/>
    <w:pPr>
      <w:adjustRightInd w:val="0"/>
      <w:spacing w:line="360" w:lineRule="atLeast"/>
      <w:ind w:left="420" w:leftChars="200"/>
      <w:textAlignment w:val="baseline"/>
    </w:pPr>
    <w:rPr>
      <w:szCs w:val="21"/>
    </w:rPr>
  </w:style>
  <w:style w:type="paragraph" w:styleId="18">
    <w:name w:val="Note Heading"/>
    <w:basedOn w:val="1"/>
    <w:next w:val="1"/>
    <w:semiHidden/>
    <w:qFormat/>
    <w:uiPriority w:val="0"/>
    <w:pPr>
      <w:widowControl/>
      <w:spacing w:line="520" w:lineRule="exact"/>
      <w:ind w:firstLine="700" w:firstLineChars="250"/>
      <w:jc w:val="center"/>
    </w:pPr>
    <w:rPr>
      <w:rFonts w:ascii="宋体" w:hAnsi="宋体" w:cs="宋体"/>
      <w:bCs/>
      <w:kern w:val="0"/>
      <w:sz w:val="28"/>
      <w:szCs w:val="32"/>
    </w:rPr>
  </w:style>
  <w:style w:type="paragraph" w:styleId="19">
    <w:name w:val="List Bullet 4"/>
    <w:basedOn w:val="1"/>
    <w:semiHidden/>
    <w:qFormat/>
    <w:uiPriority w:val="0"/>
    <w:pPr>
      <w:widowControl/>
      <w:tabs>
        <w:tab w:val="left" w:pos="1620"/>
      </w:tabs>
      <w:spacing w:line="520" w:lineRule="exact"/>
      <w:ind w:left="1620" w:leftChars="600" w:hanging="360" w:hangingChars="200"/>
    </w:pPr>
    <w:rPr>
      <w:rFonts w:ascii="宋体" w:hAnsi="宋体" w:cs="宋体"/>
      <w:bCs/>
      <w:kern w:val="0"/>
      <w:sz w:val="28"/>
      <w:szCs w:val="32"/>
    </w:rPr>
  </w:style>
  <w:style w:type="paragraph" w:styleId="20">
    <w:name w:val="index 8"/>
    <w:basedOn w:val="1"/>
    <w:next w:val="1"/>
    <w:semiHidden/>
    <w:qFormat/>
    <w:uiPriority w:val="0"/>
    <w:pPr>
      <w:adjustRightInd w:val="0"/>
      <w:spacing w:line="360" w:lineRule="atLeast"/>
      <w:ind w:left="1400" w:leftChars="1400"/>
      <w:textAlignment w:val="baseline"/>
    </w:pPr>
    <w:rPr>
      <w:szCs w:val="21"/>
    </w:rPr>
  </w:style>
  <w:style w:type="paragraph" w:styleId="21">
    <w:name w:val="E-mail Signature"/>
    <w:basedOn w:val="1"/>
    <w:semiHidden/>
    <w:qFormat/>
    <w:uiPriority w:val="0"/>
    <w:pPr>
      <w:widowControl/>
      <w:spacing w:line="520" w:lineRule="exact"/>
      <w:ind w:firstLine="700" w:firstLineChars="250"/>
    </w:pPr>
    <w:rPr>
      <w:rFonts w:ascii="宋体" w:hAnsi="宋体" w:cs="宋体"/>
      <w:bCs/>
      <w:kern w:val="0"/>
      <w:sz w:val="28"/>
      <w:szCs w:val="32"/>
    </w:rPr>
  </w:style>
  <w:style w:type="paragraph" w:styleId="22">
    <w:name w:val="List Number"/>
    <w:basedOn w:val="1"/>
    <w:semiHidden/>
    <w:qFormat/>
    <w:uiPriority w:val="0"/>
    <w:pPr>
      <w:widowControl/>
      <w:tabs>
        <w:tab w:val="left" w:pos="720"/>
      </w:tabs>
      <w:spacing w:line="520" w:lineRule="exact"/>
      <w:ind w:left="360" w:hanging="360" w:firstLineChars="250"/>
    </w:pPr>
    <w:rPr>
      <w:rFonts w:ascii="宋体" w:hAnsi="宋体" w:cs="宋体"/>
      <w:bCs/>
      <w:kern w:val="0"/>
      <w:sz w:val="28"/>
      <w:szCs w:val="32"/>
    </w:rPr>
  </w:style>
  <w:style w:type="paragraph" w:styleId="23">
    <w:name w:val="caption"/>
    <w:basedOn w:val="1"/>
    <w:next w:val="1"/>
    <w:qFormat/>
    <w:uiPriority w:val="0"/>
    <w:rPr>
      <w:rFonts w:ascii="Arial" w:hAnsi="Arial" w:eastAsia="黑体" w:cs="Arial"/>
      <w:sz w:val="20"/>
      <w:szCs w:val="20"/>
    </w:rPr>
  </w:style>
  <w:style w:type="paragraph" w:styleId="24">
    <w:name w:val="index 5"/>
    <w:basedOn w:val="1"/>
    <w:next w:val="1"/>
    <w:semiHidden/>
    <w:qFormat/>
    <w:uiPriority w:val="0"/>
    <w:pPr>
      <w:adjustRightInd w:val="0"/>
      <w:spacing w:line="360" w:lineRule="atLeast"/>
      <w:ind w:left="800" w:leftChars="800"/>
      <w:textAlignment w:val="baseline"/>
    </w:pPr>
    <w:rPr>
      <w:szCs w:val="21"/>
    </w:rPr>
  </w:style>
  <w:style w:type="paragraph" w:styleId="25">
    <w:name w:val="List Bullet"/>
    <w:basedOn w:val="1"/>
    <w:semiHidden/>
    <w:qFormat/>
    <w:uiPriority w:val="0"/>
    <w:pPr>
      <w:widowControl/>
      <w:tabs>
        <w:tab w:val="left" w:pos="360"/>
      </w:tabs>
      <w:spacing w:line="520" w:lineRule="exact"/>
      <w:ind w:left="360" w:hanging="360" w:hangingChars="200"/>
    </w:pPr>
    <w:rPr>
      <w:rFonts w:ascii="宋体" w:hAnsi="宋体" w:cs="宋体"/>
      <w:bCs/>
      <w:kern w:val="0"/>
      <w:sz w:val="28"/>
      <w:szCs w:val="32"/>
    </w:rPr>
  </w:style>
  <w:style w:type="paragraph" w:styleId="26">
    <w:name w:val="envelope address"/>
    <w:basedOn w:val="1"/>
    <w:semiHidden/>
    <w:qFormat/>
    <w:uiPriority w:val="0"/>
    <w:pPr>
      <w:framePr w:w="7920" w:h="1980" w:hRule="exact" w:hSpace="180" w:wrap="around" w:vAnchor="margin" w:hAnchor="page" w:xAlign="center" w:yAlign="bottom"/>
      <w:widowControl/>
      <w:snapToGrid w:val="0"/>
      <w:spacing w:line="520" w:lineRule="exact"/>
      <w:ind w:left="100" w:leftChars="1400" w:firstLine="700" w:firstLineChars="250"/>
    </w:pPr>
    <w:rPr>
      <w:rFonts w:ascii="Arial" w:hAnsi="Arial" w:cs="Arial"/>
      <w:bCs/>
      <w:kern w:val="0"/>
      <w:sz w:val="24"/>
    </w:rPr>
  </w:style>
  <w:style w:type="paragraph" w:styleId="27">
    <w:name w:val="Document Map"/>
    <w:basedOn w:val="1"/>
    <w:semiHidden/>
    <w:qFormat/>
    <w:uiPriority w:val="0"/>
    <w:pPr>
      <w:shd w:val="clear" w:color="auto" w:fill="000080"/>
    </w:pPr>
  </w:style>
  <w:style w:type="paragraph" w:styleId="28">
    <w:name w:val="toa heading"/>
    <w:basedOn w:val="1"/>
    <w:next w:val="1"/>
    <w:semiHidden/>
    <w:qFormat/>
    <w:uiPriority w:val="0"/>
    <w:pPr>
      <w:adjustRightInd w:val="0"/>
      <w:spacing w:before="120" w:line="360" w:lineRule="atLeast"/>
      <w:textAlignment w:val="baseline"/>
    </w:pPr>
    <w:rPr>
      <w:rFonts w:ascii="Arial" w:hAnsi="Arial" w:cs="Arial"/>
      <w:sz w:val="24"/>
    </w:rPr>
  </w:style>
  <w:style w:type="paragraph" w:styleId="29">
    <w:name w:val="annotation text"/>
    <w:basedOn w:val="1"/>
    <w:link w:val="157"/>
    <w:qFormat/>
    <w:uiPriority w:val="0"/>
    <w:pPr>
      <w:jc w:val="left"/>
    </w:pPr>
    <w:rPr>
      <w:sz w:val="28"/>
    </w:rPr>
  </w:style>
  <w:style w:type="paragraph" w:styleId="30">
    <w:name w:val="index 6"/>
    <w:basedOn w:val="1"/>
    <w:next w:val="1"/>
    <w:semiHidden/>
    <w:qFormat/>
    <w:uiPriority w:val="0"/>
    <w:pPr>
      <w:adjustRightInd w:val="0"/>
      <w:spacing w:line="360" w:lineRule="atLeast"/>
      <w:ind w:left="1000" w:leftChars="1000"/>
      <w:textAlignment w:val="baseline"/>
    </w:pPr>
    <w:rPr>
      <w:szCs w:val="21"/>
    </w:rPr>
  </w:style>
  <w:style w:type="paragraph" w:styleId="31">
    <w:name w:val="Salutation"/>
    <w:basedOn w:val="1"/>
    <w:next w:val="1"/>
    <w:semiHidden/>
    <w:qFormat/>
    <w:uiPriority w:val="0"/>
    <w:pPr>
      <w:widowControl/>
      <w:spacing w:line="520" w:lineRule="exact"/>
      <w:ind w:firstLine="700" w:firstLineChars="250"/>
    </w:pPr>
    <w:rPr>
      <w:rFonts w:ascii="宋体" w:hAnsi="宋体" w:cs="宋体"/>
      <w:bCs/>
      <w:kern w:val="0"/>
      <w:sz w:val="28"/>
      <w:szCs w:val="32"/>
    </w:rPr>
  </w:style>
  <w:style w:type="paragraph" w:styleId="32">
    <w:name w:val="Body Text 3"/>
    <w:basedOn w:val="1"/>
    <w:qFormat/>
    <w:uiPriority w:val="0"/>
    <w:pPr>
      <w:spacing w:line="480" w:lineRule="exact"/>
    </w:pPr>
    <w:rPr>
      <w:rFonts w:ascii="宋体" w:hAnsi="宋体"/>
      <w:color w:val="008000"/>
      <w:sz w:val="24"/>
      <w:szCs w:val="28"/>
    </w:rPr>
  </w:style>
  <w:style w:type="paragraph" w:styleId="33">
    <w:name w:val="Closing"/>
    <w:basedOn w:val="1"/>
    <w:semiHidden/>
    <w:qFormat/>
    <w:uiPriority w:val="0"/>
    <w:pPr>
      <w:widowControl/>
      <w:spacing w:line="520" w:lineRule="exact"/>
      <w:ind w:left="100" w:leftChars="2100" w:firstLine="700" w:firstLineChars="250"/>
    </w:pPr>
    <w:rPr>
      <w:rFonts w:ascii="宋体" w:hAnsi="宋体" w:cs="宋体"/>
      <w:bCs/>
      <w:kern w:val="0"/>
      <w:sz w:val="28"/>
      <w:szCs w:val="32"/>
    </w:rPr>
  </w:style>
  <w:style w:type="paragraph" w:styleId="34">
    <w:name w:val="List Bullet 3"/>
    <w:basedOn w:val="1"/>
    <w:semiHidden/>
    <w:qFormat/>
    <w:uiPriority w:val="0"/>
    <w:pPr>
      <w:widowControl/>
      <w:tabs>
        <w:tab w:val="left" w:pos="1200"/>
      </w:tabs>
      <w:spacing w:line="520" w:lineRule="exact"/>
      <w:ind w:left="1200" w:leftChars="400" w:hanging="360" w:hangingChars="200"/>
    </w:pPr>
    <w:rPr>
      <w:rFonts w:ascii="宋体" w:hAnsi="宋体" w:cs="宋体"/>
      <w:bCs/>
      <w:kern w:val="0"/>
      <w:sz w:val="28"/>
      <w:szCs w:val="32"/>
    </w:rPr>
  </w:style>
  <w:style w:type="paragraph" w:styleId="35">
    <w:name w:val="Body Text"/>
    <w:basedOn w:val="1"/>
    <w:next w:val="36"/>
    <w:link w:val="158"/>
    <w:qFormat/>
    <w:uiPriority w:val="0"/>
    <w:pPr>
      <w:spacing w:line="400" w:lineRule="atLeast"/>
    </w:pPr>
    <w:rPr>
      <w:sz w:val="24"/>
      <w:szCs w:val="20"/>
    </w:rPr>
  </w:style>
  <w:style w:type="paragraph" w:styleId="36">
    <w:name w:val="Body Text 2"/>
    <w:basedOn w:val="1"/>
    <w:qFormat/>
    <w:uiPriority w:val="0"/>
    <w:pPr>
      <w:spacing w:line="480" w:lineRule="exact"/>
    </w:pPr>
    <w:rPr>
      <w:color w:val="FF00FF"/>
      <w:sz w:val="26"/>
    </w:rPr>
  </w:style>
  <w:style w:type="paragraph" w:styleId="37">
    <w:name w:val="Body Text Indent"/>
    <w:basedOn w:val="1"/>
    <w:next w:val="1"/>
    <w:qFormat/>
    <w:uiPriority w:val="0"/>
    <w:pPr>
      <w:spacing w:line="500" w:lineRule="exact"/>
      <w:ind w:firstLine="520" w:firstLineChars="200"/>
    </w:pPr>
    <w:rPr>
      <w:sz w:val="26"/>
    </w:rPr>
  </w:style>
  <w:style w:type="paragraph" w:styleId="38">
    <w:name w:val="List Number 3"/>
    <w:basedOn w:val="1"/>
    <w:semiHidden/>
    <w:qFormat/>
    <w:uiPriority w:val="0"/>
    <w:pPr>
      <w:widowControl/>
      <w:tabs>
        <w:tab w:val="left" w:pos="1200"/>
      </w:tabs>
      <w:spacing w:line="520" w:lineRule="exact"/>
      <w:ind w:left="1200" w:leftChars="400" w:hanging="360" w:hangingChars="200"/>
    </w:pPr>
    <w:rPr>
      <w:rFonts w:ascii="宋体" w:hAnsi="宋体" w:cs="宋体"/>
      <w:bCs/>
      <w:kern w:val="0"/>
      <w:sz w:val="28"/>
      <w:szCs w:val="32"/>
    </w:rPr>
  </w:style>
  <w:style w:type="paragraph" w:styleId="39">
    <w:name w:val="List 2"/>
    <w:basedOn w:val="1"/>
    <w:semiHidden/>
    <w:qFormat/>
    <w:uiPriority w:val="0"/>
    <w:pPr>
      <w:widowControl/>
      <w:spacing w:line="520" w:lineRule="exact"/>
      <w:ind w:left="100" w:leftChars="200" w:hanging="200" w:hangingChars="200"/>
    </w:pPr>
    <w:rPr>
      <w:rFonts w:ascii="宋体" w:hAnsi="宋体" w:cs="宋体"/>
      <w:bCs/>
      <w:kern w:val="0"/>
      <w:sz w:val="28"/>
      <w:szCs w:val="32"/>
    </w:rPr>
  </w:style>
  <w:style w:type="paragraph" w:styleId="40">
    <w:name w:val="List Continue"/>
    <w:basedOn w:val="1"/>
    <w:semiHidden/>
    <w:qFormat/>
    <w:uiPriority w:val="0"/>
    <w:pPr>
      <w:widowControl/>
      <w:spacing w:after="120" w:line="520" w:lineRule="exact"/>
      <w:ind w:left="420" w:leftChars="200" w:firstLine="700" w:firstLineChars="250"/>
    </w:pPr>
    <w:rPr>
      <w:rFonts w:ascii="宋体" w:hAnsi="宋体" w:cs="宋体"/>
      <w:bCs/>
      <w:kern w:val="0"/>
      <w:sz w:val="28"/>
      <w:szCs w:val="32"/>
    </w:rPr>
  </w:style>
  <w:style w:type="paragraph" w:styleId="41">
    <w:name w:val="Block Text"/>
    <w:basedOn w:val="1"/>
    <w:semiHidden/>
    <w:qFormat/>
    <w:uiPriority w:val="0"/>
    <w:pPr>
      <w:widowControl/>
      <w:spacing w:after="120" w:line="520" w:lineRule="exact"/>
      <w:ind w:left="1440" w:leftChars="700" w:right="1440" w:rightChars="700" w:firstLine="700" w:firstLineChars="250"/>
    </w:pPr>
    <w:rPr>
      <w:rFonts w:ascii="宋体" w:hAnsi="宋体" w:cs="宋体"/>
      <w:bCs/>
      <w:kern w:val="0"/>
      <w:sz w:val="28"/>
      <w:szCs w:val="32"/>
    </w:rPr>
  </w:style>
  <w:style w:type="paragraph" w:styleId="42">
    <w:name w:val="List Bullet 2"/>
    <w:basedOn w:val="1"/>
    <w:semiHidden/>
    <w:qFormat/>
    <w:uiPriority w:val="0"/>
    <w:pPr>
      <w:widowControl/>
      <w:tabs>
        <w:tab w:val="left" w:pos="780"/>
      </w:tabs>
      <w:spacing w:line="520" w:lineRule="exact"/>
      <w:ind w:left="780" w:leftChars="200" w:hanging="360" w:hangingChars="200"/>
    </w:pPr>
    <w:rPr>
      <w:rFonts w:ascii="宋体" w:hAnsi="宋体" w:cs="宋体"/>
      <w:bCs/>
      <w:kern w:val="0"/>
      <w:sz w:val="28"/>
      <w:szCs w:val="32"/>
    </w:rPr>
  </w:style>
  <w:style w:type="paragraph" w:styleId="43">
    <w:name w:val="HTML Address"/>
    <w:basedOn w:val="1"/>
    <w:semiHidden/>
    <w:qFormat/>
    <w:uiPriority w:val="0"/>
    <w:pPr>
      <w:widowControl/>
      <w:spacing w:line="520" w:lineRule="exact"/>
      <w:ind w:firstLine="700" w:firstLineChars="250"/>
    </w:pPr>
    <w:rPr>
      <w:rFonts w:ascii="宋体" w:hAnsi="宋体" w:cs="宋体"/>
      <w:bCs/>
      <w:i/>
      <w:iCs/>
      <w:kern w:val="0"/>
      <w:sz w:val="28"/>
      <w:szCs w:val="32"/>
    </w:rPr>
  </w:style>
  <w:style w:type="paragraph" w:styleId="44">
    <w:name w:val="index 4"/>
    <w:basedOn w:val="1"/>
    <w:next w:val="1"/>
    <w:semiHidden/>
    <w:qFormat/>
    <w:uiPriority w:val="0"/>
    <w:pPr>
      <w:adjustRightInd w:val="0"/>
      <w:spacing w:line="360" w:lineRule="atLeast"/>
      <w:ind w:left="600" w:leftChars="600"/>
      <w:textAlignment w:val="baseline"/>
    </w:pPr>
    <w:rPr>
      <w:szCs w:val="21"/>
    </w:rPr>
  </w:style>
  <w:style w:type="paragraph" w:styleId="45">
    <w:name w:val="toc 5"/>
    <w:basedOn w:val="1"/>
    <w:next w:val="1"/>
    <w:qFormat/>
    <w:uiPriority w:val="39"/>
    <w:pPr>
      <w:ind w:left="840"/>
      <w:jc w:val="left"/>
    </w:pPr>
    <w:rPr>
      <w:szCs w:val="21"/>
    </w:rPr>
  </w:style>
  <w:style w:type="paragraph" w:styleId="46">
    <w:name w:val="toc 3"/>
    <w:basedOn w:val="1"/>
    <w:next w:val="1"/>
    <w:qFormat/>
    <w:uiPriority w:val="39"/>
    <w:pPr>
      <w:ind w:left="420"/>
      <w:jc w:val="left"/>
    </w:pPr>
    <w:rPr>
      <w:i/>
      <w:iCs/>
    </w:rPr>
  </w:style>
  <w:style w:type="paragraph" w:styleId="47">
    <w:name w:val="Plain Text"/>
    <w:basedOn w:val="1"/>
    <w:next w:val="1"/>
    <w:link w:val="159"/>
    <w:qFormat/>
    <w:uiPriority w:val="0"/>
    <w:rPr>
      <w:rFonts w:ascii="宋体" w:hAnsi="Courier New" w:cs="Courier New"/>
      <w:szCs w:val="21"/>
    </w:rPr>
  </w:style>
  <w:style w:type="paragraph" w:styleId="48">
    <w:name w:val="List Bullet 5"/>
    <w:basedOn w:val="1"/>
    <w:semiHidden/>
    <w:qFormat/>
    <w:uiPriority w:val="0"/>
    <w:pPr>
      <w:widowControl/>
      <w:tabs>
        <w:tab w:val="left" w:pos="2040"/>
      </w:tabs>
      <w:spacing w:line="520" w:lineRule="exact"/>
      <w:ind w:left="2040" w:leftChars="800" w:hanging="360" w:hangingChars="200"/>
    </w:pPr>
    <w:rPr>
      <w:rFonts w:ascii="宋体" w:hAnsi="宋体" w:cs="宋体"/>
      <w:bCs/>
      <w:kern w:val="0"/>
      <w:sz w:val="28"/>
      <w:szCs w:val="32"/>
    </w:rPr>
  </w:style>
  <w:style w:type="paragraph" w:styleId="49">
    <w:name w:val="List Number 4"/>
    <w:basedOn w:val="1"/>
    <w:semiHidden/>
    <w:qFormat/>
    <w:uiPriority w:val="0"/>
    <w:pPr>
      <w:widowControl/>
      <w:tabs>
        <w:tab w:val="left" w:pos="1620"/>
      </w:tabs>
      <w:spacing w:line="520" w:lineRule="exact"/>
      <w:ind w:left="1620" w:leftChars="600" w:hanging="360" w:hangingChars="200"/>
    </w:pPr>
    <w:rPr>
      <w:rFonts w:ascii="宋体" w:hAnsi="宋体" w:cs="宋体"/>
      <w:bCs/>
      <w:kern w:val="0"/>
      <w:sz w:val="28"/>
      <w:szCs w:val="32"/>
    </w:rPr>
  </w:style>
  <w:style w:type="paragraph" w:styleId="50">
    <w:name w:val="toc 8"/>
    <w:basedOn w:val="1"/>
    <w:next w:val="1"/>
    <w:qFormat/>
    <w:uiPriority w:val="39"/>
    <w:pPr>
      <w:widowControl/>
      <w:spacing w:line="360" w:lineRule="auto"/>
      <w:jc w:val="center"/>
    </w:pPr>
    <w:rPr>
      <w:szCs w:val="21"/>
    </w:rPr>
  </w:style>
  <w:style w:type="paragraph" w:styleId="51">
    <w:name w:val="index 3"/>
    <w:basedOn w:val="1"/>
    <w:next w:val="1"/>
    <w:semiHidden/>
    <w:qFormat/>
    <w:uiPriority w:val="0"/>
    <w:pPr>
      <w:adjustRightInd w:val="0"/>
      <w:spacing w:line="360" w:lineRule="atLeast"/>
      <w:ind w:left="400" w:leftChars="400"/>
      <w:textAlignment w:val="baseline"/>
    </w:pPr>
    <w:rPr>
      <w:szCs w:val="21"/>
    </w:rPr>
  </w:style>
  <w:style w:type="paragraph" w:styleId="52">
    <w:name w:val="Date"/>
    <w:basedOn w:val="1"/>
    <w:next w:val="1"/>
    <w:qFormat/>
    <w:uiPriority w:val="0"/>
    <w:pPr>
      <w:ind w:left="100" w:leftChars="2500"/>
    </w:pPr>
    <w:rPr>
      <w:rFonts w:ascii="宋体" w:hAnsi="Courier New" w:cs="Courier New"/>
      <w:b/>
      <w:bCs/>
      <w:sz w:val="32"/>
      <w:szCs w:val="21"/>
    </w:rPr>
  </w:style>
  <w:style w:type="paragraph" w:styleId="53">
    <w:name w:val="Body Text Indent 2"/>
    <w:basedOn w:val="1"/>
    <w:qFormat/>
    <w:uiPriority w:val="0"/>
    <w:pPr>
      <w:widowControl/>
      <w:ind w:firstLine="520" w:firstLineChars="200"/>
      <w:jc w:val="left"/>
    </w:pPr>
    <w:rPr>
      <w:rFonts w:ascii="楷体_GB2312"/>
      <w:sz w:val="26"/>
      <w:szCs w:val="36"/>
    </w:rPr>
  </w:style>
  <w:style w:type="paragraph" w:styleId="54">
    <w:name w:val="endnote text"/>
    <w:basedOn w:val="1"/>
    <w:semiHidden/>
    <w:qFormat/>
    <w:uiPriority w:val="0"/>
    <w:pPr>
      <w:adjustRightInd w:val="0"/>
      <w:snapToGrid w:val="0"/>
      <w:spacing w:line="360" w:lineRule="atLeast"/>
      <w:jc w:val="left"/>
      <w:textAlignment w:val="baseline"/>
    </w:pPr>
    <w:rPr>
      <w:szCs w:val="21"/>
    </w:rPr>
  </w:style>
  <w:style w:type="paragraph" w:styleId="55">
    <w:name w:val="List Continue 5"/>
    <w:basedOn w:val="1"/>
    <w:semiHidden/>
    <w:qFormat/>
    <w:uiPriority w:val="0"/>
    <w:pPr>
      <w:widowControl/>
      <w:spacing w:after="120" w:line="520" w:lineRule="exact"/>
      <w:ind w:left="2100" w:leftChars="1000" w:firstLine="700" w:firstLineChars="250"/>
    </w:pPr>
    <w:rPr>
      <w:rFonts w:ascii="宋体" w:hAnsi="宋体" w:cs="宋体"/>
      <w:bCs/>
      <w:kern w:val="0"/>
      <w:sz w:val="28"/>
      <w:szCs w:val="32"/>
    </w:rPr>
  </w:style>
  <w:style w:type="paragraph" w:styleId="56">
    <w:name w:val="Balloon Text"/>
    <w:basedOn w:val="1"/>
    <w:semiHidden/>
    <w:qFormat/>
    <w:uiPriority w:val="0"/>
    <w:rPr>
      <w:sz w:val="18"/>
      <w:szCs w:val="18"/>
    </w:rPr>
  </w:style>
  <w:style w:type="paragraph" w:styleId="57">
    <w:name w:val="footer"/>
    <w:basedOn w:val="1"/>
    <w:link w:val="160"/>
    <w:qFormat/>
    <w:uiPriority w:val="99"/>
    <w:pPr>
      <w:tabs>
        <w:tab w:val="center" w:pos="4153"/>
        <w:tab w:val="right" w:pos="8306"/>
      </w:tabs>
      <w:snapToGrid w:val="0"/>
      <w:jc w:val="left"/>
    </w:pPr>
    <w:rPr>
      <w:sz w:val="18"/>
      <w:szCs w:val="18"/>
    </w:rPr>
  </w:style>
  <w:style w:type="paragraph" w:styleId="58">
    <w:name w:val="envelope return"/>
    <w:basedOn w:val="1"/>
    <w:semiHidden/>
    <w:qFormat/>
    <w:uiPriority w:val="0"/>
    <w:pPr>
      <w:widowControl/>
      <w:snapToGrid w:val="0"/>
      <w:spacing w:line="520" w:lineRule="exact"/>
      <w:ind w:firstLine="700" w:firstLineChars="250"/>
    </w:pPr>
    <w:rPr>
      <w:rFonts w:ascii="Arial" w:hAnsi="Arial" w:cs="Arial"/>
      <w:bCs/>
      <w:kern w:val="0"/>
      <w:sz w:val="28"/>
      <w:szCs w:val="32"/>
    </w:rPr>
  </w:style>
  <w:style w:type="paragraph" w:styleId="5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0">
    <w:name w:val="Signature"/>
    <w:basedOn w:val="1"/>
    <w:semiHidden/>
    <w:qFormat/>
    <w:uiPriority w:val="0"/>
    <w:pPr>
      <w:widowControl/>
      <w:spacing w:line="520" w:lineRule="exact"/>
      <w:ind w:left="100" w:leftChars="2100" w:firstLine="700" w:firstLineChars="250"/>
    </w:pPr>
    <w:rPr>
      <w:rFonts w:ascii="宋体" w:hAnsi="宋体" w:cs="宋体"/>
      <w:bCs/>
      <w:kern w:val="0"/>
      <w:sz w:val="28"/>
      <w:szCs w:val="32"/>
    </w:rPr>
  </w:style>
  <w:style w:type="paragraph" w:styleId="61">
    <w:name w:val="toc 1"/>
    <w:basedOn w:val="1"/>
    <w:next w:val="1"/>
    <w:qFormat/>
    <w:uiPriority w:val="39"/>
    <w:pPr>
      <w:tabs>
        <w:tab w:val="right" w:leader="dot" w:pos="8400"/>
      </w:tabs>
      <w:spacing w:before="50" w:beforeLines="50" w:line="360" w:lineRule="auto"/>
      <w:jc w:val="left"/>
    </w:pPr>
    <w:rPr>
      <w:rFonts w:eastAsia="黑体"/>
      <w:b/>
      <w:bCs/>
      <w:caps/>
      <w:color w:val="000000"/>
      <w:kern w:val="44"/>
      <w:sz w:val="28"/>
      <w:szCs w:val="32"/>
    </w:rPr>
  </w:style>
  <w:style w:type="paragraph" w:styleId="62">
    <w:name w:val="List Continue 4"/>
    <w:basedOn w:val="1"/>
    <w:semiHidden/>
    <w:qFormat/>
    <w:uiPriority w:val="0"/>
    <w:pPr>
      <w:widowControl/>
      <w:spacing w:after="120" w:line="520" w:lineRule="exact"/>
      <w:ind w:left="1680" w:leftChars="800" w:firstLine="700" w:firstLineChars="250"/>
    </w:pPr>
    <w:rPr>
      <w:rFonts w:ascii="宋体" w:hAnsi="宋体" w:cs="宋体"/>
      <w:bCs/>
      <w:kern w:val="0"/>
      <w:sz w:val="28"/>
      <w:szCs w:val="32"/>
    </w:rPr>
  </w:style>
  <w:style w:type="paragraph" w:styleId="63">
    <w:name w:val="toc 4"/>
    <w:basedOn w:val="1"/>
    <w:next w:val="1"/>
    <w:qFormat/>
    <w:uiPriority w:val="39"/>
    <w:pPr>
      <w:ind w:left="630"/>
      <w:jc w:val="left"/>
    </w:pPr>
    <w:rPr>
      <w:szCs w:val="21"/>
    </w:rPr>
  </w:style>
  <w:style w:type="paragraph" w:styleId="64">
    <w:name w:val="index heading"/>
    <w:basedOn w:val="1"/>
    <w:next w:val="65"/>
    <w:semiHidden/>
    <w:qFormat/>
    <w:uiPriority w:val="0"/>
    <w:pPr>
      <w:adjustRightInd w:val="0"/>
      <w:spacing w:line="360" w:lineRule="atLeast"/>
      <w:textAlignment w:val="baseline"/>
    </w:pPr>
    <w:rPr>
      <w:rFonts w:ascii="Arial" w:hAnsi="Arial" w:cs="Arial"/>
      <w:b/>
      <w:bCs/>
      <w:szCs w:val="21"/>
    </w:rPr>
  </w:style>
  <w:style w:type="paragraph" w:styleId="65">
    <w:name w:val="index 1"/>
    <w:basedOn w:val="1"/>
    <w:next w:val="1"/>
    <w:semiHidden/>
    <w:qFormat/>
    <w:uiPriority w:val="0"/>
    <w:pPr>
      <w:adjustRightInd w:val="0"/>
      <w:spacing w:line="360" w:lineRule="atLeast"/>
      <w:textAlignment w:val="baseline"/>
    </w:pPr>
    <w:rPr>
      <w:szCs w:val="21"/>
    </w:rPr>
  </w:style>
  <w:style w:type="paragraph" w:styleId="66">
    <w:name w:val="Subtitle"/>
    <w:basedOn w:val="1"/>
    <w:qFormat/>
    <w:uiPriority w:val="0"/>
    <w:pPr>
      <w:widowControl/>
      <w:spacing w:before="240" w:after="60" w:line="312" w:lineRule="atLeast"/>
      <w:ind w:firstLine="700" w:firstLineChars="250"/>
      <w:jc w:val="center"/>
      <w:outlineLvl w:val="1"/>
    </w:pPr>
    <w:rPr>
      <w:rFonts w:ascii="Arial" w:hAnsi="Arial" w:cs="Arial"/>
      <w:b/>
      <w:bCs/>
      <w:kern w:val="28"/>
      <w:sz w:val="32"/>
      <w:szCs w:val="32"/>
    </w:rPr>
  </w:style>
  <w:style w:type="paragraph" w:styleId="67">
    <w:name w:val="List Number 5"/>
    <w:basedOn w:val="1"/>
    <w:semiHidden/>
    <w:qFormat/>
    <w:uiPriority w:val="0"/>
    <w:pPr>
      <w:widowControl/>
      <w:tabs>
        <w:tab w:val="left" w:pos="2040"/>
      </w:tabs>
      <w:spacing w:line="520" w:lineRule="exact"/>
      <w:ind w:left="2040" w:leftChars="800" w:hanging="360" w:hangingChars="200"/>
    </w:pPr>
    <w:rPr>
      <w:rFonts w:ascii="宋体" w:hAnsi="宋体" w:cs="宋体"/>
      <w:bCs/>
      <w:kern w:val="0"/>
      <w:sz w:val="28"/>
      <w:szCs w:val="32"/>
    </w:rPr>
  </w:style>
  <w:style w:type="paragraph" w:styleId="68">
    <w:name w:val="List"/>
    <w:basedOn w:val="1"/>
    <w:qFormat/>
    <w:uiPriority w:val="0"/>
    <w:pPr>
      <w:ind w:left="200" w:hanging="200" w:hangingChars="200"/>
    </w:pPr>
  </w:style>
  <w:style w:type="paragraph" w:styleId="69">
    <w:name w:val="footnote text"/>
    <w:basedOn w:val="1"/>
    <w:semiHidden/>
    <w:qFormat/>
    <w:uiPriority w:val="0"/>
    <w:pPr>
      <w:adjustRightInd w:val="0"/>
      <w:snapToGrid w:val="0"/>
      <w:spacing w:line="360" w:lineRule="atLeast"/>
      <w:jc w:val="left"/>
      <w:textAlignment w:val="baseline"/>
    </w:pPr>
    <w:rPr>
      <w:sz w:val="18"/>
      <w:szCs w:val="18"/>
    </w:rPr>
  </w:style>
  <w:style w:type="paragraph" w:styleId="70">
    <w:name w:val="toc 6"/>
    <w:basedOn w:val="1"/>
    <w:next w:val="1"/>
    <w:qFormat/>
    <w:uiPriority w:val="39"/>
    <w:pPr>
      <w:ind w:left="1050"/>
      <w:jc w:val="left"/>
    </w:pPr>
    <w:rPr>
      <w:szCs w:val="21"/>
    </w:rPr>
  </w:style>
  <w:style w:type="paragraph" w:styleId="71">
    <w:name w:val="List 5"/>
    <w:basedOn w:val="1"/>
    <w:semiHidden/>
    <w:qFormat/>
    <w:uiPriority w:val="0"/>
    <w:pPr>
      <w:widowControl/>
      <w:spacing w:line="520" w:lineRule="exact"/>
      <w:ind w:left="100" w:leftChars="800" w:hanging="200" w:hangingChars="200"/>
    </w:pPr>
    <w:rPr>
      <w:rFonts w:ascii="宋体" w:hAnsi="宋体" w:cs="宋体"/>
      <w:bCs/>
      <w:kern w:val="0"/>
      <w:sz w:val="28"/>
      <w:szCs w:val="32"/>
    </w:rPr>
  </w:style>
  <w:style w:type="paragraph" w:styleId="72">
    <w:name w:val="Body Text Indent 3"/>
    <w:basedOn w:val="1"/>
    <w:qFormat/>
    <w:uiPriority w:val="0"/>
    <w:pPr>
      <w:widowControl/>
      <w:ind w:firstLine="520" w:firstLineChars="200"/>
      <w:jc w:val="left"/>
    </w:pPr>
    <w:rPr>
      <w:rFonts w:ascii="宋体"/>
      <w:color w:val="FF0000"/>
      <w:sz w:val="26"/>
      <w:szCs w:val="36"/>
    </w:rPr>
  </w:style>
  <w:style w:type="paragraph" w:styleId="73">
    <w:name w:val="index 7"/>
    <w:basedOn w:val="1"/>
    <w:next w:val="1"/>
    <w:semiHidden/>
    <w:qFormat/>
    <w:uiPriority w:val="0"/>
    <w:pPr>
      <w:adjustRightInd w:val="0"/>
      <w:spacing w:line="360" w:lineRule="atLeast"/>
      <w:ind w:left="1200" w:leftChars="1200"/>
      <w:textAlignment w:val="baseline"/>
    </w:pPr>
    <w:rPr>
      <w:szCs w:val="21"/>
    </w:rPr>
  </w:style>
  <w:style w:type="paragraph" w:styleId="74">
    <w:name w:val="index 9"/>
    <w:basedOn w:val="1"/>
    <w:next w:val="1"/>
    <w:semiHidden/>
    <w:qFormat/>
    <w:uiPriority w:val="0"/>
    <w:pPr>
      <w:adjustRightInd w:val="0"/>
      <w:spacing w:line="360" w:lineRule="atLeast"/>
      <w:ind w:left="1600" w:leftChars="1600"/>
      <w:textAlignment w:val="baseline"/>
    </w:pPr>
    <w:rPr>
      <w:szCs w:val="21"/>
    </w:rPr>
  </w:style>
  <w:style w:type="paragraph" w:styleId="75">
    <w:name w:val="table of figures"/>
    <w:basedOn w:val="1"/>
    <w:next w:val="1"/>
    <w:semiHidden/>
    <w:qFormat/>
    <w:uiPriority w:val="0"/>
    <w:pPr>
      <w:ind w:leftChars="200" w:hanging="200" w:hangingChars="200"/>
    </w:pPr>
  </w:style>
  <w:style w:type="paragraph" w:styleId="76">
    <w:name w:val="toc 2"/>
    <w:basedOn w:val="1"/>
    <w:next w:val="1"/>
    <w:qFormat/>
    <w:uiPriority w:val="39"/>
    <w:pPr>
      <w:tabs>
        <w:tab w:val="right" w:leader="dot" w:pos="8400"/>
      </w:tabs>
      <w:spacing w:line="560" w:lineRule="exact"/>
      <w:ind w:left="210"/>
      <w:jc w:val="left"/>
    </w:pPr>
    <w:rPr>
      <w:rFonts w:eastAsia="仿宋_GB2312"/>
      <w:smallCaps/>
      <w:sz w:val="28"/>
    </w:rPr>
  </w:style>
  <w:style w:type="paragraph" w:styleId="77">
    <w:name w:val="toc 9"/>
    <w:basedOn w:val="1"/>
    <w:next w:val="1"/>
    <w:qFormat/>
    <w:uiPriority w:val="39"/>
    <w:pPr>
      <w:ind w:left="1680"/>
      <w:jc w:val="left"/>
    </w:pPr>
    <w:rPr>
      <w:szCs w:val="21"/>
    </w:rPr>
  </w:style>
  <w:style w:type="paragraph" w:styleId="78">
    <w:name w:val="List 4"/>
    <w:basedOn w:val="1"/>
    <w:semiHidden/>
    <w:qFormat/>
    <w:uiPriority w:val="0"/>
    <w:pPr>
      <w:widowControl/>
      <w:spacing w:line="520" w:lineRule="exact"/>
      <w:ind w:left="100" w:leftChars="600" w:hanging="200" w:hangingChars="200"/>
    </w:pPr>
    <w:rPr>
      <w:rFonts w:ascii="宋体" w:hAnsi="宋体" w:cs="宋体"/>
      <w:bCs/>
      <w:kern w:val="0"/>
      <w:sz w:val="28"/>
      <w:szCs w:val="32"/>
    </w:rPr>
  </w:style>
  <w:style w:type="paragraph" w:styleId="79">
    <w:name w:val="List Continue 2"/>
    <w:basedOn w:val="1"/>
    <w:semiHidden/>
    <w:qFormat/>
    <w:uiPriority w:val="0"/>
    <w:pPr>
      <w:widowControl/>
      <w:spacing w:after="120" w:line="520" w:lineRule="exact"/>
      <w:ind w:left="840" w:leftChars="400" w:firstLine="700" w:firstLineChars="250"/>
    </w:pPr>
    <w:rPr>
      <w:rFonts w:ascii="宋体" w:hAnsi="宋体" w:cs="宋体"/>
      <w:bCs/>
      <w:kern w:val="0"/>
      <w:sz w:val="28"/>
      <w:szCs w:val="32"/>
    </w:rPr>
  </w:style>
  <w:style w:type="paragraph" w:styleId="80">
    <w:name w:val="Message Header"/>
    <w:basedOn w:val="1"/>
    <w:semiHidden/>
    <w:qFormat/>
    <w:uiPriority w:val="0"/>
    <w:pPr>
      <w:widowControl/>
      <w:pBdr>
        <w:top w:val="single" w:color="auto" w:sz="6" w:space="1"/>
        <w:left w:val="single" w:color="auto" w:sz="6" w:space="1"/>
        <w:bottom w:val="single" w:color="auto" w:sz="6" w:space="1"/>
        <w:right w:val="single" w:color="auto" w:sz="6" w:space="1"/>
      </w:pBdr>
      <w:shd w:val="pct20" w:color="auto" w:fill="auto"/>
      <w:spacing w:line="520" w:lineRule="exact"/>
      <w:ind w:left="1080" w:leftChars="500" w:hanging="1080" w:hangingChars="500"/>
    </w:pPr>
    <w:rPr>
      <w:rFonts w:ascii="Arial" w:hAnsi="Arial" w:cs="Arial"/>
      <w:bCs/>
      <w:kern w:val="0"/>
      <w:sz w:val="24"/>
    </w:rPr>
  </w:style>
  <w:style w:type="paragraph" w:styleId="81">
    <w:name w:val="HTML Preformatted"/>
    <w:basedOn w:val="1"/>
    <w:semiHidden/>
    <w:qFormat/>
    <w:uiPriority w:val="0"/>
    <w:pPr>
      <w:widowControl/>
      <w:spacing w:line="520" w:lineRule="exact"/>
      <w:ind w:firstLine="700" w:firstLineChars="250"/>
    </w:pPr>
    <w:rPr>
      <w:rFonts w:ascii="Courier New" w:hAnsi="Courier New" w:cs="Courier New"/>
      <w:bCs/>
      <w:kern w:val="0"/>
      <w:sz w:val="20"/>
      <w:szCs w:val="20"/>
    </w:rPr>
  </w:style>
  <w:style w:type="paragraph" w:styleId="82">
    <w:name w:val="List Continue 3"/>
    <w:basedOn w:val="1"/>
    <w:semiHidden/>
    <w:qFormat/>
    <w:uiPriority w:val="0"/>
    <w:pPr>
      <w:widowControl/>
      <w:spacing w:after="120" w:line="520" w:lineRule="exact"/>
      <w:ind w:left="1260" w:leftChars="600" w:firstLine="700" w:firstLineChars="250"/>
    </w:pPr>
    <w:rPr>
      <w:rFonts w:ascii="宋体" w:hAnsi="宋体" w:cs="宋体"/>
      <w:bCs/>
      <w:kern w:val="0"/>
      <w:sz w:val="28"/>
      <w:szCs w:val="32"/>
    </w:rPr>
  </w:style>
  <w:style w:type="paragraph" w:styleId="83">
    <w:name w:val="index 2"/>
    <w:basedOn w:val="1"/>
    <w:next w:val="1"/>
    <w:semiHidden/>
    <w:qFormat/>
    <w:uiPriority w:val="0"/>
    <w:pPr>
      <w:adjustRightInd w:val="0"/>
      <w:spacing w:line="360" w:lineRule="atLeast"/>
      <w:ind w:left="200" w:leftChars="200"/>
      <w:textAlignment w:val="baseline"/>
    </w:pPr>
    <w:rPr>
      <w:szCs w:val="21"/>
    </w:rPr>
  </w:style>
  <w:style w:type="paragraph" w:styleId="84">
    <w:name w:val="Title"/>
    <w:basedOn w:val="1"/>
    <w:next w:val="1"/>
    <w:link w:val="161"/>
    <w:qFormat/>
    <w:uiPriority w:val="0"/>
    <w:pPr>
      <w:spacing w:line="360" w:lineRule="auto"/>
      <w:jc w:val="center"/>
      <w:outlineLvl w:val="0"/>
    </w:pPr>
    <w:rPr>
      <w:rFonts w:ascii="Cambria" w:hAnsi="Cambria"/>
      <w:b/>
      <w:bCs/>
      <w:sz w:val="32"/>
      <w:szCs w:val="32"/>
    </w:rPr>
  </w:style>
  <w:style w:type="paragraph" w:styleId="85">
    <w:name w:val="annotation subject"/>
    <w:basedOn w:val="29"/>
    <w:next w:val="29"/>
    <w:semiHidden/>
    <w:qFormat/>
    <w:uiPriority w:val="0"/>
    <w:rPr>
      <w:b/>
      <w:bCs/>
      <w:sz w:val="21"/>
    </w:rPr>
  </w:style>
  <w:style w:type="paragraph" w:styleId="86">
    <w:name w:val="Body Text First Indent"/>
    <w:basedOn w:val="35"/>
    <w:next w:val="1"/>
    <w:semiHidden/>
    <w:qFormat/>
    <w:uiPriority w:val="0"/>
    <w:pPr>
      <w:widowControl/>
      <w:spacing w:after="120" w:line="520" w:lineRule="exact"/>
      <w:ind w:firstLine="420" w:firstLineChars="100"/>
    </w:pPr>
    <w:rPr>
      <w:rFonts w:ascii="宋体" w:hAnsi="宋体" w:cs="宋体"/>
      <w:bCs/>
      <w:kern w:val="0"/>
      <w:sz w:val="28"/>
      <w:szCs w:val="32"/>
    </w:rPr>
  </w:style>
  <w:style w:type="paragraph" w:styleId="87">
    <w:name w:val="Body Text First Indent 2"/>
    <w:basedOn w:val="37"/>
    <w:next w:val="1"/>
    <w:qFormat/>
    <w:uiPriority w:val="0"/>
    <w:pPr>
      <w:adjustRightInd w:val="0"/>
      <w:spacing w:after="120" w:line="360" w:lineRule="atLeast"/>
      <w:ind w:left="420" w:leftChars="200" w:firstLine="420"/>
      <w:textAlignment w:val="baseline"/>
    </w:pPr>
    <w:rPr>
      <w:sz w:val="21"/>
      <w:szCs w:val="21"/>
    </w:rPr>
  </w:style>
  <w:style w:type="table" w:styleId="89">
    <w:name w:val="Table Grid"/>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0">
    <w:name w:val="Table Theme"/>
    <w:basedOn w:val="88"/>
    <w:qFormat/>
    <w:uiPriority w:val="0"/>
    <w:pPr>
      <w:widowControl w:val="0"/>
      <w:jc w:val="both"/>
    </w:pPr>
    <w:rPr>
      <w:sz w:val="21"/>
    </w:rPr>
    <w:tblPr>
      <w:tblBorders>
        <w:top w:val="single" w:color="auto" w:sz="12" w:space="0"/>
        <w:bottom w:val="single" w:color="auto" w:sz="12" w:space="0"/>
        <w:insideH w:val="single" w:color="auto" w:sz="4" w:space="0"/>
        <w:insideV w:val="single" w:color="auto" w:sz="4" w:space="0"/>
      </w:tblBorders>
    </w:tblPr>
  </w:style>
  <w:style w:type="table" w:styleId="91">
    <w:name w:val="Table Colorful 1"/>
    <w:basedOn w:val="88"/>
    <w:semiHidden/>
    <w:qFormat/>
    <w:uiPriority w:val="0"/>
    <w:pPr>
      <w:spacing w:line="520" w:lineRule="exact"/>
      <w:ind w:firstLine="700" w:firstLineChars="25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92">
    <w:name w:val="Table Colorful 2"/>
    <w:basedOn w:val="88"/>
    <w:semiHidden/>
    <w:qFormat/>
    <w:uiPriority w:val="0"/>
    <w:pPr>
      <w:spacing w:line="520" w:lineRule="exact"/>
      <w:ind w:firstLine="700" w:firstLineChars="250"/>
      <w:jc w:val="both"/>
    </w:pPr>
    <w:tblPr>
      <w:tblBorders>
        <w:bottom w:val="single" w:color="000000" w:sz="12" w:space="0"/>
      </w:tblBorders>
    </w:tblPr>
    <w:tcPr>
      <w:shd w:val="pct20" w:color="FFFF00" w:fill="FFFFFF"/>
    </w:tcPr>
    <w:tblStylePr w:type="firstRow">
      <w:rPr>
        <w:b/>
        <w:bCs/>
        <w:i/>
        <w:iCs/>
        <w:color w:val="FFFFFF"/>
      </w:rPr>
      <w:tblPr/>
      <w:tcPr>
        <w:tcBorders>
          <w:top w:val="nil"/>
          <w:left w:val="single" w:color="000000" w:sz="12" w:space="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93">
    <w:name w:val="Table Colorful 3"/>
    <w:basedOn w:val="88"/>
    <w:semiHidden/>
    <w:qFormat/>
    <w:uiPriority w:val="0"/>
    <w:pPr>
      <w:spacing w:line="520" w:lineRule="exact"/>
      <w:ind w:firstLine="700" w:firstLineChars="25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top w:val="nil"/>
          <w:left w:val="single" w:color="000000" w:sz="6" w:space="0"/>
          <w:bottom w:val="nil"/>
          <w:right w:val="nil"/>
          <w:insideH w:val="nil"/>
          <w:insideV w:val="nil"/>
          <w:tl2br w:val="nil"/>
          <w:tr2bl w:val="nil"/>
        </w:tcBorders>
        <w:shd w:val="solid" w:color="008080" w:fill="FFFFFF"/>
      </w:tcPr>
    </w:tblStylePr>
    <w:tblStylePr w:type="firstCol">
      <w:tblPr/>
      <w:tcPr>
        <w:tcBorders>
          <w:top w:val="nil"/>
          <w:left w:val="nil"/>
          <w:bottom w:val="single" w:color="000000" w:sz="36" w:space="0"/>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94">
    <w:name w:val="Table Elegant"/>
    <w:basedOn w:val="88"/>
    <w:semiHidden/>
    <w:qFormat/>
    <w:uiPriority w:val="0"/>
    <w:pPr>
      <w:spacing w:line="520" w:lineRule="exact"/>
      <w:ind w:firstLine="700" w:firstLineChars="25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95">
    <w:name w:val="Table Classic 1"/>
    <w:basedOn w:val="88"/>
    <w:semiHidden/>
    <w:qFormat/>
    <w:uiPriority w:val="0"/>
    <w:pPr>
      <w:spacing w:line="520" w:lineRule="exact"/>
      <w:ind w:firstLine="700" w:firstLineChars="25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6">
    <w:name w:val="Table Classic 2"/>
    <w:basedOn w:val="88"/>
    <w:semiHidden/>
    <w:qFormat/>
    <w:uiPriority w:val="0"/>
    <w:pPr>
      <w:spacing w:line="520" w:lineRule="exact"/>
      <w:ind w:firstLine="700" w:firstLineChars="250"/>
      <w:jc w:val="both"/>
    </w:pPr>
    <w:tblPr>
      <w:tblBorders>
        <w:top w:val="single" w:color="000000" w:sz="12" w:space="0"/>
        <w:bottom w:val="single" w:color="000000" w:sz="12" w:space="0"/>
      </w:tblBorders>
    </w:tblPr>
    <w:tcPr>
      <w:shd w:val="clear" w:color="auto" w:fill="auto"/>
    </w:tcPr>
    <w:tblStylePr w:type="firstRow">
      <w:rPr>
        <w:color w:val="FFFFFF"/>
      </w:rPr>
      <w:tblPr/>
      <w:tcPr>
        <w:tcBorders>
          <w:top w:val="nil"/>
          <w:left w:val="single" w:color="000000" w:sz="6" w:space="0"/>
          <w:bottom w:val="nil"/>
          <w:right w:val="nil"/>
          <w:insideH w:val="nil"/>
          <w:insideV w:val="nil"/>
          <w:tl2br w:val="nil"/>
          <w:tr2bl w:val="nil"/>
        </w:tcBorders>
        <w:shd w:val="solid" w:color="800080" w:fill="FFFFFF"/>
      </w:tcPr>
    </w:tblStylePr>
    <w:tblStylePr w:type="lastRow">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7">
    <w:name w:val="Table Classic 3"/>
    <w:basedOn w:val="88"/>
    <w:semiHidden/>
    <w:qFormat/>
    <w:uiPriority w:val="0"/>
    <w:pPr>
      <w:spacing w:line="520" w:lineRule="exact"/>
      <w:ind w:firstLine="700" w:firstLineChars="25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top w:val="nil"/>
          <w:left w:val="single" w:color="000000" w:sz="6" w:space="0"/>
          <w:bottom w:val="nil"/>
          <w:right w:val="nil"/>
          <w:insideH w:val="nil"/>
          <w:insideV w:val="nil"/>
          <w:tl2br w:val="nil"/>
          <w:tr2bl w:val="nil"/>
        </w:tcBorders>
        <w:shd w:val="solid" w:color="000080" w:fill="FFFFFF"/>
      </w:tcPr>
    </w:tblStylePr>
    <w:tblStylePr w:type="lastRow">
      <w:rPr>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98">
    <w:name w:val="Table Classic 4"/>
    <w:basedOn w:val="88"/>
    <w:semiHidden/>
    <w:qFormat/>
    <w:uiPriority w:val="0"/>
    <w:pPr>
      <w:spacing w:line="520" w:lineRule="exact"/>
      <w:ind w:firstLine="700" w:firstLineChars="25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top w:val="nil"/>
          <w:left w:val="single" w:color="000000" w:sz="6" w:space="0"/>
          <w:bottom w:val="nil"/>
          <w:right w:val="nil"/>
          <w:insideH w:val="nil"/>
          <w:insideV w:val="nil"/>
          <w:tl2br w:val="nil"/>
          <w:tr2bl w:val="nil"/>
        </w:tcBorders>
        <w:shd w:val="pct50" w:color="000080" w:fill="FFFFFF"/>
      </w:tcPr>
    </w:tblStylePr>
    <w:tblStylePr w:type="lastRow">
      <w:rPr>
        <w:color w:val="000080"/>
      </w:rPr>
      <w:tblPr/>
      <w:tcPr>
        <w:tcBorders>
          <w:top w:val="nil"/>
          <w:left w:val="single" w:color="000000" w:sz="6" w:space="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9">
    <w:name w:val="Table Simple 1"/>
    <w:basedOn w:val="88"/>
    <w:semiHidden/>
    <w:qFormat/>
    <w:uiPriority w:val="0"/>
    <w:pPr>
      <w:spacing w:line="520" w:lineRule="exact"/>
      <w:ind w:firstLine="700" w:firstLineChars="250"/>
      <w:jc w:val="both"/>
    </w:pPr>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100">
    <w:name w:val="Table Simple 2"/>
    <w:basedOn w:val="88"/>
    <w:semiHidden/>
    <w:qFormat/>
    <w:uiPriority w:val="0"/>
    <w:pPr>
      <w:spacing w:line="520" w:lineRule="exact"/>
      <w:ind w:firstLine="700" w:firstLineChars="250"/>
      <w:jc w:val="both"/>
    </w:pPr>
    <w:tblPr/>
    <w:tblStylePr w:type="firstRow">
      <w:rPr>
        <w:b/>
        <w:bCs/>
      </w:rPr>
      <w:tblPr/>
      <w:tcPr>
        <w:tcBorders>
          <w:top w:val="nil"/>
          <w:left w:val="single" w:color="000000" w:sz="12" w:space="0"/>
          <w:bottom w:val="nil"/>
          <w:right w:val="nil"/>
          <w:insideH w:val="nil"/>
          <w:insideV w:val="nil"/>
          <w:tl2br w:val="nil"/>
          <w:tr2bl w:val="nil"/>
        </w:tcBorders>
      </w:tcPr>
    </w:tblStylePr>
    <w:tblStylePr w:type="lastRow">
      <w:rPr>
        <w:b/>
        <w:bCs/>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lastCol">
      <w:rPr>
        <w:b/>
        <w:bCs/>
      </w:rPr>
      <w:tblPr/>
      <w:tcPr>
        <w:tcBorders>
          <w:top w:val="nil"/>
          <w:left w:val="nil"/>
          <w:bottom w:val="single" w:color="000000" w:sz="6" w:space="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1">
    <w:name w:val="Table Simple 3"/>
    <w:basedOn w:val="88"/>
    <w:semiHidden/>
    <w:qFormat/>
    <w:uiPriority w:val="0"/>
    <w:pPr>
      <w:spacing w:line="520" w:lineRule="exact"/>
      <w:ind w:firstLine="700" w:firstLineChars="25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02">
    <w:name w:val="Table Subtle 1"/>
    <w:basedOn w:val="88"/>
    <w:semiHidden/>
    <w:qFormat/>
    <w:uiPriority w:val="0"/>
    <w:pPr>
      <w:spacing w:line="520" w:lineRule="exact"/>
      <w:ind w:firstLine="700" w:firstLineChars="250"/>
      <w:jc w:val="both"/>
    </w:pPr>
    <w:tblPr>
      <w:tblStyleRowBandSize w:val="1"/>
    </w:tblPr>
    <w:tblStylePr w:type="firstRow">
      <w:tblPr/>
      <w:tcPr>
        <w:tcBorders>
          <w:top w:val="single" w:color="000000" w:sz="6" w:space="0"/>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nil"/>
          <w:bottom w:val="single" w:color="000000" w:sz="12" w:space="0"/>
          <w:right w:val="nil"/>
          <w:insideH w:val="nil"/>
          <w:insideV w:val="nil"/>
          <w:tl2br w:val="nil"/>
          <w:tr2bl w:val="nil"/>
        </w:tcBorders>
      </w:tcPr>
    </w:tblStylePr>
    <w:tblStylePr w:type="band1Horz">
      <w:tblPr/>
      <w:tcPr>
        <w:tcBorders>
          <w:top w:val="nil"/>
          <w:left w:val="single" w:color="000000" w:sz="6" w:space="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3">
    <w:name w:val="Table Subtle 2"/>
    <w:basedOn w:val="88"/>
    <w:semiHidden/>
    <w:qFormat/>
    <w:uiPriority w:val="0"/>
    <w:pPr>
      <w:spacing w:line="520" w:lineRule="exact"/>
      <w:ind w:firstLine="700" w:firstLineChars="250"/>
      <w:jc w:val="both"/>
    </w:pPr>
    <w:tblPr>
      <w:tblBorders>
        <w:left w:val="single" w:color="000000" w:sz="6" w:space="0"/>
        <w:right w:val="single" w:color="000000" w:sz="6" w:space="0"/>
      </w:tblBorders>
    </w:tblPr>
    <w:tblStylePr w:type="firstRow">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firstCol">
      <w:tblPr/>
      <w:tcPr>
        <w:tcBorders>
          <w:top w:val="nil"/>
          <w:left w:val="nil"/>
          <w:bottom w:val="nil"/>
          <w:right w:val="single" w:color="000000" w:sz="12" w:space="0"/>
          <w:insideH w:val="nil"/>
          <w:insideV w:val="nil"/>
          <w:tl2br w:val="nil"/>
          <w:tr2bl w:val="nil"/>
        </w:tcBorders>
        <w:shd w:val="pct25" w:color="008000" w:fill="FFFFFF"/>
      </w:tcPr>
    </w:tblStylePr>
    <w:tblStylePr w:type="lastCol">
      <w:tblPr/>
      <w:tcPr>
        <w:tcBorders>
          <w:top w:val="nil"/>
          <w:left w:val="nil"/>
          <w:bottom w:val="single" w:color="000000" w:sz="12"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4">
    <w:name w:val="Table 3D effects 1"/>
    <w:basedOn w:val="88"/>
    <w:semiHidden/>
    <w:qFormat/>
    <w:uiPriority w:val="0"/>
    <w:pPr>
      <w:spacing w:line="520" w:lineRule="exact"/>
      <w:ind w:firstLine="700" w:firstLineChars="250"/>
      <w:jc w:val="both"/>
    </w:pPr>
    <w:tblPr/>
    <w:tcPr>
      <w:shd w:val="solid" w:color="C0C0C0" w:fill="FFFFFF"/>
    </w:tcPr>
    <w:tblStylePr w:type="firstRow">
      <w:rPr>
        <w:b/>
        <w:bCs/>
        <w:color w:val="800080"/>
      </w:rPr>
      <w:tblPr/>
      <w:tcPr>
        <w:tcBorders>
          <w:top w:val="nil"/>
          <w:left w:val="single" w:color="808080" w:sz="6" w:space="0"/>
          <w:bottom w:val="nil"/>
          <w:right w:val="nil"/>
          <w:insideH w:val="nil"/>
          <w:insideV w:val="nil"/>
          <w:tl2br w:val="nil"/>
          <w:tr2bl w:val="nil"/>
        </w:tcBorders>
      </w:tcPr>
    </w:tblStylePr>
    <w:tblStylePr w:type="lastRow">
      <w:tblPr/>
      <w:tcPr>
        <w:tcBorders>
          <w:top w:val="single" w:color="FFFFFF"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single" w:color="FFFFFF" w:sz="6" w:space="0"/>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05">
    <w:name w:val="Table 3D effects 2"/>
    <w:basedOn w:val="88"/>
    <w:semiHidden/>
    <w:qFormat/>
    <w:uiPriority w:val="0"/>
    <w:pPr>
      <w:spacing w:line="520" w:lineRule="exact"/>
      <w:ind w:firstLine="700" w:firstLineChars="250"/>
      <w:jc w:val="both"/>
    </w:p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6">
    <w:name w:val="Table 3D effects 3"/>
    <w:basedOn w:val="88"/>
    <w:semiHidden/>
    <w:qFormat/>
    <w:uiPriority w:val="0"/>
    <w:pPr>
      <w:spacing w:line="520" w:lineRule="exact"/>
      <w:ind w:firstLine="700" w:firstLineChars="250"/>
      <w:jc w:val="both"/>
    </w:p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7">
    <w:name w:val="Table List 1"/>
    <w:basedOn w:val="88"/>
    <w:semiHidden/>
    <w:qFormat/>
    <w:uiPriority w:val="0"/>
    <w:pPr>
      <w:spacing w:line="520" w:lineRule="exact"/>
      <w:ind w:firstLine="700" w:firstLineChars="25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top w:val="nil"/>
          <w:left w:val="single" w:color="000000" w:sz="6" w:space="0"/>
          <w:bottom w:val="nil"/>
          <w:right w:val="nil"/>
          <w:insideH w:val="nil"/>
          <w:insideV w:val="nil"/>
          <w:tl2br w:val="nil"/>
          <w:tr2bl w:val="nil"/>
        </w:tcBorders>
        <w:shd w:val="solid" w:color="C0C0C0" w:fill="FFFFFF"/>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8">
    <w:name w:val="Table List 2"/>
    <w:basedOn w:val="88"/>
    <w:semiHidden/>
    <w:qFormat/>
    <w:uiPriority w:val="0"/>
    <w:pPr>
      <w:spacing w:line="520" w:lineRule="exact"/>
      <w:ind w:firstLine="700" w:firstLineChars="250"/>
      <w:jc w:val="both"/>
    </w:pPr>
    <w:tblPr>
      <w:tblBorders>
        <w:bottom w:val="single" w:color="808080" w:sz="12" w:space="0"/>
      </w:tblBorders>
    </w:tblPr>
    <w:tblStylePr w:type="firstRow">
      <w:rPr>
        <w:b/>
        <w:bCs/>
        <w:color w:val="FFFFFF"/>
      </w:rPr>
      <w:tblPr/>
      <w:tcPr>
        <w:tcBorders>
          <w:top w:val="nil"/>
          <w:left w:val="single" w:color="000000" w:sz="6" w:space="0"/>
          <w:bottom w:val="nil"/>
          <w:right w:val="nil"/>
          <w:insideH w:val="nil"/>
          <w:insideV w:val="nil"/>
          <w:tl2br w:val="nil"/>
          <w:tr2bl w:val="nil"/>
        </w:tcBorders>
        <w:shd w:val="pct75" w:color="008080" w:fill="008000"/>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9">
    <w:name w:val="Table List 3"/>
    <w:basedOn w:val="88"/>
    <w:semiHidden/>
    <w:qFormat/>
    <w:uiPriority w:val="0"/>
    <w:pPr>
      <w:spacing w:line="520" w:lineRule="exact"/>
      <w:ind w:firstLine="700" w:firstLineChars="25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110">
    <w:name w:val="Table List 4"/>
    <w:basedOn w:val="88"/>
    <w:semiHidden/>
    <w:qFormat/>
    <w:uiPriority w:val="0"/>
    <w:pPr>
      <w:spacing w:line="520" w:lineRule="exact"/>
      <w:ind w:firstLine="700" w:firstLineChars="25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top w:val="nil"/>
          <w:left w:val="single" w:color="000000" w:sz="12" w:space="0"/>
          <w:bottom w:val="nil"/>
          <w:right w:val="nil"/>
          <w:insideH w:val="nil"/>
          <w:insideV w:val="nil"/>
          <w:tl2br w:val="nil"/>
          <w:tr2bl w:val="nil"/>
        </w:tcBorders>
        <w:shd w:val="solid" w:color="808080" w:fill="FFFFFF"/>
      </w:tcPr>
    </w:tblStylePr>
  </w:style>
  <w:style w:type="table" w:styleId="111">
    <w:name w:val="Table List 5"/>
    <w:basedOn w:val="88"/>
    <w:semiHidden/>
    <w:qFormat/>
    <w:uiPriority w:val="0"/>
    <w:pPr>
      <w:spacing w:line="520" w:lineRule="exact"/>
      <w:ind w:firstLine="700" w:firstLineChars="25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112">
    <w:name w:val="Table List 6"/>
    <w:basedOn w:val="88"/>
    <w:semiHidden/>
    <w:qFormat/>
    <w:uiPriority w:val="0"/>
    <w:pPr>
      <w:spacing w:line="520" w:lineRule="exact"/>
      <w:ind w:firstLine="700" w:firstLineChars="25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3">
    <w:name w:val="Table List 7"/>
    <w:basedOn w:val="88"/>
    <w:semiHidden/>
    <w:qFormat/>
    <w:uiPriority w:val="0"/>
    <w:pPr>
      <w:spacing w:line="520" w:lineRule="exact"/>
      <w:ind w:firstLine="700" w:firstLineChars="25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blPr/>
      <w:tcPr>
        <w:tcBorders>
          <w:top w:val="single" w:color="008000" w:sz="12"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114">
    <w:name w:val="Table List 8"/>
    <w:basedOn w:val="88"/>
    <w:semiHidden/>
    <w:qFormat/>
    <w:uiPriority w:val="0"/>
    <w:pPr>
      <w:spacing w:line="520" w:lineRule="exact"/>
      <w:ind w:firstLine="700" w:firstLineChars="25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top w:val="nil"/>
          <w:left w:val="single" w:color="000000" w:sz="6" w:space="0"/>
          <w:bottom w:val="nil"/>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color="auto" w:sz="6" w:space="0"/>
          <w:tr2bl w:val="nil"/>
        </w:tcBorders>
      </w:tcPr>
    </w:tblStylePr>
  </w:style>
  <w:style w:type="table" w:styleId="115">
    <w:name w:val="Table Contemporary"/>
    <w:basedOn w:val="88"/>
    <w:semiHidden/>
    <w:qFormat/>
    <w:uiPriority w:val="0"/>
    <w:pPr>
      <w:spacing w:line="520" w:lineRule="exact"/>
      <w:ind w:firstLine="700" w:firstLineChars="250"/>
      <w:jc w:val="both"/>
    </w:p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16">
    <w:name w:val="Table Columns 1"/>
    <w:basedOn w:val="88"/>
    <w:semiHidden/>
    <w:qFormat/>
    <w:uiPriority w:val="0"/>
    <w:pPr>
      <w:spacing w:line="520" w:lineRule="exact"/>
      <w:ind w:firstLine="700" w:firstLineChars="25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top w:val="nil"/>
          <w:left w:val="double" w:color="000000" w:sz="6" w:space="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17">
    <w:name w:val="Table Columns 2"/>
    <w:basedOn w:val="88"/>
    <w:semiHidden/>
    <w:qFormat/>
    <w:uiPriority w:val="0"/>
    <w:pPr>
      <w:spacing w:line="520" w:lineRule="exact"/>
      <w:ind w:firstLine="700" w:firstLineChars="250"/>
      <w:jc w:val="both"/>
    </w:pPr>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18">
    <w:name w:val="Table Columns 3"/>
    <w:basedOn w:val="88"/>
    <w:semiHidden/>
    <w:qFormat/>
    <w:uiPriority w:val="0"/>
    <w:pPr>
      <w:spacing w:line="520" w:lineRule="exact"/>
      <w:ind w:firstLine="700" w:firstLineChars="25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color="00008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119">
    <w:name w:val="Table Columns 4"/>
    <w:basedOn w:val="88"/>
    <w:semiHidden/>
    <w:qFormat/>
    <w:uiPriority w:val="0"/>
    <w:pPr>
      <w:spacing w:line="520" w:lineRule="exact"/>
      <w:ind w:firstLine="700" w:firstLineChars="250"/>
      <w:jc w:val="both"/>
    </w:p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0">
    <w:name w:val="Table Columns 5"/>
    <w:basedOn w:val="88"/>
    <w:semiHidden/>
    <w:qFormat/>
    <w:uiPriority w:val="0"/>
    <w:pPr>
      <w:spacing w:line="520" w:lineRule="exact"/>
      <w:ind w:firstLine="700" w:firstLineChars="25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top w:val="nil"/>
          <w:left w:val="single" w:color="808080" w:sz="6" w:space="0"/>
          <w:bottom w:val="nil"/>
          <w:right w:val="nil"/>
          <w:insideH w:val="nil"/>
          <w:insideV w:val="nil"/>
          <w:tl2br w:val="nil"/>
          <w:tr2bl w:val="nil"/>
        </w:tcBorders>
      </w:tcPr>
    </w:tblStylePr>
    <w:tblStylePr w:type="lastRow">
      <w:rPr>
        <w:b/>
        <w:bCs/>
      </w:rPr>
      <w:tblPr/>
      <w:tcPr>
        <w:tcBorders>
          <w:top w:val="single" w:color="80808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semiHidden/>
    <w:qFormat/>
    <w:uiPriority w:val="0"/>
    <w:pPr>
      <w:spacing w:line="520" w:lineRule="exact"/>
      <w:ind w:firstLine="700" w:firstLineChars="25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2">
    <w:name w:val="Table Grid 2"/>
    <w:basedOn w:val="88"/>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23">
    <w:name w:val="Table Grid 3"/>
    <w:basedOn w:val="88"/>
    <w:semiHidden/>
    <w:qFormat/>
    <w:uiPriority w:val="0"/>
    <w:pPr>
      <w:spacing w:line="520" w:lineRule="exact"/>
      <w:ind w:firstLine="700" w:firstLineChars="25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4">
    <w:name w:val="Table Grid 4"/>
    <w:basedOn w:val="88"/>
    <w:semiHidden/>
    <w:qFormat/>
    <w:uiPriority w:val="0"/>
    <w:pPr>
      <w:spacing w:line="520" w:lineRule="exact"/>
      <w:ind w:firstLine="700" w:firstLineChars="25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5">
    <w:name w:val="Table Grid 5"/>
    <w:basedOn w:val="88"/>
    <w:semiHidden/>
    <w:qFormat/>
    <w:uiPriority w:val="0"/>
    <w:pPr>
      <w:spacing w:line="520" w:lineRule="exact"/>
      <w:ind w:firstLine="700" w:firstLineChars="25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single" w:color="000000" w:sz="12" w:space="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6">
    <w:name w:val="Table Grid 6"/>
    <w:basedOn w:val="88"/>
    <w:semiHidden/>
    <w:qFormat/>
    <w:uiPriority w:val="0"/>
    <w:pPr>
      <w:spacing w:line="520" w:lineRule="exact"/>
      <w:ind w:firstLine="700" w:firstLineChars="25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7">
    <w:name w:val="Table Grid 7"/>
    <w:basedOn w:val="88"/>
    <w:semiHidden/>
    <w:qFormat/>
    <w:uiPriority w:val="0"/>
    <w:pPr>
      <w:spacing w:line="520" w:lineRule="exact"/>
      <w:ind w:firstLine="700" w:firstLineChars="25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single" w:color="000000" w:sz="12" w:space="0"/>
          <w:bottom w:val="nil"/>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8">
    <w:name w:val="Table Grid 8"/>
    <w:basedOn w:val="88"/>
    <w:semiHidden/>
    <w:qFormat/>
    <w:uiPriority w:val="0"/>
    <w:pPr>
      <w:spacing w:line="520" w:lineRule="exact"/>
      <w:ind w:firstLine="700" w:firstLineChars="25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9">
    <w:name w:val="Table Web 1"/>
    <w:basedOn w:val="88"/>
    <w:semiHidden/>
    <w:qFormat/>
    <w:uiPriority w:val="0"/>
    <w:pPr>
      <w:spacing w:line="520" w:lineRule="exact"/>
      <w:ind w:firstLine="700" w:firstLineChars="25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0">
    <w:name w:val="Table Web 2"/>
    <w:basedOn w:val="88"/>
    <w:semiHidden/>
    <w:qFormat/>
    <w:uiPriority w:val="0"/>
    <w:pPr>
      <w:spacing w:line="520" w:lineRule="exact"/>
      <w:ind w:firstLine="700" w:firstLineChars="25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1">
    <w:name w:val="Table Web 3"/>
    <w:basedOn w:val="88"/>
    <w:semiHidden/>
    <w:qFormat/>
    <w:uiPriority w:val="0"/>
    <w:pPr>
      <w:spacing w:line="520" w:lineRule="exact"/>
      <w:ind w:firstLine="700" w:firstLineChars="25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2">
    <w:name w:val="Table Professional"/>
    <w:basedOn w:val="88"/>
    <w:semiHidden/>
    <w:qFormat/>
    <w:uiPriority w:val="0"/>
    <w:pPr>
      <w:spacing w:line="520" w:lineRule="exact"/>
      <w:ind w:firstLine="700" w:firstLineChars="25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134">
    <w:name w:val="Strong"/>
    <w:basedOn w:val="133"/>
    <w:qFormat/>
    <w:uiPriority w:val="0"/>
    <w:rPr>
      <w:b/>
      <w:bCs/>
    </w:rPr>
  </w:style>
  <w:style w:type="character" w:styleId="135">
    <w:name w:val="page number"/>
    <w:qFormat/>
    <w:uiPriority w:val="0"/>
  </w:style>
  <w:style w:type="character" w:styleId="136">
    <w:name w:val="FollowedHyperlink"/>
    <w:qFormat/>
    <w:uiPriority w:val="0"/>
    <w:rPr>
      <w:color w:val="800080"/>
      <w:u w:val="single"/>
    </w:rPr>
  </w:style>
  <w:style w:type="character" w:styleId="137">
    <w:name w:val="Emphasis"/>
    <w:qFormat/>
    <w:uiPriority w:val="0"/>
    <w:rPr>
      <w:i/>
      <w:iCs/>
    </w:rPr>
  </w:style>
  <w:style w:type="character" w:styleId="138">
    <w:name w:val="line number"/>
    <w:semiHidden/>
    <w:qFormat/>
    <w:uiPriority w:val="0"/>
  </w:style>
  <w:style w:type="character" w:styleId="139">
    <w:name w:val="HTML Definition"/>
    <w:semiHidden/>
    <w:qFormat/>
    <w:uiPriority w:val="0"/>
    <w:rPr>
      <w:i/>
      <w:iCs/>
    </w:rPr>
  </w:style>
  <w:style w:type="character" w:styleId="140">
    <w:name w:val="HTML Typewriter"/>
    <w:semiHidden/>
    <w:qFormat/>
    <w:uiPriority w:val="0"/>
    <w:rPr>
      <w:rFonts w:ascii="Courier New" w:hAnsi="Courier New" w:cs="Courier New"/>
      <w:sz w:val="20"/>
      <w:szCs w:val="20"/>
    </w:rPr>
  </w:style>
  <w:style w:type="character" w:styleId="141">
    <w:name w:val="HTML Acronym"/>
    <w:semiHidden/>
    <w:qFormat/>
    <w:uiPriority w:val="0"/>
  </w:style>
  <w:style w:type="character" w:styleId="142">
    <w:name w:val="HTML Variable"/>
    <w:semiHidden/>
    <w:qFormat/>
    <w:uiPriority w:val="0"/>
    <w:rPr>
      <w:i/>
      <w:iCs/>
    </w:rPr>
  </w:style>
  <w:style w:type="character" w:styleId="143">
    <w:name w:val="Hyperlink"/>
    <w:qFormat/>
    <w:uiPriority w:val="99"/>
    <w:rPr>
      <w:color w:val="0000FF"/>
      <w:u w:val="single"/>
    </w:rPr>
  </w:style>
  <w:style w:type="character" w:styleId="144">
    <w:name w:val="HTML Code"/>
    <w:semiHidden/>
    <w:qFormat/>
    <w:uiPriority w:val="0"/>
    <w:rPr>
      <w:rFonts w:ascii="Courier New" w:hAnsi="Courier New" w:cs="Courier New"/>
      <w:sz w:val="20"/>
      <w:szCs w:val="20"/>
    </w:rPr>
  </w:style>
  <w:style w:type="character" w:styleId="145">
    <w:name w:val="annotation reference"/>
    <w:qFormat/>
    <w:uiPriority w:val="0"/>
    <w:rPr>
      <w:sz w:val="21"/>
      <w:szCs w:val="21"/>
    </w:rPr>
  </w:style>
  <w:style w:type="character" w:styleId="146">
    <w:name w:val="HTML Cite"/>
    <w:semiHidden/>
    <w:qFormat/>
    <w:uiPriority w:val="0"/>
    <w:rPr>
      <w:i/>
      <w:iCs/>
    </w:rPr>
  </w:style>
  <w:style w:type="character" w:styleId="147">
    <w:name w:val="HTML Keyboard"/>
    <w:semiHidden/>
    <w:qFormat/>
    <w:uiPriority w:val="0"/>
    <w:rPr>
      <w:rFonts w:ascii="Courier New" w:hAnsi="Courier New" w:cs="Courier New"/>
      <w:sz w:val="20"/>
      <w:szCs w:val="20"/>
    </w:rPr>
  </w:style>
  <w:style w:type="character" w:styleId="148">
    <w:name w:val="HTML Sample"/>
    <w:semiHidden/>
    <w:qFormat/>
    <w:uiPriority w:val="0"/>
    <w:rPr>
      <w:rFonts w:ascii="Courier New" w:hAnsi="Courier New" w:cs="Courier New"/>
    </w:rPr>
  </w:style>
  <w:style w:type="character" w:customStyle="1" w:styleId="149">
    <w:name w:val="标题 2 字符"/>
    <w:link w:val="5"/>
    <w:qFormat/>
    <w:uiPriority w:val="0"/>
    <w:rPr>
      <w:rFonts w:ascii="黑体" w:hAnsi="黑体" w:eastAsia="仿宋_GB2312" w:cs="Arial"/>
      <w:b/>
      <w:bCs/>
      <w:sz w:val="28"/>
      <w:lang w:val="en-US" w:eastAsia="zh-CN" w:bidi="ar-SA"/>
    </w:rPr>
  </w:style>
  <w:style w:type="character" w:customStyle="1" w:styleId="150">
    <w:name w:val="标题 3 字符"/>
    <w:link w:val="6"/>
    <w:qFormat/>
    <w:uiPriority w:val="0"/>
    <w:rPr>
      <w:rFonts w:ascii="Times New Roman" w:hAnsi="Times New Roman" w:eastAsia="仿宋_GB2312"/>
      <w:b/>
      <w:bCs/>
      <w:kern w:val="2"/>
      <w:sz w:val="24"/>
      <w:szCs w:val="28"/>
      <w:lang w:val="en-US" w:eastAsia="zh-CN" w:bidi="ar-SA"/>
    </w:rPr>
  </w:style>
  <w:style w:type="paragraph" w:customStyle="1" w:styleId="151">
    <w:name w:val="正文格式"/>
    <w:basedOn w:val="1"/>
    <w:qFormat/>
    <w:locked/>
    <w:uiPriority w:val="0"/>
    <w:pPr>
      <w:adjustRightInd/>
      <w:spacing w:line="360" w:lineRule="auto"/>
      <w:ind w:firstLine="482"/>
      <w:jc w:val="both"/>
      <w:textAlignment w:val="auto"/>
    </w:pPr>
    <w:rPr>
      <w:rFonts w:ascii="Times New Roman" w:hAnsi="Times New Roman"/>
      <w:kern w:val="2"/>
      <w:sz w:val="24"/>
    </w:rPr>
  </w:style>
  <w:style w:type="paragraph" w:customStyle="1" w:styleId="15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53">
    <w:name w:val="样式 正文11 + 首行缩进:  2 字符"/>
    <w:basedOn w:val="1"/>
    <w:qFormat/>
    <w:uiPriority w:val="0"/>
    <w:pPr>
      <w:spacing w:line="500" w:lineRule="exact"/>
      <w:ind w:firstLine="560"/>
    </w:pPr>
    <w:rPr>
      <w:rFonts w:ascii="宋体" w:hAnsi="宋体" w:cs="宋体"/>
      <w:b/>
      <w:color w:val="FF0000"/>
    </w:rPr>
  </w:style>
  <w:style w:type="character" w:customStyle="1" w:styleId="154">
    <w:name w:val="标题 1 字符"/>
    <w:link w:val="4"/>
    <w:qFormat/>
    <w:uiPriority w:val="0"/>
    <w:rPr>
      <w:rFonts w:ascii="Times New Roman" w:hAnsi="Times New Roman" w:eastAsia="仿宋_GB2312"/>
      <w:b/>
      <w:bCs/>
      <w:kern w:val="44"/>
      <w:sz w:val="30"/>
      <w:szCs w:val="32"/>
      <w:lang w:val="en-US" w:eastAsia="zh-CN" w:bidi="ar-SA"/>
    </w:rPr>
  </w:style>
  <w:style w:type="character" w:customStyle="1" w:styleId="155">
    <w:name w:val="正文缩进 字符"/>
    <w:link w:val="7"/>
    <w:qFormat/>
    <w:uiPriority w:val="0"/>
    <w:rPr>
      <w:rFonts w:eastAsia="宋体"/>
      <w:kern w:val="2"/>
      <w:sz w:val="21"/>
      <w:szCs w:val="24"/>
      <w:lang w:val="en-US" w:eastAsia="zh-CN" w:bidi="ar-SA"/>
    </w:rPr>
  </w:style>
  <w:style w:type="character" w:customStyle="1" w:styleId="156">
    <w:name w:val="标题 4 字符"/>
    <w:link w:val="8"/>
    <w:qFormat/>
    <w:uiPriority w:val="0"/>
    <w:rPr>
      <w:rFonts w:ascii="Arial" w:hAnsi="Arial"/>
      <w:snapToGrid/>
      <w:sz w:val="26"/>
    </w:rPr>
  </w:style>
  <w:style w:type="character" w:customStyle="1" w:styleId="157">
    <w:name w:val="批注文字 字符"/>
    <w:link w:val="29"/>
    <w:qFormat/>
    <w:uiPriority w:val="0"/>
    <w:rPr>
      <w:rFonts w:eastAsia="宋体"/>
      <w:kern w:val="2"/>
      <w:sz w:val="28"/>
      <w:szCs w:val="24"/>
      <w:lang w:val="en-US" w:eastAsia="zh-CN" w:bidi="ar-SA"/>
    </w:rPr>
  </w:style>
  <w:style w:type="character" w:customStyle="1" w:styleId="158">
    <w:name w:val="正文文本 字符"/>
    <w:link w:val="35"/>
    <w:qFormat/>
    <w:uiPriority w:val="0"/>
    <w:rPr>
      <w:rFonts w:eastAsia="宋体"/>
      <w:kern w:val="2"/>
      <w:sz w:val="24"/>
      <w:lang w:val="en-US" w:eastAsia="zh-CN" w:bidi="ar-SA"/>
    </w:rPr>
  </w:style>
  <w:style w:type="character" w:customStyle="1" w:styleId="159">
    <w:name w:val="纯文本 字符"/>
    <w:link w:val="47"/>
    <w:qFormat/>
    <w:uiPriority w:val="0"/>
    <w:rPr>
      <w:rFonts w:ascii="宋体" w:hAnsi="Courier New" w:eastAsia="宋体" w:cs="Courier New"/>
      <w:kern w:val="2"/>
      <w:sz w:val="21"/>
      <w:szCs w:val="21"/>
      <w:lang w:val="en-US" w:eastAsia="zh-CN" w:bidi="ar-SA"/>
    </w:rPr>
  </w:style>
  <w:style w:type="character" w:customStyle="1" w:styleId="160">
    <w:name w:val="页脚 字符"/>
    <w:link w:val="57"/>
    <w:qFormat/>
    <w:uiPriority w:val="99"/>
    <w:rPr>
      <w:kern w:val="2"/>
      <w:sz w:val="18"/>
      <w:szCs w:val="18"/>
    </w:rPr>
  </w:style>
  <w:style w:type="character" w:customStyle="1" w:styleId="161">
    <w:name w:val="标题 字符"/>
    <w:link w:val="84"/>
    <w:qFormat/>
    <w:uiPriority w:val="0"/>
    <w:rPr>
      <w:rFonts w:ascii="Cambria" w:hAnsi="Cambria" w:cs="Times New Roman"/>
      <w:b/>
      <w:bCs/>
      <w:kern w:val="2"/>
      <w:sz w:val="32"/>
      <w:szCs w:val="32"/>
    </w:rPr>
  </w:style>
  <w:style w:type="character" w:customStyle="1" w:styleId="162">
    <w:name w:val="正文小标题 Char"/>
    <w:link w:val="163"/>
    <w:qFormat/>
    <w:uiPriority w:val="0"/>
    <w:rPr>
      <w:rFonts w:ascii="宋体" w:hAnsi="宋体" w:eastAsia="宋体" w:cs="宋体"/>
      <w:kern w:val="2"/>
      <w:sz w:val="28"/>
      <w:lang w:val="en-US" w:eastAsia="zh-CN" w:bidi="ar-SA"/>
    </w:rPr>
  </w:style>
  <w:style w:type="paragraph" w:customStyle="1" w:styleId="163">
    <w:name w:val="正文小标题"/>
    <w:basedOn w:val="164"/>
    <w:link w:val="162"/>
    <w:semiHidden/>
    <w:qFormat/>
    <w:uiPriority w:val="0"/>
    <w:pPr>
      <w:spacing w:line="480" w:lineRule="auto"/>
      <w:ind w:firstLine="0" w:firstLineChars="0"/>
    </w:pPr>
    <w:rPr>
      <w:rFonts w:cs="宋体"/>
    </w:rPr>
  </w:style>
  <w:style w:type="paragraph" w:customStyle="1" w:styleId="164">
    <w:name w:val="样式 正文段落宋体"/>
    <w:basedOn w:val="1"/>
    <w:link w:val="165"/>
    <w:qFormat/>
    <w:uiPriority w:val="0"/>
    <w:pPr>
      <w:ind w:firstLine="560" w:firstLineChars="200"/>
    </w:pPr>
    <w:rPr>
      <w:rFonts w:ascii="宋体" w:hAnsi="宋体"/>
      <w:sz w:val="28"/>
      <w:szCs w:val="20"/>
    </w:rPr>
  </w:style>
  <w:style w:type="character" w:customStyle="1" w:styleId="165">
    <w:name w:val="样式 正文段落宋体 Char"/>
    <w:link w:val="164"/>
    <w:qFormat/>
    <w:uiPriority w:val="0"/>
    <w:rPr>
      <w:rFonts w:ascii="宋体" w:hAnsi="宋体" w:eastAsia="宋体"/>
      <w:kern w:val="2"/>
      <w:sz w:val="28"/>
      <w:lang w:val="en-US" w:eastAsia="zh-CN" w:bidi="ar-SA"/>
    </w:rPr>
  </w:style>
  <w:style w:type="character" w:customStyle="1" w:styleId="166">
    <w:name w:val="27-四级 Char"/>
    <w:link w:val="167"/>
    <w:qFormat/>
    <w:uiPriority w:val="0"/>
    <w:rPr>
      <w:rFonts w:eastAsia="宋体"/>
      <w:kern w:val="2"/>
      <w:sz w:val="28"/>
      <w:szCs w:val="28"/>
      <w:lang w:val="en-US" w:eastAsia="zh-CN" w:bidi="ar-SA"/>
    </w:rPr>
  </w:style>
  <w:style w:type="paragraph" w:customStyle="1" w:styleId="167">
    <w:name w:val="27-四级"/>
    <w:basedOn w:val="1"/>
    <w:link w:val="166"/>
    <w:qFormat/>
    <w:uiPriority w:val="0"/>
    <w:pPr>
      <w:spacing w:line="540" w:lineRule="exact"/>
      <w:outlineLvl w:val="3"/>
    </w:pPr>
    <w:rPr>
      <w:sz w:val="28"/>
      <w:szCs w:val="28"/>
    </w:rPr>
  </w:style>
  <w:style w:type="character" w:customStyle="1" w:styleId="168">
    <w:name w:val="表格字体 Char"/>
    <w:link w:val="169"/>
    <w:qFormat/>
    <w:uiPriority w:val="0"/>
    <w:rPr>
      <w:rFonts w:ascii="Arial" w:hAnsi="Arial"/>
      <w:kern w:val="2"/>
      <w:sz w:val="21"/>
      <w:szCs w:val="21"/>
      <w:lang w:val="en-US" w:eastAsia="zh-CN" w:bidi="ar-SA"/>
    </w:rPr>
  </w:style>
  <w:style w:type="paragraph" w:customStyle="1" w:styleId="169">
    <w:name w:val="表格字体"/>
    <w:next w:val="1"/>
    <w:link w:val="168"/>
    <w:qFormat/>
    <w:uiPriority w:val="0"/>
    <w:pPr>
      <w:jc w:val="center"/>
    </w:pPr>
    <w:rPr>
      <w:rFonts w:ascii="Arial" w:hAnsi="Arial" w:eastAsia="宋体" w:cs="Times New Roman"/>
      <w:kern w:val="2"/>
      <w:sz w:val="21"/>
      <w:szCs w:val="21"/>
      <w:lang w:val="en-US" w:eastAsia="zh-CN" w:bidi="ar-SA"/>
    </w:rPr>
  </w:style>
  <w:style w:type="character" w:customStyle="1" w:styleId="170">
    <w:name w:val="文中文本 Char"/>
    <w:link w:val="171"/>
    <w:qFormat/>
    <w:uiPriority w:val="0"/>
    <w:rPr>
      <w:sz w:val="28"/>
      <w:szCs w:val="24"/>
    </w:rPr>
  </w:style>
  <w:style w:type="paragraph" w:customStyle="1" w:styleId="171">
    <w:name w:val="文中文本"/>
    <w:basedOn w:val="1"/>
    <w:link w:val="170"/>
    <w:qFormat/>
    <w:uiPriority w:val="0"/>
    <w:pPr>
      <w:spacing w:line="360" w:lineRule="auto"/>
      <w:ind w:firstLine="200" w:firstLineChars="200"/>
    </w:pPr>
    <w:rPr>
      <w:kern w:val="0"/>
      <w:sz w:val="28"/>
    </w:rPr>
  </w:style>
  <w:style w:type="character" w:customStyle="1" w:styleId="172">
    <w:name w:val="样式标题 3 Char"/>
    <w:link w:val="173"/>
    <w:qFormat/>
    <w:uiPriority w:val="0"/>
    <w:rPr>
      <w:rFonts w:ascii="宋体" w:hAnsi="宋体" w:eastAsia="宋体"/>
      <w:bCs/>
      <w:kern w:val="2"/>
      <w:sz w:val="28"/>
      <w:szCs w:val="28"/>
      <w:lang w:bidi="ar-SA"/>
    </w:rPr>
  </w:style>
  <w:style w:type="paragraph" w:customStyle="1" w:styleId="173">
    <w:name w:val="样式标题 3"/>
    <w:basedOn w:val="6"/>
    <w:next w:val="1"/>
    <w:link w:val="172"/>
    <w:qFormat/>
    <w:uiPriority w:val="0"/>
    <w:rPr>
      <w:rFonts w:ascii="宋体" w:hAnsi="宋体"/>
      <w:b w:val="0"/>
    </w:rPr>
  </w:style>
  <w:style w:type="character" w:customStyle="1" w:styleId="174">
    <w:name w:val="27-正文 Char Char"/>
    <w:qFormat/>
    <w:uiPriority w:val="0"/>
    <w:rPr>
      <w:rFonts w:eastAsia="宋体"/>
      <w:kern w:val="2"/>
      <w:sz w:val="28"/>
      <w:szCs w:val="28"/>
      <w:lang w:bidi="ar-SA"/>
    </w:rPr>
  </w:style>
  <w:style w:type="character" w:customStyle="1" w:styleId="175">
    <w:name w:val="1-正文 Char"/>
    <w:link w:val="176"/>
    <w:qFormat/>
    <w:uiPriority w:val="0"/>
    <w:rPr>
      <w:rFonts w:eastAsia="宋体"/>
      <w:kern w:val="2"/>
      <w:sz w:val="28"/>
      <w:szCs w:val="28"/>
      <w:lang w:bidi="ar-SA"/>
    </w:rPr>
  </w:style>
  <w:style w:type="paragraph" w:customStyle="1" w:styleId="176">
    <w:name w:val="1-正文"/>
    <w:basedOn w:val="1"/>
    <w:link w:val="175"/>
    <w:qFormat/>
    <w:uiPriority w:val="0"/>
    <w:pPr>
      <w:spacing w:line="360" w:lineRule="auto"/>
      <w:ind w:firstLine="560" w:firstLineChars="200"/>
    </w:pPr>
    <w:rPr>
      <w:sz w:val="28"/>
      <w:szCs w:val="28"/>
    </w:rPr>
  </w:style>
  <w:style w:type="character" w:customStyle="1" w:styleId="177">
    <w:name w:val="fontstyle31"/>
    <w:qFormat/>
    <w:uiPriority w:val="0"/>
    <w:rPr>
      <w:rFonts w:hint="default" w:ascii="TimesNewRomanPSMT" w:hAnsi="TimesNewRomanPSMT"/>
      <w:color w:val="000000"/>
      <w:sz w:val="28"/>
      <w:szCs w:val="28"/>
    </w:rPr>
  </w:style>
  <w:style w:type="character" w:customStyle="1" w:styleId="178">
    <w:name w:val="首行缩进:  2 字符 Char"/>
    <w:link w:val="179"/>
    <w:qFormat/>
    <w:uiPriority w:val="0"/>
    <w:rPr>
      <w:rFonts w:ascii="Calibri" w:hAnsi="Calibri" w:eastAsia="宋体"/>
      <w:sz w:val="28"/>
      <w:lang w:bidi="ar-SA"/>
    </w:rPr>
  </w:style>
  <w:style w:type="paragraph" w:customStyle="1" w:styleId="179">
    <w:name w:val="首行缩进:  2 字符"/>
    <w:basedOn w:val="1"/>
    <w:link w:val="178"/>
    <w:qFormat/>
    <w:uiPriority w:val="0"/>
    <w:pPr>
      <w:adjustRightInd w:val="0"/>
      <w:snapToGrid w:val="0"/>
      <w:spacing w:line="498" w:lineRule="exact"/>
      <w:ind w:firstLine="560" w:firstLineChars="200"/>
      <w:jc w:val="left"/>
    </w:pPr>
    <w:rPr>
      <w:rFonts w:ascii="Calibri" w:hAnsi="Calibri"/>
      <w:kern w:val="0"/>
      <w:sz w:val="28"/>
      <w:szCs w:val="20"/>
    </w:rPr>
  </w:style>
  <w:style w:type="character" w:customStyle="1" w:styleId="180">
    <w:name w:val="正文1 Char Char"/>
    <w:link w:val="181"/>
    <w:qFormat/>
    <w:uiPriority w:val="0"/>
    <w:rPr>
      <w:color w:val="FF0000"/>
      <w:sz w:val="28"/>
      <w:szCs w:val="28"/>
      <w:lang w:val="en-US" w:eastAsia="zh-CN" w:bidi="ar-SA"/>
    </w:rPr>
  </w:style>
  <w:style w:type="paragraph" w:customStyle="1" w:styleId="181">
    <w:name w:val="正文1"/>
    <w:link w:val="180"/>
    <w:qFormat/>
    <w:uiPriority w:val="0"/>
    <w:pPr>
      <w:widowControl w:val="0"/>
      <w:spacing w:line="480" w:lineRule="exact"/>
      <w:ind w:firstLine="560" w:firstLineChars="200"/>
      <w:jc w:val="both"/>
    </w:pPr>
    <w:rPr>
      <w:rFonts w:ascii="Times New Roman" w:hAnsi="Times New Roman" w:eastAsia="宋体" w:cs="Times New Roman"/>
      <w:color w:val="FF0000"/>
      <w:sz w:val="28"/>
      <w:szCs w:val="28"/>
      <w:lang w:val="en-US" w:eastAsia="zh-CN" w:bidi="ar-SA"/>
    </w:rPr>
  </w:style>
  <w:style w:type="character" w:customStyle="1" w:styleId="182">
    <w:name w:val="27-三级 Char"/>
    <w:link w:val="183"/>
    <w:qFormat/>
    <w:uiPriority w:val="0"/>
    <w:rPr>
      <w:rFonts w:eastAsia="宋体"/>
      <w:bCs/>
      <w:kern w:val="2"/>
      <w:sz w:val="28"/>
      <w:szCs w:val="28"/>
      <w:lang w:val="en-US" w:eastAsia="zh-CN" w:bidi="ar-SA"/>
    </w:rPr>
  </w:style>
  <w:style w:type="paragraph" w:customStyle="1" w:styleId="183">
    <w:name w:val="27-三级"/>
    <w:basedOn w:val="1"/>
    <w:link w:val="182"/>
    <w:qFormat/>
    <w:uiPriority w:val="0"/>
    <w:pPr>
      <w:keepNext/>
      <w:keepLines/>
      <w:spacing w:line="520" w:lineRule="exact"/>
      <w:outlineLvl w:val="2"/>
    </w:pPr>
    <w:rPr>
      <w:bCs/>
      <w:sz w:val="28"/>
      <w:szCs w:val="28"/>
    </w:rPr>
  </w:style>
  <w:style w:type="character" w:customStyle="1" w:styleId="184">
    <w:name w:val="报告正文 Char"/>
    <w:link w:val="185"/>
    <w:qFormat/>
    <w:locked/>
    <w:uiPriority w:val="99"/>
    <w:rPr>
      <w:rFonts w:eastAsia="仿宋_GB2312"/>
      <w:sz w:val="24"/>
    </w:rPr>
  </w:style>
  <w:style w:type="paragraph" w:customStyle="1" w:styleId="185">
    <w:name w:val="报告正文"/>
    <w:basedOn w:val="1"/>
    <w:next w:val="1"/>
    <w:link w:val="184"/>
    <w:qFormat/>
    <w:uiPriority w:val="99"/>
    <w:pPr>
      <w:adjustRightInd w:val="0"/>
      <w:spacing w:line="360" w:lineRule="auto"/>
      <w:ind w:firstLine="200" w:firstLineChars="200"/>
      <w:jc w:val="left"/>
      <w:textAlignment w:val="baseline"/>
    </w:pPr>
    <w:rPr>
      <w:rFonts w:eastAsia="仿宋_GB2312"/>
      <w:kern w:val="0"/>
      <w:sz w:val="24"/>
      <w:szCs w:val="20"/>
    </w:rPr>
  </w:style>
  <w:style w:type="character" w:customStyle="1" w:styleId="186">
    <w:name w:val="title_span1"/>
    <w:qFormat/>
    <w:uiPriority w:val="0"/>
    <w:rPr>
      <w:rFonts w:hint="default"/>
      <w:b/>
      <w:bCs/>
      <w:sz w:val="32"/>
      <w:szCs w:val="32"/>
    </w:rPr>
  </w:style>
  <w:style w:type="character" w:customStyle="1" w:styleId="187">
    <w:name w:val="样式 样式 小四 段前: 7.8 磅 段后: 7.8 磅 行距: 1.5 倍行距 + 首行缩进:  2 字符 Char"/>
    <w:link w:val="188"/>
    <w:qFormat/>
    <w:uiPriority w:val="0"/>
    <w:rPr>
      <w:rFonts w:eastAsia="宋体"/>
      <w:kern w:val="2"/>
      <w:sz w:val="28"/>
      <w:szCs w:val="28"/>
      <w:lang w:val="en-US" w:eastAsia="zh-CN" w:bidi="ar-SA"/>
    </w:rPr>
  </w:style>
  <w:style w:type="paragraph" w:customStyle="1" w:styleId="188">
    <w:name w:val="样式 样式 小四 段前: 7.8 磅 段后: 7.8 磅 行距: 1.5 倍行距 + 首行缩进:  2 字符"/>
    <w:basedOn w:val="1"/>
    <w:link w:val="187"/>
    <w:qFormat/>
    <w:uiPriority w:val="0"/>
    <w:pPr>
      <w:spacing w:line="360" w:lineRule="auto"/>
      <w:ind w:firstLine="560" w:firstLineChars="200"/>
    </w:pPr>
    <w:rPr>
      <w:sz w:val="28"/>
      <w:szCs w:val="28"/>
    </w:rPr>
  </w:style>
  <w:style w:type="character" w:customStyle="1" w:styleId="189">
    <w:name w:val="bold size20 gray1 fontsans"/>
    <w:qFormat/>
    <w:uiPriority w:val="0"/>
  </w:style>
  <w:style w:type="character" w:customStyle="1" w:styleId="190">
    <w:name w:val="fontstyle11"/>
    <w:qFormat/>
    <w:uiPriority w:val="0"/>
    <w:rPr>
      <w:rFonts w:hint="default" w:ascii="TimesNewRomanPSMT" w:hAnsi="TimesNewRomanPSMT"/>
      <w:color w:val="000000"/>
      <w:sz w:val="28"/>
      <w:szCs w:val="28"/>
    </w:rPr>
  </w:style>
  <w:style w:type="character" w:customStyle="1" w:styleId="191">
    <w:name w:val="样式3 Char"/>
    <w:link w:val="192"/>
    <w:qFormat/>
    <w:uiPriority w:val="0"/>
    <w:rPr>
      <w:rFonts w:ascii="Arial" w:hAnsi="Arial" w:eastAsia="宋体" w:cs="Arial"/>
      <w:b/>
      <w:bCs/>
      <w:kern w:val="2"/>
      <w:sz w:val="26"/>
      <w:szCs w:val="32"/>
      <w:lang w:val="en-US" w:eastAsia="zh-CN" w:bidi="ar-SA"/>
    </w:rPr>
  </w:style>
  <w:style w:type="paragraph" w:customStyle="1" w:styleId="192">
    <w:name w:val="样式3"/>
    <w:basedOn w:val="1"/>
    <w:link w:val="191"/>
    <w:qFormat/>
    <w:uiPriority w:val="0"/>
    <w:pPr>
      <w:keepNext/>
      <w:keepLines/>
      <w:spacing w:line="500" w:lineRule="exact"/>
      <w:outlineLvl w:val="2"/>
    </w:pPr>
    <w:rPr>
      <w:rFonts w:ascii="Arial" w:hAnsi="Arial" w:cs="Arial"/>
      <w:b/>
      <w:bCs/>
      <w:sz w:val="26"/>
      <w:szCs w:val="32"/>
    </w:rPr>
  </w:style>
  <w:style w:type="character" w:customStyle="1" w:styleId="193">
    <w:name w:val="正文000 Char"/>
    <w:link w:val="194"/>
    <w:qFormat/>
    <w:uiPriority w:val="0"/>
    <w:rPr>
      <w:rFonts w:eastAsia="宋体"/>
      <w:kern w:val="2"/>
      <w:sz w:val="24"/>
      <w:szCs w:val="22"/>
      <w:lang w:val="en-US" w:eastAsia="zh-CN" w:bidi="ar-SA"/>
    </w:rPr>
  </w:style>
  <w:style w:type="paragraph" w:customStyle="1" w:styleId="194">
    <w:name w:val="正文000"/>
    <w:basedOn w:val="1"/>
    <w:link w:val="193"/>
    <w:qFormat/>
    <w:uiPriority w:val="0"/>
    <w:pPr>
      <w:widowControl/>
      <w:spacing w:line="360" w:lineRule="auto"/>
      <w:ind w:firstLine="200" w:firstLineChars="200"/>
    </w:pPr>
    <w:rPr>
      <w:sz w:val="24"/>
      <w:szCs w:val="22"/>
    </w:rPr>
  </w:style>
  <w:style w:type="character" w:customStyle="1" w:styleId="195">
    <w:name w:val="样式 正文段落宋体 Char Char"/>
    <w:qFormat/>
    <w:uiPriority w:val="0"/>
    <w:rPr>
      <w:rFonts w:ascii="宋体" w:hAnsi="宋体" w:eastAsia="宋体"/>
      <w:kern w:val="2"/>
      <w:sz w:val="28"/>
      <w:lang w:val="en-US" w:eastAsia="zh-CN" w:bidi="ar-SA"/>
    </w:rPr>
  </w:style>
  <w:style w:type="character" w:customStyle="1" w:styleId="196">
    <w:name w:val="样式 仿宋_GB2312 四号 Char Char"/>
    <w:link w:val="197"/>
    <w:qFormat/>
    <w:uiPriority w:val="0"/>
    <w:rPr>
      <w:rFonts w:ascii="仿宋_GB2312" w:hAnsi="宋体" w:eastAsia="仿宋_GB2312" w:cs="宋体"/>
      <w:kern w:val="2"/>
      <w:sz w:val="28"/>
      <w:lang w:val="en-US" w:eastAsia="zh-CN" w:bidi="ar-SA"/>
    </w:rPr>
  </w:style>
  <w:style w:type="paragraph" w:customStyle="1" w:styleId="197">
    <w:name w:val="样式 仿宋_GB2312 四号"/>
    <w:basedOn w:val="1"/>
    <w:link w:val="196"/>
    <w:qFormat/>
    <w:uiPriority w:val="0"/>
    <w:pPr>
      <w:ind w:left="210" w:right="210" w:firstLine="560" w:firstLineChars="200"/>
    </w:pPr>
    <w:rPr>
      <w:rFonts w:ascii="仿宋_GB2312" w:hAnsi="宋体" w:eastAsia="仿宋_GB2312" w:cs="宋体"/>
      <w:sz w:val="28"/>
      <w:szCs w:val="20"/>
    </w:rPr>
  </w:style>
  <w:style w:type="character" w:customStyle="1" w:styleId="198">
    <w:name w:val="+正文 Char"/>
    <w:link w:val="199"/>
    <w:qFormat/>
    <w:uiPriority w:val="0"/>
    <w:rPr>
      <w:sz w:val="28"/>
      <w:szCs w:val="28"/>
    </w:rPr>
  </w:style>
  <w:style w:type="paragraph" w:customStyle="1" w:styleId="199">
    <w:name w:val="+正文"/>
    <w:basedOn w:val="1"/>
    <w:link w:val="198"/>
    <w:qFormat/>
    <w:uiPriority w:val="0"/>
    <w:pPr>
      <w:spacing w:line="360" w:lineRule="auto"/>
      <w:ind w:firstLine="200" w:firstLineChars="200"/>
    </w:pPr>
    <w:rPr>
      <w:kern w:val="0"/>
      <w:sz w:val="28"/>
      <w:szCs w:val="28"/>
    </w:rPr>
  </w:style>
  <w:style w:type="character" w:customStyle="1" w:styleId="200">
    <w:name w:val="abstract_item-style-span"/>
    <w:qFormat/>
    <w:uiPriority w:val="0"/>
  </w:style>
  <w:style w:type="character" w:customStyle="1" w:styleId="201">
    <w:name w:val="普通文字 Char Char Char Char Char"/>
    <w:qFormat/>
    <w:uiPriority w:val="0"/>
    <w:rPr>
      <w:rFonts w:ascii="宋体" w:hAnsi="ISOCT" w:eastAsia="宋体"/>
      <w:kern w:val="2"/>
      <w:sz w:val="21"/>
      <w:szCs w:val="21"/>
      <w:lang w:val="en-US" w:eastAsia="zh-CN" w:bidi="ar-SA"/>
    </w:rPr>
  </w:style>
  <w:style w:type="character" w:customStyle="1" w:styleId="202">
    <w:name w:val="表格 宋体 五号 Char"/>
    <w:link w:val="203"/>
    <w:qFormat/>
    <w:uiPriority w:val="0"/>
    <w:rPr>
      <w:rFonts w:ascii="宋体" w:hAnsi="宋体" w:cs="宋体"/>
      <w:sz w:val="21"/>
      <w:szCs w:val="21"/>
    </w:rPr>
  </w:style>
  <w:style w:type="paragraph" w:customStyle="1" w:styleId="203">
    <w:name w:val="表格 宋体 五号"/>
    <w:basedOn w:val="1"/>
    <w:link w:val="202"/>
    <w:qFormat/>
    <w:uiPriority w:val="0"/>
    <w:pPr>
      <w:jc w:val="center"/>
    </w:pPr>
    <w:rPr>
      <w:rFonts w:ascii="宋体" w:hAnsi="宋体"/>
      <w:kern w:val="0"/>
      <w:szCs w:val="21"/>
    </w:rPr>
  </w:style>
  <w:style w:type="character" w:customStyle="1" w:styleId="204">
    <w:name w:val="正文（首行缩进两字） Char2"/>
    <w:qFormat/>
    <w:uiPriority w:val="0"/>
    <w:rPr>
      <w:rFonts w:eastAsia="宋体"/>
      <w:kern w:val="2"/>
      <w:sz w:val="28"/>
      <w:szCs w:val="21"/>
      <w:lang w:val="en-US" w:eastAsia="zh-CN" w:bidi="ar-SA"/>
    </w:rPr>
  </w:style>
  <w:style w:type="character" w:customStyle="1" w:styleId="205">
    <w:name w:val=" Char Char1"/>
    <w:qFormat/>
    <w:uiPriority w:val="0"/>
    <w:rPr>
      <w:rFonts w:hAnsi="Courier New" w:eastAsia="宋体" w:cs="Courier New"/>
      <w:sz w:val="21"/>
      <w:szCs w:val="21"/>
      <w:lang w:val="en-US" w:eastAsia="zh-CN" w:bidi="ar-SA"/>
    </w:rPr>
  </w:style>
  <w:style w:type="character" w:customStyle="1" w:styleId="206">
    <w:name w:val="正文 + 宋体 Char1"/>
    <w:link w:val="207"/>
    <w:qFormat/>
    <w:uiPriority w:val="0"/>
    <w:rPr>
      <w:rFonts w:eastAsia="宋体"/>
      <w:spacing w:val="20"/>
      <w:kern w:val="2"/>
      <w:sz w:val="28"/>
      <w:szCs w:val="24"/>
      <w:lang w:val="en-US" w:eastAsia="zh-CN" w:bidi="ar-SA"/>
    </w:rPr>
  </w:style>
  <w:style w:type="paragraph" w:customStyle="1" w:styleId="207">
    <w:name w:val="正文 + 宋体"/>
    <w:basedOn w:val="1"/>
    <w:link w:val="206"/>
    <w:qFormat/>
    <w:uiPriority w:val="0"/>
    <w:pPr>
      <w:spacing w:line="480" w:lineRule="exact"/>
      <w:ind w:firstLine="640" w:firstLineChars="200"/>
    </w:pPr>
    <w:rPr>
      <w:spacing w:val="20"/>
      <w:sz w:val="28"/>
    </w:rPr>
  </w:style>
  <w:style w:type="character" w:customStyle="1" w:styleId="208">
    <w:name w:val="方案正文 Char"/>
    <w:link w:val="209"/>
    <w:qFormat/>
    <w:uiPriority w:val="0"/>
    <w:rPr>
      <w:rFonts w:eastAsia="宋体"/>
      <w:spacing w:val="14"/>
      <w:kern w:val="2"/>
      <w:sz w:val="24"/>
      <w:szCs w:val="24"/>
      <w:lang w:val="en-US" w:eastAsia="zh-CN" w:bidi="ar-SA"/>
    </w:rPr>
  </w:style>
  <w:style w:type="paragraph" w:customStyle="1" w:styleId="209">
    <w:name w:val="方案正文"/>
    <w:basedOn w:val="1"/>
    <w:link w:val="208"/>
    <w:qFormat/>
    <w:uiPriority w:val="0"/>
    <w:pPr>
      <w:spacing w:before="50" w:beforeLines="50" w:after="50" w:afterLines="50" w:line="360" w:lineRule="auto"/>
      <w:ind w:firstLine="200" w:firstLineChars="200"/>
    </w:pPr>
    <w:rPr>
      <w:spacing w:val="14"/>
      <w:sz w:val="24"/>
    </w:rPr>
  </w:style>
  <w:style w:type="character" w:customStyle="1" w:styleId="210">
    <w:name w:val="font01"/>
    <w:basedOn w:val="133"/>
    <w:qFormat/>
    <w:uiPriority w:val="0"/>
    <w:rPr>
      <w:rFonts w:hint="default" w:ascii="Times New Roman" w:hAnsi="Times New Roman" w:cs="Times New Roman"/>
      <w:color w:val="000000"/>
      <w:sz w:val="21"/>
      <w:szCs w:val="21"/>
      <w:u w:val="none"/>
    </w:rPr>
  </w:style>
  <w:style w:type="character" w:customStyle="1" w:styleId="211">
    <w:name w:val="无间隔 字符"/>
    <w:link w:val="212"/>
    <w:qFormat/>
    <w:uiPriority w:val="0"/>
    <w:rPr>
      <w:rFonts w:ascii="宋体" w:hAnsi="宋体"/>
      <w:kern w:val="2"/>
      <w:sz w:val="24"/>
      <w:szCs w:val="24"/>
      <w:lang w:val="en-US" w:eastAsia="zh-CN" w:bidi="ar-SA"/>
    </w:rPr>
  </w:style>
  <w:style w:type="paragraph" w:styleId="212">
    <w:name w:val="No Spacing"/>
    <w:link w:val="211"/>
    <w:qFormat/>
    <w:uiPriority w:val="0"/>
    <w:pPr>
      <w:widowControl w:val="0"/>
      <w:jc w:val="both"/>
    </w:pPr>
    <w:rPr>
      <w:rFonts w:ascii="宋体" w:hAnsi="宋体" w:eastAsia="宋体" w:cs="Times New Roman"/>
      <w:kern w:val="2"/>
      <w:sz w:val="24"/>
      <w:szCs w:val="24"/>
      <w:lang w:val="en-US" w:eastAsia="zh-CN" w:bidi="ar-SA"/>
    </w:rPr>
  </w:style>
  <w:style w:type="character" w:customStyle="1" w:styleId="213">
    <w:name w:val="Char Char2"/>
    <w:qFormat/>
    <w:uiPriority w:val="0"/>
    <w:rPr>
      <w:rFonts w:eastAsia="宋体"/>
      <w:b/>
      <w:bCs/>
      <w:kern w:val="44"/>
      <w:sz w:val="44"/>
      <w:szCs w:val="44"/>
      <w:lang w:val="en-US" w:eastAsia="zh-CN" w:bidi="ar-SA"/>
    </w:rPr>
  </w:style>
  <w:style w:type="character" w:customStyle="1" w:styleId="214">
    <w:name w:val="DTX-BG Char Char"/>
    <w:link w:val="215"/>
    <w:qFormat/>
    <w:uiPriority w:val="0"/>
    <w:rPr>
      <w:szCs w:val="30"/>
      <w:lang w:val="en-US" w:eastAsia="zh-CN" w:bidi="ar-SA"/>
    </w:rPr>
  </w:style>
  <w:style w:type="paragraph" w:customStyle="1" w:styleId="215">
    <w:name w:val="DTX-BG"/>
    <w:link w:val="214"/>
    <w:qFormat/>
    <w:uiPriority w:val="0"/>
    <w:pPr>
      <w:widowControl w:val="0"/>
      <w:adjustRightInd w:val="0"/>
      <w:snapToGrid w:val="0"/>
      <w:spacing w:line="400" w:lineRule="exact"/>
      <w:jc w:val="center"/>
    </w:pPr>
    <w:rPr>
      <w:rFonts w:ascii="Times New Roman" w:hAnsi="Times New Roman" w:eastAsia="宋体" w:cs="Times New Roman"/>
      <w:szCs w:val="30"/>
      <w:lang w:val="en-US" w:eastAsia="zh-CN" w:bidi="ar-SA"/>
    </w:rPr>
  </w:style>
  <w:style w:type="character" w:customStyle="1" w:styleId="216">
    <w:name w:val="样式 宋体 四号"/>
    <w:qFormat/>
    <w:uiPriority w:val="0"/>
    <w:rPr>
      <w:rFonts w:ascii="Times New Roman" w:hAnsi="Times New Roman"/>
      <w:sz w:val="28"/>
      <w:szCs w:val="28"/>
    </w:rPr>
  </w:style>
  <w:style w:type="character" w:customStyle="1" w:styleId="217">
    <w:name w:val="style91"/>
    <w:qFormat/>
    <w:uiPriority w:val="0"/>
    <w:rPr>
      <w:b/>
      <w:bCs/>
      <w:color w:val="187CC8"/>
    </w:rPr>
  </w:style>
  <w:style w:type="character" w:customStyle="1" w:styleId="218">
    <w:name w:val="p0 Char Char"/>
    <w:link w:val="219"/>
    <w:qFormat/>
    <w:locked/>
    <w:uiPriority w:val="0"/>
    <w:rPr>
      <w:rFonts w:eastAsia="宋体"/>
      <w:sz w:val="21"/>
      <w:szCs w:val="21"/>
      <w:lang w:val="en-US" w:eastAsia="zh-CN" w:bidi="ar-SA"/>
    </w:rPr>
  </w:style>
  <w:style w:type="paragraph" w:customStyle="1" w:styleId="219">
    <w:name w:val="p0"/>
    <w:basedOn w:val="1"/>
    <w:link w:val="218"/>
    <w:qFormat/>
    <w:uiPriority w:val="0"/>
    <w:pPr>
      <w:widowControl/>
    </w:pPr>
    <w:rPr>
      <w:kern w:val="0"/>
      <w:szCs w:val="21"/>
    </w:rPr>
  </w:style>
  <w:style w:type="character" w:customStyle="1" w:styleId="220">
    <w:name w:val="f13-1"/>
    <w:qFormat/>
    <w:uiPriority w:val="0"/>
  </w:style>
  <w:style w:type="character" w:customStyle="1" w:styleId="221">
    <w:name w:val="样式　标题 3　自动设置 Char"/>
    <w:qFormat/>
    <w:uiPriority w:val="0"/>
    <w:rPr>
      <w:rFonts w:eastAsia="宋体"/>
      <w:b/>
      <w:bCs/>
      <w:kern w:val="2"/>
      <w:sz w:val="28"/>
      <w:szCs w:val="28"/>
      <w:lang w:val="en-US" w:eastAsia="zh-CN" w:bidi="ar-SA"/>
    </w:rPr>
  </w:style>
  <w:style w:type="character" w:customStyle="1" w:styleId="222">
    <w:name w:val="样式1 Char"/>
    <w:link w:val="223"/>
    <w:qFormat/>
    <w:uiPriority w:val="0"/>
    <w:rPr>
      <w:rFonts w:eastAsia="宋体"/>
      <w:b/>
      <w:bCs/>
      <w:kern w:val="2"/>
      <w:sz w:val="32"/>
      <w:szCs w:val="28"/>
      <w:lang w:val="en-US" w:eastAsia="zh-CN" w:bidi="ar-SA"/>
    </w:rPr>
  </w:style>
  <w:style w:type="paragraph" w:customStyle="1" w:styleId="223">
    <w:name w:val="样式1"/>
    <w:basedOn w:val="6"/>
    <w:link w:val="222"/>
    <w:qFormat/>
    <w:uiPriority w:val="0"/>
    <w:pPr>
      <w:spacing w:after="120" w:line="500" w:lineRule="exact"/>
    </w:pPr>
    <w:rPr>
      <w:sz w:val="32"/>
    </w:rPr>
  </w:style>
  <w:style w:type="character" w:customStyle="1" w:styleId="224">
    <w:name w:val="title"/>
    <w:qFormat/>
    <w:uiPriority w:val="0"/>
  </w:style>
  <w:style w:type="character" w:customStyle="1" w:styleId="225">
    <w:name w:val="无间隔 Char Char"/>
    <w:qFormat/>
    <w:uiPriority w:val="0"/>
    <w:rPr>
      <w:rFonts w:ascii="Calibri" w:hAnsi="Calibri"/>
      <w:sz w:val="28"/>
      <w:szCs w:val="32"/>
      <w:lang w:eastAsia="en-US" w:bidi="en-US"/>
    </w:rPr>
  </w:style>
  <w:style w:type="character" w:customStyle="1" w:styleId="226">
    <w:name w:val="楷体样式 正文文本 Char"/>
    <w:link w:val="227"/>
    <w:qFormat/>
    <w:uiPriority w:val="0"/>
    <w:rPr>
      <w:rFonts w:eastAsia="楷体_GB2312"/>
      <w:kern w:val="2"/>
      <w:sz w:val="28"/>
    </w:rPr>
  </w:style>
  <w:style w:type="paragraph" w:customStyle="1" w:styleId="227">
    <w:name w:val="楷体样式 正文文本"/>
    <w:basedOn w:val="1"/>
    <w:link w:val="226"/>
    <w:qFormat/>
    <w:uiPriority w:val="0"/>
    <w:pPr>
      <w:snapToGrid w:val="0"/>
      <w:spacing w:line="360" w:lineRule="auto"/>
      <w:ind w:firstLine="560" w:firstLineChars="200"/>
    </w:pPr>
    <w:rPr>
      <w:rFonts w:eastAsia="楷体_GB2312"/>
      <w:sz w:val="28"/>
      <w:szCs w:val="20"/>
    </w:rPr>
  </w:style>
  <w:style w:type="character" w:customStyle="1" w:styleId="228">
    <w:name w:val="节标题 Char Char"/>
    <w:qFormat/>
    <w:uiPriority w:val="0"/>
    <w:rPr>
      <w:rFonts w:ascii="Arial" w:hAnsi="Arial" w:eastAsia="黑体"/>
      <w:bCs/>
      <w:kern w:val="2"/>
      <w:sz w:val="32"/>
      <w:szCs w:val="32"/>
      <w:lang w:val="en-US" w:eastAsia="zh-CN" w:bidi="ar-SA"/>
    </w:rPr>
  </w:style>
  <w:style w:type="character" w:customStyle="1" w:styleId="229">
    <w:name w:val="apple-converted-space"/>
    <w:qFormat/>
    <w:uiPriority w:val="0"/>
  </w:style>
  <w:style w:type="character" w:customStyle="1" w:styleId="230">
    <w:name w:val="正文部分 Char"/>
    <w:link w:val="231"/>
    <w:qFormat/>
    <w:uiPriority w:val="0"/>
    <w:rPr>
      <w:rFonts w:ascii="宋体" w:hAnsi="宋体" w:eastAsia="宋体" w:cs="宋体"/>
      <w:bCs/>
      <w:sz w:val="28"/>
      <w:szCs w:val="32"/>
      <w:lang w:val="en-US" w:eastAsia="zh-CN" w:bidi="ar-SA"/>
    </w:rPr>
  </w:style>
  <w:style w:type="paragraph" w:customStyle="1" w:styleId="231">
    <w:name w:val="正文部分"/>
    <w:basedOn w:val="1"/>
    <w:link w:val="230"/>
    <w:qFormat/>
    <w:uiPriority w:val="0"/>
    <w:pPr>
      <w:spacing w:line="500" w:lineRule="exact"/>
      <w:ind w:firstLine="200" w:firstLineChars="200"/>
      <w:jc w:val="left"/>
    </w:pPr>
    <w:rPr>
      <w:rFonts w:ascii="宋体" w:hAnsi="宋体" w:cs="宋体"/>
      <w:bCs/>
      <w:kern w:val="0"/>
      <w:sz w:val="28"/>
      <w:szCs w:val="32"/>
    </w:rPr>
  </w:style>
  <w:style w:type="character" w:customStyle="1" w:styleId="232">
    <w:name w:val="fontstyle01"/>
    <w:qFormat/>
    <w:uiPriority w:val="0"/>
    <w:rPr>
      <w:rFonts w:hint="default" w:ascii="TimesNewRomanPSMT" w:hAnsi="TimesNewRomanPSMT"/>
      <w:color w:val="000000"/>
      <w:sz w:val="28"/>
      <w:szCs w:val="28"/>
    </w:rPr>
  </w:style>
  <w:style w:type="character" w:customStyle="1" w:styleId="233">
    <w:name w:val="正文 Char"/>
    <w:qFormat/>
    <w:uiPriority w:val="0"/>
    <w:rPr>
      <w:kern w:val="2"/>
      <w:sz w:val="28"/>
      <w:szCs w:val="28"/>
    </w:rPr>
  </w:style>
  <w:style w:type="character" w:customStyle="1" w:styleId="234">
    <w:name w:val="style12"/>
    <w:qFormat/>
    <w:uiPriority w:val="0"/>
  </w:style>
  <w:style w:type="character" w:customStyle="1" w:styleId="235">
    <w:name w:val=" Char Char47"/>
    <w:qFormat/>
    <w:uiPriority w:val="0"/>
    <w:rPr>
      <w:kern w:val="2"/>
      <w:sz w:val="21"/>
      <w:szCs w:val="24"/>
    </w:rPr>
  </w:style>
  <w:style w:type="character" w:customStyle="1" w:styleId="236">
    <w:name w:val="纯文本 Char Char Char Char"/>
    <w:qFormat/>
    <w:uiPriority w:val="0"/>
    <w:rPr>
      <w:rFonts w:ascii="宋体" w:hAnsi="Courier New" w:eastAsia="宋体" w:cs="Courier New"/>
      <w:bCs/>
      <w:iCs/>
      <w:kern w:val="2"/>
      <w:sz w:val="21"/>
      <w:szCs w:val="21"/>
      <w:lang w:val="en-US" w:eastAsia="zh-CN" w:bidi="ar-SA"/>
    </w:rPr>
  </w:style>
  <w:style w:type="character" w:customStyle="1" w:styleId="237">
    <w:name w:val="表号 Char1"/>
    <w:link w:val="238"/>
    <w:qFormat/>
    <w:uiPriority w:val="0"/>
    <w:rPr>
      <w:rFonts w:eastAsia="宋体"/>
      <w:kern w:val="32"/>
      <w:sz w:val="24"/>
      <w:lang w:val="en-US" w:eastAsia="zh-CN" w:bidi="ar-SA"/>
    </w:rPr>
  </w:style>
  <w:style w:type="paragraph" w:customStyle="1" w:styleId="238">
    <w:name w:val="表号"/>
    <w:basedOn w:val="239"/>
    <w:link w:val="237"/>
    <w:qFormat/>
    <w:uiPriority w:val="0"/>
    <w:pPr>
      <w:widowControl w:val="0"/>
      <w:adjustRightInd/>
      <w:spacing w:line="240" w:lineRule="auto"/>
      <w:jc w:val="both"/>
    </w:pPr>
    <w:rPr>
      <w:rFonts w:ascii="Times New Roman" w:hAnsi="Times New Roman"/>
      <w:b w:val="0"/>
      <w:kern w:val="32"/>
    </w:rPr>
  </w:style>
  <w:style w:type="paragraph" w:customStyle="1" w:styleId="239">
    <w:name w:val="表头"/>
    <w:next w:val="1"/>
    <w:link w:val="240"/>
    <w:qFormat/>
    <w:uiPriority w:val="0"/>
    <w:pPr>
      <w:adjustRightInd w:val="0"/>
      <w:snapToGrid w:val="0"/>
      <w:spacing w:line="360" w:lineRule="auto"/>
      <w:jc w:val="center"/>
    </w:pPr>
    <w:rPr>
      <w:rFonts w:ascii="Arial" w:hAnsi="Arial" w:eastAsia="宋体" w:cs="Times New Roman"/>
      <w:b/>
      <w:sz w:val="24"/>
      <w:lang w:val="en-US" w:eastAsia="zh-CN" w:bidi="ar-SA"/>
    </w:rPr>
  </w:style>
  <w:style w:type="character" w:customStyle="1" w:styleId="240">
    <w:name w:val="表头 Char"/>
    <w:link w:val="239"/>
    <w:qFormat/>
    <w:uiPriority w:val="0"/>
    <w:rPr>
      <w:rFonts w:ascii="Arial" w:hAnsi="Arial"/>
      <w:b/>
      <w:sz w:val="24"/>
      <w:lang w:val="en-US" w:eastAsia="zh-CN" w:bidi="ar-SA"/>
    </w:rPr>
  </w:style>
  <w:style w:type="character" w:customStyle="1" w:styleId="241">
    <w:name w:val="正文11 Char"/>
    <w:link w:val="242"/>
    <w:qFormat/>
    <w:uiPriority w:val="0"/>
    <w:rPr>
      <w:rFonts w:ascii="宋体" w:hAnsi="宋体" w:eastAsia="宋体"/>
      <w:kern w:val="2"/>
      <w:sz w:val="28"/>
      <w:szCs w:val="22"/>
      <w:lang w:val="en-US" w:eastAsia="zh-CN" w:bidi="ar-SA"/>
    </w:rPr>
  </w:style>
  <w:style w:type="paragraph" w:customStyle="1" w:styleId="242">
    <w:name w:val="正文11"/>
    <w:basedOn w:val="1"/>
    <w:link w:val="241"/>
    <w:qFormat/>
    <w:uiPriority w:val="0"/>
    <w:pPr>
      <w:spacing w:line="480" w:lineRule="exact"/>
      <w:ind w:firstLine="200" w:firstLineChars="200"/>
    </w:pPr>
    <w:rPr>
      <w:rFonts w:ascii="宋体" w:hAnsi="宋体"/>
      <w:sz w:val="28"/>
      <w:szCs w:val="22"/>
    </w:rPr>
  </w:style>
  <w:style w:type="character" w:customStyle="1" w:styleId="243">
    <w:name w:val="表正文 Char1 Char Char Char"/>
    <w:qFormat/>
    <w:uiPriority w:val="0"/>
    <w:rPr>
      <w:rFonts w:eastAsia="宋体"/>
      <w:sz w:val="28"/>
      <w:lang w:val="en-US" w:eastAsia="zh-CN" w:bidi="ar-SA"/>
    </w:rPr>
  </w:style>
  <w:style w:type="character" w:customStyle="1" w:styleId="244">
    <w:name w:val="样式 黑色"/>
    <w:qFormat/>
    <w:uiPriority w:val="0"/>
    <w:rPr>
      <w:rFonts w:eastAsia="宋体"/>
      <w:color w:val="auto"/>
      <w:sz w:val="28"/>
      <w:szCs w:val="28"/>
    </w:rPr>
  </w:style>
  <w:style w:type="character" w:customStyle="1" w:styleId="245">
    <w:name w:val="textcontents"/>
    <w:qFormat/>
    <w:uiPriority w:val="0"/>
  </w:style>
  <w:style w:type="character" w:customStyle="1" w:styleId="246">
    <w:name w:val="标准正文 Char Char"/>
    <w:link w:val="247"/>
    <w:qFormat/>
    <w:uiPriority w:val="0"/>
    <w:rPr>
      <w:rFonts w:eastAsia="宋体" w:cs="宋体"/>
      <w:kern w:val="2"/>
      <w:sz w:val="28"/>
      <w:lang w:val="en-US" w:eastAsia="zh-CN" w:bidi="ar-SA"/>
    </w:rPr>
  </w:style>
  <w:style w:type="paragraph" w:customStyle="1" w:styleId="247">
    <w:name w:val="标准正文"/>
    <w:basedOn w:val="1"/>
    <w:link w:val="246"/>
    <w:qFormat/>
    <w:uiPriority w:val="0"/>
    <w:pPr>
      <w:spacing w:line="360" w:lineRule="auto"/>
      <w:ind w:firstLine="600" w:firstLineChars="200"/>
    </w:pPr>
    <w:rPr>
      <w:rFonts w:cs="宋体"/>
      <w:sz w:val="28"/>
      <w:szCs w:val="20"/>
    </w:rPr>
  </w:style>
  <w:style w:type="character" w:customStyle="1" w:styleId="248">
    <w:name w:val="正文文本 Char"/>
    <w:qFormat/>
    <w:uiPriority w:val="0"/>
    <w:rPr>
      <w:rFonts w:eastAsia="宋体"/>
      <w:kern w:val="2"/>
      <w:sz w:val="28"/>
      <w:szCs w:val="24"/>
      <w:lang w:val="en-US" w:eastAsia="zh-CN" w:bidi="ar-SA"/>
    </w:rPr>
  </w:style>
  <w:style w:type="character" w:customStyle="1" w:styleId="249">
    <w:name w:val="style21"/>
    <w:qFormat/>
    <w:uiPriority w:val="0"/>
    <w:rPr>
      <w:color w:val="333333"/>
    </w:rPr>
  </w:style>
  <w:style w:type="character" w:customStyle="1" w:styleId="250">
    <w:name w:val="DTX-WZ Char"/>
    <w:link w:val="251"/>
    <w:qFormat/>
    <w:uiPriority w:val="0"/>
    <w:rPr>
      <w:sz w:val="24"/>
      <w:szCs w:val="30"/>
      <w:lang w:val="en-US" w:eastAsia="zh-CN" w:bidi="ar-SA"/>
    </w:rPr>
  </w:style>
  <w:style w:type="paragraph" w:customStyle="1" w:styleId="251">
    <w:name w:val="DTX-WZ"/>
    <w:link w:val="250"/>
    <w:qFormat/>
    <w:uiPriority w:val="0"/>
    <w:pPr>
      <w:widowControl w:val="0"/>
      <w:adjustRightInd w:val="0"/>
      <w:snapToGrid w:val="0"/>
      <w:spacing w:line="500" w:lineRule="exact"/>
      <w:ind w:firstLine="200" w:firstLineChars="200"/>
      <w:jc w:val="both"/>
    </w:pPr>
    <w:rPr>
      <w:rFonts w:ascii="Times New Roman" w:hAnsi="Times New Roman" w:eastAsia="宋体" w:cs="Times New Roman"/>
      <w:sz w:val="24"/>
      <w:szCs w:val="30"/>
      <w:lang w:val="en-US" w:eastAsia="zh-CN" w:bidi="ar-SA"/>
    </w:rPr>
  </w:style>
  <w:style w:type="character" w:customStyle="1" w:styleId="252">
    <w:name w:val="welcomeu2"/>
    <w:qFormat/>
    <w:uiPriority w:val="0"/>
    <w:rPr>
      <w:color w:val="555555"/>
    </w:rPr>
  </w:style>
  <w:style w:type="character" w:customStyle="1" w:styleId="253">
    <w:name w:val="正文（首行缩进两字） Char"/>
    <w:link w:val="254"/>
    <w:qFormat/>
    <w:uiPriority w:val="0"/>
    <w:rPr>
      <w:rFonts w:eastAsia="宋体"/>
      <w:kern w:val="2"/>
      <w:sz w:val="21"/>
      <w:szCs w:val="21"/>
      <w:lang w:val="en-US" w:eastAsia="zh-CN" w:bidi="ar-SA"/>
    </w:rPr>
  </w:style>
  <w:style w:type="paragraph" w:customStyle="1" w:styleId="254">
    <w:name w:val="正文（首行缩进两字）"/>
    <w:basedOn w:val="1"/>
    <w:link w:val="253"/>
    <w:qFormat/>
    <w:uiPriority w:val="0"/>
    <w:rPr>
      <w:szCs w:val="21"/>
    </w:rPr>
  </w:style>
  <w:style w:type="character" w:customStyle="1" w:styleId="255">
    <w:name w:val="Section Char"/>
    <w:qFormat/>
    <w:uiPriority w:val="0"/>
    <w:rPr>
      <w:rFonts w:eastAsia="宋体"/>
      <w:b/>
      <w:bCs/>
      <w:kern w:val="2"/>
      <w:sz w:val="32"/>
      <w:szCs w:val="32"/>
      <w:lang w:val="en-US" w:eastAsia="zh-CN" w:bidi="ar-SA"/>
    </w:rPr>
  </w:style>
  <w:style w:type="character" w:customStyle="1" w:styleId="256">
    <w:name w:val="样式 首行缩进:  2 字符2 Char"/>
    <w:link w:val="257"/>
    <w:qFormat/>
    <w:uiPriority w:val="0"/>
    <w:rPr>
      <w:rFonts w:eastAsia="宋体" w:cs="宋体"/>
      <w:kern w:val="2"/>
      <w:sz w:val="28"/>
      <w:lang w:val="en-US" w:eastAsia="zh-CN" w:bidi="ar-SA"/>
    </w:rPr>
  </w:style>
  <w:style w:type="paragraph" w:customStyle="1" w:styleId="257">
    <w:name w:val="样式 首行缩进:  2 字符2"/>
    <w:basedOn w:val="1"/>
    <w:link w:val="256"/>
    <w:qFormat/>
    <w:uiPriority w:val="0"/>
    <w:pPr>
      <w:snapToGrid w:val="0"/>
      <w:spacing w:line="300" w:lineRule="auto"/>
      <w:ind w:firstLine="200" w:firstLineChars="200"/>
      <w:jc w:val="left"/>
    </w:pPr>
    <w:rPr>
      <w:rFonts w:cs="宋体"/>
      <w:sz w:val="28"/>
      <w:szCs w:val="20"/>
    </w:rPr>
  </w:style>
  <w:style w:type="character" w:customStyle="1" w:styleId="258">
    <w:name w:val="[1]正文 Char"/>
    <w:qFormat/>
    <w:uiPriority w:val="0"/>
    <w:rPr>
      <w:sz w:val="28"/>
      <w:szCs w:val="28"/>
    </w:rPr>
  </w:style>
  <w:style w:type="character" w:customStyle="1" w:styleId="259">
    <w:name w:val="16"/>
    <w:qFormat/>
    <w:uiPriority w:val="0"/>
    <w:rPr>
      <w:rFonts w:ascii="Times New Roman" w:hAnsi="Times New Roman" w:cs="Times New Roman"/>
    </w:rPr>
  </w:style>
  <w:style w:type="character" w:customStyle="1" w:styleId="260">
    <w:name w:val="样式 小标题 Char"/>
    <w:link w:val="261"/>
    <w:qFormat/>
    <w:uiPriority w:val="0"/>
    <w:rPr>
      <w:rFonts w:ascii="宋体" w:hAnsi="宋体" w:eastAsia="宋体" w:cs="宋体"/>
      <w:kern w:val="2"/>
      <w:sz w:val="28"/>
      <w:lang w:val="en-US" w:eastAsia="zh-CN" w:bidi="ar-SA"/>
    </w:rPr>
  </w:style>
  <w:style w:type="paragraph" w:customStyle="1" w:styleId="261">
    <w:name w:val="样式 小标题"/>
    <w:basedOn w:val="1"/>
    <w:link w:val="260"/>
    <w:qFormat/>
    <w:uiPriority w:val="0"/>
    <w:pPr>
      <w:spacing w:line="480" w:lineRule="auto"/>
    </w:pPr>
    <w:rPr>
      <w:rFonts w:ascii="宋体" w:hAnsi="宋体" w:cs="宋体"/>
      <w:sz w:val="28"/>
      <w:szCs w:val="20"/>
    </w:rPr>
  </w:style>
  <w:style w:type="character" w:customStyle="1" w:styleId="262">
    <w:name w:val="表格正文 Char"/>
    <w:link w:val="263"/>
    <w:qFormat/>
    <w:uiPriority w:val="0"/>
    <w:rPr>
      <w:rFonts w:eastAsia="宋体"/>
      <w:color w:val="000000"/>
      <w:kern w:val="2"/>
      <w:sz w:val="21"/>
      <w:szCs w:val="21"/>
      <w:lang w:val="en-US" w:eastAsia="zh-CN" w:bidi="ar-SA"/>
    </w:rPr>
  </w:style>
  <w:style w:type="paragraph" w:customStyle="1" w:styleId="263">
    <w:name w:val="表格正文"/>
    <w:basedOn w:val="1"/>
    <w:link w:val="262"/>
    <w:qFormat/>
    <w:uiPriority w:val="0"/>
    <w:pPr>
      <w:keepNext/>
      <w:jc w:val="center"/>
    </w:pPr>
    <w:rPr>
      <w:color w:val="000000"/>
      <w:szCs w:val="21"/>
    </w:rPr>
  </w:style>
  <w:style w:type="character" w:customStyle="1" w:styleId="264">
    <w:name w:val="DTX-04 Char Char"/>
    <w:link w:val="265"/>
    <w:qFormat/>
    <w:uiPriority w:val="0"/>
    <w:rPr>
      <w:rFonts w:eastAsia="黑体"/>
      <w:b/>
      <w:bCs/>
      <w:sz w:val="24"/>
      <w:szCs w:val="24"/>
      <w:lang w:val="en-US" w:eastAsia="zh-CN" w:bidi="ar-SA"/>
    </w:rPr>
  </w:style>
  <w:style w:type="paragraph" w:customStyle="1" w:styleId="265">
    <w:name w:val="DTX-04"/>
    <w:link w:val="264"/>
    <w:qFormat/>
    <w:uiPriority w:val="0"/>
    <w:pPr>
      <w:spacing w:line="540" w:lineRule="exact"/>
      <w:jc w:val="both"/>
      <w:outlineLvl w:val="3"/>
    </w:pPr>
    <w:rPr>
      <w:rFonts w:ascii="Times New Roman" w:hAnsi="Times New Roman" w:eastAsia="黑体" w:cs="Times New Roman"/>
      <w:b/>
      <w:bCs/>
      <w:sz w:val="24"/>
      <w:szCs w:val="24"/>
      <w:lang w:val="en-US" w:eastAsia="zh-CN" w:bidi="ar-SA"/>
    </w:rPr>
  </w:style>
  <w:style w:type="character" w:customStyle="1" w:styleId="266">
    <w:name w:val="表格文字 Char Char"/>
    <w:link w:val="267"/>
    <w:qFormat/>
    <w:uiPriority w:val="0"/>
    <w:rPr>
      <w:rFonts w:ascii="宋体" w:hAnsi="宋体"/>
      <w:sz w:val="21"/>
      <w:lang w:val="en-US" w:eastAsia="zh-CN" w:bidi="ar-SA"/>
    </w:rPr>
  </w:style>
  <w:style w:type="paragraph" w:customStyle="1" w:styleId="267">
    <w:name w:val="表格文字"/>
    <w:link w:val="266"/>
    <w:qFormat/>
    <w:uiPriority w:val="0"/>
    <w:pPr>
      <w:snapToGrid w:val="0"/>
    </w:pPr>
    <w:rPr>
      <w:rFonts w:ascii="宋体" w:hAnsi="宋体" w:eastAsia="宋体" w:cs="Times New Roman"/>
      <w:sz w:val="21"/>
      <w:lang w:val="en-US" w:eastAsia="zh-CN" w:bidi="ar-SA"/>
    </w:rPr>
  </w:style>
  <w:style w:type="character" w:customStyle="1" w:styleId="268">
    <w:name w:val="样式 宋体 四号 黑色 两端对齐 首行缩进:  2 字符 Char"/>
    <w:link w:val="269"/>
    <w:qFormat/>
    <w:uiPriority w:val="0"/>
    <w:rPr>
      <w:rFonts w:cs="宋体"/>
      <w:color w:val="000000"/>
      <w:sz w:val="28"/>
      <w:szCs w:val="28"/>
    </w:rPr>
  </w:style>
  <w:style w:type="paragraph" w:customStyle="1" w:styleId="269">
    <w:name w:val="样式 宋体 四号 黑色 两端对齐 首行缩进:  2 字符"/>
    <w:basedOn w:val="1"/>
    <w:link w:val="268"/>
    <w:qFormat/>
    <w:uiPriority w:val="0"/>
    <w:pPr>
      <w:widowControl/>
      <w:ind w:firstLine="650" w:firstLineChars="200"/>
    </w:pPr>
    <w:rPr>
      <w:color w:val="000000"/>
      <w:kern w:val="0"/>
      <w:sz w:val="28"/>
      <w:szCs w:val="28"/>
    </w:rPr>
  </w:style>
  <w:style w:type="character" w:customStyle="1" w:styleId="270">
    <w:name w:val="fontstyle21"/>
    <w:qFormat/>
    <w:uiPriority w:val="0"/>
    <w:rPr>
      <w:rFonts w:hint="default" w:ascii="TimesNewRomanPSMT" w:hAnsi="TimesNewRomanPSMT"/>
      <w:color w:val="000000"/>
      <w:sz w:val="28"/>
      <w:szCs w:val="28"/>
    </w:rPr>
  </w:style>
  <w:style w:type="character" w:customStyle="1" w:styleId="271">
    <w:name w:val="表格表头 Char"/>
    <w:link w:val="272"/>
    <w:qFormat/>
    <w:uiPriority w:val="0"/>
    <w:rPr>
      <w:rFonts w:eastAsia="宋体" w:cs="宋体"/>
      <w:b/>
      <w:bCs/>
      <w:kern w:val="2"/>
      <w:sz w:val="21"/>
      <w:lang w:val="en-US" w:eastAsia="zh-CN" w:bidi="ar-SA"/>
    </w:rPr>
  </w:style>
  <w:style w:type="paragraph" w:customStyle="1" w:styleId="272">
    <w:name w:val="表格表头"/>
    <w:basedOn w:val="1"/>
    <w:link w:val="271"/>
    <w:qFormat/>
    <w:uiPriority w:val="0"/>
    <w:pPr>
      <w:jc w:val="center"/>
    </w:pPr>
    <w:rPr>
      <w:rFonts w:cs="宋体"/>
      <w:b/>
      <w:bCs/>
      <w:szCs w:val="20"/>
    </w:rPr>
  </w:style>
  <w:style w:type="character" w:customStyle="1" w:styleId="273">
    <w:name w:val="Re-表头 Char"/>
    <w:link w:val="274"/>
    <w:qFormat/>
    <w:uiPriority w:val="4"/>
    <w:rPr>
      <w:sz w:val="24"/>
      <w:szCs w:val="22"/>
      <w:lang w:eastAsia="en-US"/>
    </w:rPr>
  </w:style>
  <w:style w:type="paragraph" w:customStyle="1" w:styleId="274">
    <w:name w:val="Re-表头"/>
    <w:basedOn w:val="1"/>
    <w:link w:val="273"/>
    <w:qFormat/>
    <w:uiPriority w:val="4"/>
    <w:pPr>
      <w:jc w:val="center"/>
    </w:pPr>
    <w:rPr>
      <w:kern w:val="0"/>
      <w:sz w:val="24"/>
      <w:szCs w:val="22"/>
      <w:lang w:eastAsia="en-US"/>
    </w:rPr>
  </w:style>
  <w:style w:type="character" w:customStyle="1" w:styleId="275">
    <w:name w:val="样式 宋体 四号2 Char Char"/>
    <w:link w:val="276"/>
    <w:qFormat/>
    <w:uiPriority w:val="0"/>
    <w:rPr>
      <w:rFonts w:ascii="宋体" w:hAnsi="宋体" w:eastAsia="宋体" w:cs="宋体"/>
      <w:kern w:val="2"/>
      <w:sz w:val="28"/>
      <w:lang w:val="en-US" w:eastAsia="zh-CN" w:bidi="ar-SA"/>
    </w:rPr>
  </w:style>
  <w:style w:type="paragraph" w:customStyle="1" w:styleId="276">
    <w:name w:val="样式 宋体 四号2"/>
    <w:basedOn w:val="1"/>
    <w:link w:val="275"/>
    <w:qFormat/>
    <w:uiPriority w:val="0"/>
    <w:pPr>
      <w:spacing w:line="520" w:lineRule="exact"/>
      <w:ind w:firstLine="200" w:firstLineChars="200"/>
    </w:pPr>
    <w:rPr>
      <w:rFonts w:ascii="宋体" w:hAnsi="宋体" w:cs="宋体"/>
      <w:sz w:val="28"/>
      <w:szCs w:val="20"/>
    </w:rPr>
  </w:style>
  <w:style w:type="character" w:customStyle="1" w:styleId="277">
    <w:name w:val="表头 Char Char"/>
    <w:qFormat/>
    <w:uiPriority w:val="0"/>
    <w:rPr>
      <w:rFonts w:eastAsia="宋体"/>
      <w:b/>
      <w:kern w:val="2"/>
      <w:sz w:val="24"/>
      <w:szCs w:val="24"/>
      <w:lang w:val="en-US" w:eastAsia="zh-CN" w:bidi="ar-SA"/>
    </w:rPr>
  </w:style>
  <w:style w:type="character" w:customStyle="1" w:styleId="278">
    <w:name w:val="表 Char"/>
    <w:link w:val="279"/>
    <w:qFormat/>
    <w:uiPriority w:val="0"/>
    <w:rPr>
      <w:rFonts w:ascii="Calibri" w:hAnsi="Calibri" w:eastAsia="宋体"/>
      <w:kern w:val="2"/>
      <w:sz w:val="24"/>
      <w:szCs w:val="22"/>
      <w:lang w:val="en-US" w:eastAsia="zh-CN" w:bidi="ar-SA"/>
    </w:rPr>
  </w:style>
  <w:style w:type="paragraph" w:customStyle="1" w:styleId="279">
    <w:name w:val="表"/>
    <w:basedOn w:val="1"/>
    <w:link w:val="278"/>
    <w:qFormat/>
    <w:uiPriority w:val="0"/>
    <w:pPr>
      <w:jc w:val="center"/>
    </w:pPr>
    <w:rPr>
      <w:rFonts w:ascii="Calibri" w:hAnsi="Calibri"/>
      <w:sz w:val="24"/>
      <w:szCs w:val="22"/>
    </w:rPr>
  </w:style>
  <w:style w:type="character" w:customStyle="1" w:styleId="280">
    <w:name w:val="正文(首行缩进2字） Char"/>
    <w:link w:val="281"/>
    <w:qFormat/>
    <w:uiPriority w:val="0"/>
    <w:rPr>
      <w:rFonts w:ascii="Arial" w:hAnsi="Arial" w:eastAsia="宋体" w:cs="Arial"/>
      <w:kern w:val="2"/>
      <w:sz w:val="24"/>
      <w:szCs w:val="24"/>
      <w:lang w:val="en-US" w:eastAsia="zh-CN" w:bidi="ar-SA"/>
    </w:rPr>
  </w:style>
  <w:style w:type="paragraph" w:customStyle="1" w:styleId="281">
    <w:name w:val="正文(首行缩进2字）"/>
    <w:basedOn w:val="1"/>
    <w:link w:val="280"/>
    <w:qFormat/>
    <w:uiPriority w:val="0"/>
    <w:pPr>
      <w:spacing w:line="480" w:lineRule="exact"/>
      <w:ind w:firstLine="200" w:firstLineChars="200"/>
    </w:pPr>
    <w:rPr>
      <w:rFonts w:ascii="Arial" w:hAnsi="Arial" w:cs="Arial"/>
      <w:sz w:val="24"/>
    </w:rPr>
  </w:style>
  <w:style w:type="character" w:customStyle="1" w:styleId="282">
    <w:name w:val="表格文字 Char1"/>
    <w:qFormat/>
    <w:uiPriority w:val="0"/>
    <w:rPr>
      <w:sz w:val="21"/>
      <w:lang w:val="en-US" w:eastAsia="zh-CN" w:bidi="ar-SA"/>
    </w:rPr>
  </w:style>
  <w:style w:type="character" w:customStyle="1" w:styleId="283">
    <w:name w:val=" Char Char50"/>
    <w:qFormat/>
    <w:uiPriority w:val="0"/>
    <w:rPr>
      <w:rFonts w:ascii="宋体" w:hAnsi="Courier New"/>
      <w:kern w:val="2"/>
      <w:sz w:val="28"/>
    </w:rPr>
  </w:style>
  <w:style w:type="character" w:customStyle="1" w:styleId="284">
    <w:name w:val=" Char Char2"/>
    <w:qFormat/>
    <w:uiPriority w:val="0"/>
    <w:rPr>
      <w:rFonts w:ascii="Arial" w:hAnsi="Arial" w:eastAsia="宋体" w:cs="宋体"/>
      <w:b/>
      <w:bCs/>
      <w:kern w:val="2"/>
      <w:sz w:val="28"/>
      <w:szCs w:val="28"/>
      <w:lang w:val="en-US" w:eastAsia="zh-CN" w:bidi="ar-SA"/>
    </w:rPr>
  </w:style>
  <w:style w:type="character" w:customStyle="1" w:styleId="285">
    <w:name w:val="正文文本（使用1） Char"/>
    <w:link w:val="286"/>
    <w:qFormat/>
    <w:uiPriority w:val="0"/>
    <w:rPr>
      <w:rFonts w:hAnsi="宋体" w:eastAsia="宋体"/>
      <w:color w:val="0000FF"/>
      <w:sz w:val="24"/>
      <w:szCs w:val="24"/>
      <w:lang w:val="en-US" w:eastAsia="zh-CN" w:bidi="ar-SA"/>
    </w:rPr>
  </w:style>
  <w:style w:type="paragraph" w:customStyle="1" w:styleId="286">
    <w:name w:val="正文文本（使用1）"/>
    <w:basedOn w:val="1"/>
    <w:link w:val="285"/>
    <w:qFormat/>
    <w:uiPriority w:val="0"/>
    <w:pPr>
      <w:adjustRightInd w:val="0"/>
      <w:snapToGrid w:val="0"/>
      <w:spacing w:line="520" w:lineRule="exact"/>
      <w:ind w:firstLine="480" w:firstLineChars="200"/>
    </w:pPr>
    <w:rPr>
      <w:rFonts w:hAnsi="宋体"/>
      <w:color w:val="0000FF"/>
      <w:kern w:val="0"/>
      <w:sz w:val="24"/>
    </w:rPr>
  </w:style>
  <w:style w:type="character" w:customStyle="1" w:styleId="287">
    <w:name w:val="font91"/>
    <w:basedOn w:val="133"/>
    <w:qFormat/>
    <w:uiPriority w:val="0"/>
    <w:rPr>
      <w:rFonts w:hint="eastAsia" w:ascii="宋体" w:hAnsi="宋体" w:eastAsia="宋体" w:cs="宋体"/>
      <w:color w:val="000000"/>
      <w:sz w:val="20"/>
      <w:szCs w:val="20"/>
      <w:u w:val="none"/>
    </w:rPr>
  </w:style>
  <w:style w:type="character" w:customStyle="1" w:styleId="288">
    <w:name w:val="样式 正文 +"/>
    <w:qFormat/>
    <w:uiPriority w:val="0"/>
    <w:rPr>
      <w:kern w:val="0"/>
    </w:rPr>
  </w:style>
  <w:style w:type="character" w:customStyle="1" w:styleId="289">
    <w:name w:val="表格 Char"/>
    <w:link w:val="290"/>
    <w:qFormat/>
    <w:uiPriority w:val="0"/>
    <w:rPr>
      <w:rFonts w:eastAsia="宋体"/>
      <w:kern w:val="2"/>
      <w:sz w:val="21"/>
      <w:szCs w:val="21"/>
      <w:lang w:bidi="ar-SA"/>
    </w:rPr>
  </w:style>
  <w:style w:type="paragraph" w:customStyle="1" w:styleId="290">
    <w:name w:val="表格"/>
    <w:basedOn w:val="1"/>
    <w:link w:val="289"/>
    <w:qFormat/>
    <w:uiPriority w:val="0"/>
    <w:pPr>
      <w:jc w:val="center"/>
    </w:pPr>
    <w:rPr>
      <w:szCs w:val="21"/>
    </w:rPr>
  </w:style>
  <w:style w:type="character" w:customStyle="1" w:styleId="291">
    <w:name w:val="No Spacing Char"/>
    <w:link w:val="292"/>
    <w:qFormat/>
    <w:locked/>
    <w:uiPriority w:val="0"/>
    <w:rPr>
      <w:rFonts w:eastAsia="仿宋_GB2312"/>
      <w:kern w:val="2"/>
      <w:sz w:val="24"/>
      <w:szCs w:val="22"/>
      <w:lang w:val="en-US" w:eastAsia="zh-CN" w:bidi="ar-SA"/>
    </w:rPr>
  </w:style>
  <w:style w:type="paragraph" w:customStyle="1" w:styleId="292">
    <w:name w:val="No Spacing1"/>
    <w:link w:val="291"/>
    <w:qFormat/>
    <w:uiPriority w:val="0"/>
    <w:pPr>
      <w:widowControl w:val="0"/>
      <w:spacing w:line="360" w:lineRule="auto"/>
      <w:ind w:firstLine="200" w:firstLineChars="200"/>
      <w:jc w:val="both"/>
    </w:pPr>
    <w:rPr>
      <w:rFonts w:ascii="Times New Roman" w:hAnsi="Times New Roman" w:eastAsia="仿宋_GB2312" w:cs="Times New Roman"/>
      <w:kern w:val="2"/>
      <w:sz w:val="24"/>
      <w:szCs w:val="22"/>
      <w:lang w:val="en-US" w:eastAsia="zh-CN" w:bidi="ar-SA"/>
    </w:rPr>
  </w:style>
  <w:style w:type="character" w:customStyle="1" w:styleId="293">
    <w:name w:val="DTX-BT Char"/>
    <w:link w:val="294"/>
    <w:qFormat/>
    <w:uiPriority w:val="0"/>
    <w:rPr>
      <w:rFonts w:eastAsia="黑体"/>
      <w:b/>
      <w:kern w:val="2"/>
      <w:sz w:val="24"/>
      <w:szCs w:val="30"/>
      <w:lang w:val="en-US" w:eastAsia="zh-CN" w:bidi="ar-SA"/>
    </w:rPr>
  </w:style>
  <w:style w:type="paragraph" w:customStyle="1" w:styleId="294">
    <w:name w:val="DTX-BT"/>
    <w:next w:val="1"/>
    <w:link w:val="293"/>
    <w:qFormat/>
    <w:uiPriority w:val="0"/>
    <w:pPr>
      <w:widowControl w:val="0"/>
      <w:tabs>
        <w:tab w:val="center" w:pos="4515"/>
        <w:tab w:val="right" w:pos="9030"/>
      </w:tabs>
      <w:adjustRightInd w:val="0"/>
      <w:snapToGrid w:val="0"/>
      <w:spacing w:line="500" w:lineRule="exact"/>
      <w:ind w:firstLine="200" w:firstLineChars="200"/>
      <w:jc w:val="both"/>
    </w:pPr>
    <w:rPr>
      <w:rFonts w:ascii="Times New Roman" w:hAnsi="Times New Roman" w:eastAsia="黑体" w:cs="Times New Roman"/>
      <w:b/>
      <w:kern w:val="2"/>
      <w:sz w:val="24"/>
      <w:szCs w:val="30"/>
      <w:lang w:val="en-US" w:eastAsia="zh-CN" w:bidi="ar-SA"/>
    </w:rPr>
  </w:style>
  <w:style w:type="character" w:customStyle="1" w:styleId="295">
    <w:name w:val="DTX-03 Char Char"/>
    <w:link w:val="296"/>
    <w:qFormat/>
    <w:uiPriority w:val="0"/>
    <w:rPr>
      <w:rFonts w:eastAsia="黑体"/>
      <w:b/>
      <w:bCs/>
      <w:sz w:val="24"/>
      <w:szCs w:val="24"/>
      <w:lang w:val="en-US" w:eastAsia="zh-CN" w:bidi="ar-SA"/>
    </w:rPr>
  </w:style>
  <w:style w:type="paragraph" w:customStyle="1" w:styleId="296">
    <w:name w:val="DTX-03"/>
    <w:link w:val="295"/>
    <w:qFormat/>
    <w:uiPriority w:val="0"/>
    <w:pPr>
      <w:widowControl w:val="0"/>
      <w:tabs>
        <w:tab w:val="left" w:pos="0"/>
      </w:tabs>
      <w:adjustRightInd w:val="0"/>
      <w:snapToGrid w:val="0"/>
      <w:spacing w:line="500" w:lineRule="exact"/>
      <w:jc w:val="both"/>
      <w:outlineLvl w:val="2"/>
    </w:pPr>
    <w:rPr>
      <w:rFonts w:ascii="Times New Roman" w:hAnsi="Times New Roman" w:eastAsia="黑体" w:cs="Times New Roman"/>
      <w:b/>
      <w:bCs/>
      <w:sz w:val="24"/>
      <w:szCs w:val="24"/>
      <w:lang w:val="en-US" w:eastAsia="zh-CN" w:bidi="ar-SA"/>
    </w:rPr>
  </w:style>
  <w:style w:type="character" w:customStyle="1" w:styleId="297">
    <w:name w:val="名 Char"/>
    <w:link w:val="298"/>
    <w:qFormat/>
    <w:uiPriority w:val="0"/>
    <w:rPr>
      <w:rFonts w:ascii="Calibri" w:hAnsi="Calibri" w:eastAsia="黑体"/>
      <w:kern w:val="2"/>
      <w:sz w:val="21"/>
      <w:szCs w:val="22"/>
      <w:lang w:val="en-US" w:eastAsia="zh-CN" w:bidi="ar-SA"/>
    </w:rPr>
  </w:style>
  <w:style w:type="paragraph" w:customStyle="1" w:styleId="298">
    <w:name w:val="名"/>
    <w:basedOn w:val="212"/>
    <w:link w:val="297"/>
    <w:qFormat/>
    <w:uiPriority w:val="0"/>
    <w:pPr>
      <w:spacing w:line="360" w:lineRule="auto"/>
      <w:ind w:firstLine="560" w:firstLineChars="200"/>
      <w:jc w:val="center"/>
    </w:pPr>
    <w:rPr>
      <w:rFonts w:ascii="Calibri" w:hAnsi="Calibri" w:eastAsia="黑体"/>
      <w:sz w:val="21"/>
      <w:szCs w:val="22"/>
    </w:rPr>
  </w:style>
  <w:style w:type="character" w:customStyle="1" w:styleId="299">
    <w:name w:val="表文字 Char"/>
    <w:link w:val="300"/>
    <w:qFormat/>
    <w:uiPriority w:val="0"/>
    <w:rPr>
      <w:rFonts w:ascii="Arial" w:hAnsi="Arial" w:cs="Arial"/>
      <w:sz w:val="23"/>
      <w:lang w:val="en-US" w:eastAsia="zh-CN" w:bidi="ar-SA"/>
    </w:rPr>
  </w:style>
  <w:style w:type="paragraph" w:customStyle="1" w:styleId="300">
    <w:name w:val="表文字"/>
    <w:link w:val="299"/>
    <w:qFormat/>
    <w:uiPriority w:val="0"/>
    <w:pPr>
      <w:spacing w:line="440" w:lineRule="exact"/>
      <w:jc w:val="center"/>
    </w:pPr>
    <w:rPr>
      <w:rFonts w:ascii="Arial" w:hAnsi="Arial" w:eastAsia="宋体" w:cs="Arial"/>
      <w:sz w:val="23"/>
      <w:lang w:val="en-US" w:eastAsia="zh-CN" w:bidi="ar-SA"/>
    </w:rPr>
  </w:style>
  <w:style w:type="character" w:customStyle="1" w:styleId="301">
    <w:name w:val=" Char Char11"/>
    <w:qFormat/>
    <w:uiPriority w:val="0"/>
    <w:rPr>
      <w:rFonts w:eastAsia="宋体"/>
      <w:b/>
      <w:bCs/>
      <w:kern w:val="44"/>
      <w:sz w:val="36"/>
      <w:szCs w:val="44"/>
      <w:lang w:val="en-US" w:eastAsia="zh-CN" w:bidi="ar-SA"/>
    </w:rPr>
  </w:style>
  <w:style w:type="character" w:customStyle="1" w:styleId="302">
    <w:name w:val="正文111 Char"/>
    <w:link w:val="303"/>
    <w:qFormat/>
    <w:uiPriority w:val="0"/>
    <w:rPr>
      <w:rFonts w:eastAsia="宋体"/>
      <w:kern w:val="2"/>
      <w:sz w:val="28"/>
      <w:szCs w:val="28"/>
      <w:lang w:val="en-US" w:eastAsia="zh-CN" w:bidi="ar-SA"/>
    </w:rPr>
  </w:style>
  <w:style w:type="paragraph" w:customStyle="1" w:styleId="303">
    <w:name w:val="正文111"/>
    <w:basedOn w:val="1"/>
    <w:link w:val="302"/>
    <w:qFormat/>
    <w:uiPriority w:val="0"/>
    <w:pPr>
      <w:spacing w:line="480" w:lineRule="exact"/>
      <w:ind w:firstLine="200" w:firstLineChars="200"/>
    </w:pPr>
    <w:rPr>
      <w:sz w:val="28"/>
      <w:szCs w:val="28"/>
    </w:rPr>
  </w:style>
  <w:style w:type="character" w:customStyle="1" w:styleId="304">
    <w:name w:val="表格内容 Char Char"/>
    <w:link w:val="305"/>
    <w:qFormat/>
    <w:uiPriority w:val="0"/>
    <w:rPr>
      <w:rFonts w:eastAsia="宋体"/>
      <w:color w:val="FF0000"/>
      <w:sz w:val="21"/>
      <w:szCs w:val="21"/>
      <w:lang w:val="en-US" w:eastAsia="zh-CN" w:bidi="ar-SA"/>
    </w:rPr>
  </w:style>
  <w:style w:type="paragraph" w:customStyle="1" w:styleId="305">
    <w:name w:val="表格内容"/>
    <w:basedOn w:val="1"/>
    <w:link w:val="304"/>
    <w:qFormat/>
    <w:uiPriority w:val="0"/>
    <w:pPr>
      <w:jc w:val="center"/>
    </w:pPr>
    <w:rPr>
      <w:color w:val="FF0000"/>
      <w:kern w:val="0"/>
      <w:szCs w:val="21"/>
    </w:rPr>
  </w:style>
  <w:style w:type="character" w:customStyle="1" w:styleId="306">
    <w:name w:val="articlecontent"/>
    <w:qFormat/>
    <w:uiPriority w:val="0"/>
  </w:style>
  <w:style w:type="character" w:customStyle="1" w:styleId="307">
    <w:name w:val="gov"/>
    <w:qFormat/>
    <w:uiPriority w:val="0"/>
  </w:style>
  <w:style w:type="character" w:customStyle="1" w:styleId="308">
    <w:name w:val="t_tag"/>
    <w:qFormat/>
    <w:uiPriority w:val="0"/>
  </w:style>
  <w:style w:type="character" w:customStyle="1" w:styleId="309">
    <w:name w:val="27-正文 Char"/>
    <w:link w:val="310"/>
    <w:qFormat/>
    <w:uiPriority w:val="0"/>
    <w:rPr>
      <w:rFonts w:eastAsia="宋体"/>
      <w:kern w:val="2"/>
      <w:sz w:val="28"/>
      <w:szCs w:val="28"/>
      <w:lang w:val="en-US" w:eastAsia="zh-CN" w:bidi="ar-SA"/>
    </w:rPr>
  </w:style>
  <w:style w:type="paragraph" w:customStyle="1" w:styleId="310">
    <w:name w:val="27-正文"/>
    <w:basedOn w:val="1"/>
    <w:link w:val="309"/>
    <w:qFormat/>
    <w:uiPriority w:val="0"/>
    <w:pPr>
      <w:spacing w:line="540" w:lineRule="exact"/>
      <w:ind w:firstLine="560" w:firstLineChars="200"/>
    </w:pPr>
    <w:rPr>
      <w:sz w:val="28"/>
      <w:szCs w:val="28"/>
    </w:rPr>
  </w:style>
  <w:style w:type="character" w:customStyle="1" w:styleId="311">
    <w:name w:val="[1]正文 Char Char"/>
    <w:link w:val="312"/>
    <w:qFormat/>
    <w:uiPriority w:val="0"/>
    <w:rPr>
      <w:rFonts w:eastAsia="宋体"/>
      <w:sz w:val="28"/>
      <w:szCs w:val="28"/>
      <w:lang w:val="en-US" w:eastAsia="zh-CN" w:bidi="ar-SA"/>
    </w:rPr>
  </w:style>
  <w:style w:type="paragraph" w:customStyle="1" w:styleId="312">
    <w:name w:val="[1]正文"/>
    <w:basedOn w:val="1"/>
    <w:link w:val="311"/>
    <w:qFormat/>
    <w:uiPriority w:val="0"/>
    <w:pPr>
      <w:snapToGrid w:val="0"/>
      <w:spacing w:line="520" w:lineRule="exact"/>
      <w:ind w:firstLine="200" w:firstLineChars="200"/>
    </w:pPr>
    <w:rPr>
      <w:kern w:val="0"/>
      <w:sz w:val="28"/>
      <w:szCs w:val="28"/>
    </w:rPr>
  </w:style>
  <w:style w:type="character" w:customStyle="1" w:styleId="313">
    <w:name w:val="Normal Char"/>
    <w:link w:val="314"/>
    <w:qFormat/>
    <w:uiPriority w:val="0"/>
    <w:rPr>
      <w:rFonts w:eastAsia="宋体"/>
      <w:sz w:val="24"/>
      <w:lang w:val="en-US" w:eastAsia="zh-CN" w:bidi="ar-SA"/>
    </w:rPr>
  </w:style>
  <w:style w:type="paragraph" w:customStyle="1" w:styleId="314">
    <w:name w:val="Normal"/>
    <w:basedOn w:val="1"/>
    <w:link w:val="313"/>
    <w:qFormat/>
    <w:uiPriority w:val="0"/>
    <w:pPr>
      <w:adjustRightInd w:val="0"/>
      <w:spacing w:line="312" w:lineRule="atLeast"/>
      <w:textAlignment w:val="baseline"/>
    </w:pPr>
    <w:rPr>
      <w:kern w:val="0"/>
      <w:sz w:val="24"/>
      <w:szCs w:val="20"/>
    </w:rPr>
  </w:style>
  <w:style w:type="character" w:customStyle="1" w:styleId="315">
    <w:name w:val=" Char Char6"/>
    <w:qFormat/>
    <w:uiPriority w:val="0"/>
    <w:rPr>
      <w:rFonts w:ascii="宋体" w:hAnsi="Courier New" w:eastAsia="宋体" w:cs="Bradley Hand ITC"/>
      <w:kern w:val="2"/>
      <w:sz w:val="21"/>
      <w:szCs w:val="21"/>
      <w:lang w:val="en-US" w:eastAsia="zh-CN" w:bidi="ar-SA"/>
    </w:rPr>
  </w:style>
  <w:style w:type="character" w:customStyle="1" w:styleId="316">
    <w:name w:val="albumcount"/>
    <w:qFormat/>
    <w:uiPriority w:val="0"/>
  </w:style>
  <w:style w:type="character" w:customStyle="1" w:styleId="317">
    <w:name w:val="正文不缩进 Char"/>
    <w:qFormat/>
    <w:uiPriority w:val="0"/>
    <w:rPr>
      <w:rFonts w:eastAsia="宋体"/>
      <w:kern w:val="2"/>
      <w:sz w:val="21"/>
      <w:szCs w:val="24"/>
      <w:lang w:val="en-US" w:eastAsia="zh-CN" w:bidi="ar-SA"/>
    </w:rPr>
  </w:style>
  <w:style w:type="character" w:customStyle="1" w:styleId="318">
    <w:name w:val="A正文 Char"/>
    <w:link w:val="319"/>
    <w:qFormat/>
    <w:uiPriority w:val="0"/>
    <w:rPr>
      <w:rFonts w:eastAsia="宋体"/>
      <w:sz w:val="24"/>
      <w:szCs w:val="24"/>
      <w:lang w:val="en-US" w:eastAsia="zh-CN" w:bidi="ar-SA"/>
    </w:rPr>
  </w:style>
  <w:style w:type="paragraph" w:customStyle="1" w:styleId="319">
    <w:name w:val="A正文"/>
    <w:basedOn w:val="1"/>
    <w:link w:val="318"/>
    <w:qFormat/>
    <w:uiPriority w:val="0"/>
    <w:pPr>
      <w:widowControl/>
      <w:overflowPunct w:val="0"/>
      <w:autoSpaceDE w:val="0"/>
      <w:autoSpaceDN w:val="0"/>
      <w:adjustRightInd w:val="0"/>
      <w:spacing w:line="360" w:lineRule="auto"/>
      <w:ind w:firstLine="200" w:firstLineChars="200"/>
      <w:jc w:val="left"/>
      <w:textAlignment w:val="baseline"/>
    </w:pPr>
    <w:rPr>
      <w:kern w:val="0"/>
      <w:sz w:val="24"/>
    </w:rPr>
  </w:style>
  <w:style w:type="paragraph" w:customStyle="1" w:styleId="320">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Arial Unicode MS" w:cs="Arial"/>
      <w:color w:val="000000"/>
      <w:kern w:val="0"/>
      <w:sz w:val="24"/>
    </w:rPr>
  </w:style>
  <w:style w:type="paragraph" w:customStyle="1" w:styleId="321">
    <w:name w:val=" Char Char Char1 Char1 Char Char"/>
    <w:basedOn w:val="1"/>
    <w:semiHidden/>
    <w:qFormat/>
    <w:uiPriority w:val="0"/>
  </w:style>
  <w:style w:type="paragraph" w:customStyle="1" w:styleId="322">
    <w:name w:val="样式 两端对齐 首行缩进:  2 字符"/>
    <w:basedOn w:val="1"/>
    <w:qFormat/>
    <w:uiPriority w:val="0"/>
    <w:pPr>
      <w:widowControl/>
      <w:ind w:firstLine="560" w:firstLineChars="200"/>
    </w:pPr>
    <w:rPr>
      <w:rFonts w:cs="宋体"/>
      <w:kern w:val="0"/>
      <w:sz w:val="28"/>
      <w:szCs w:val="28"/>
    </w:rPr>
  </w:style>
  <w:style w:type="paragraph" w:customStyle="1" w:styleId="323">
    <w:name w:val="样式 表头样式 + 两端对齐 段前: 0.5 行 段后: 0.5 行 首行缩进:  1 字符"/>
    <w:basedOn w:val="324"/>
    <w:semiHidden/>
    <w:qFormat/>
    <w:uiPriority w:val="0"/>
    <w:pPr>
      <w:keepLines/>
      <w:spacing w:before="156" w:after="156"/>
      <w:ind w:firstLine="560" w:firstLineChars="200"/>
    </w:pPr>
    <w:rPr>
      <w:bCs w:val="0"/>
      <w:sz w:val="24"/>
      <w:szCs w:val="20"/>
    </w:rPr>
  </w:style>
  <w:style w:type="paragraph" w:customStyle="1" w:styleId="324">
    <w:name w:val="表头样式"/>
    <w:basedOn w:val="1"/>
    <w:semiHidden/>
    <w:qFormat/>
    <w:uiPriority w:val="0"/>
    <w:pPr>
      <w:keepNext/>
      <w:widowControl/>
      <w:spacing w:before="120" w:beforeLines="50" w:after="120" w:afterLines="50" w:line="520" w:lineRule="exact"/>
      <w:ind w:firstLine="280" w:firstLineChars="100"/>
    </w:pPr>
    <w:rPr>
      <w:rFonts w:ascii="宋体" w:hAnsi="宋体" w:cs="宋体"/>
      <w:bCs/>
      <w:sz w:val="28"/>
      <w:szCs w:val="28"/>
    </w:rPr>
  </w:style>
  <w:style w:type="paragraph" w:customStyle="1" w:styleId="325">
    <w:name w:val="reader-word-layer reader-word-s11-13"/>
    <w:basedOn w:val="1"/>
    <w:qFormat/>
    <w:uiPriority w:val="0"/>
    <w:pPr>
      <w:widowControl/>
      <w:spacing w:before="100" w:beforeAutospacing="1" w:after="100" w:afterAutospacing="1"/>
      <w:jc w:val="left"/>
    </w:pPr>
    <w:rPr>
      <w:rFonts w:ascii="宋体" w:hAnsi="宋体" w:cs="宋体"/>
      <w:kern w:val="0"/>
      <w:sz w:val="24"/>
    </w:rPr>
  </w:style>
  <w:style w:type="paragraph" w:customStyle="1" w:styleId="326">
    <w:name w:val=" Char Char14"/>
    <w:basedOn w:val="10"/>
    <w:qFormat/>
    <w:uiPriority w:val="0"/>
    <w:pPr>
      <w:tabs>
        <w:tab w:val="left" w:pos="1440"/>
      </w:tabs>
      <w:adjustRightInd/>
      <w:spacing w:line="320" w:lineRule="auto"/>
      <w:jc w:val="both"/>
      <w:textAlignment w:val="auto"/>
    </w:pPr>
    <w:rPr>
      <w:rFonts w:ascii="Calibri" w:hAnsi="Calibri" w:eastAsia="宋体"/>
      <w:bCs/>
      <w:szCs w:val="24"/>
      <w:lang w:eastAsia="en-US" w:bidi="en-US"/>
    </w:rPr>
  </w:style>
  <w:style w:type="paragraph" w:customStyle="1" w:styleId="327">
    <w:name w:val=" Char Char Char Char Char Char Char Char Char Char Char Char Char Char Char Char Char Char Char Char Char Char Char Char Char Char Char Char Char Char Char Char Char Char Char Char Char Char Char Char Char Char Char Char Char Char"/>
    <w:basedOn w:val="1"/>
    <w:next w:val="1"/>
    <w:qFormat/>
    <w:uiPriority w:val="0"/>
    <w:pPr>
      <w:pBdr>
        <w:right w:val="single" w:color="auto" w:sz="12" w:space="4"/>
      </w:pBdr>
      <w:spacing w:line="360" w:lineRule="auto"/>
      <w:ind w:firstLine="200" w:firstLineChars="200"/>
    </w:pPr>
    <w:rPr>
      <w:sz w:val="28"/>
      <w:szCs w:val="20"/>
    </w:rPr>
  </w:style>
  <w:style w:type="paragraph" w:customStyle="1" w:styleId="328">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3"/>
      <w:szCs w:val="23"/>
    </w:rPr>
  </w:style>
  <w:style w:type="paragraph" w:customStyle="1" w:styleId="329">
    <w:name w:val="样式 (中文) 黑体 加粗 行距: 固定值 25 磅"/>
    <w:basedOn w:val="1"/>
    <w:qFormat/>
    <w:uiPriority w:val="0"/>
    <w:pPr>
      <w:adjustRightInd w:val="0"/>
      <w:spacing w:line="500" w:lineRule="exact"/>
      <w:ind w:firstLine="424" w:firstLineChars="201"/>
      <w:textAlignment w:val="baseline"/>
    </w:pPr>
    <w:rPr>
      <w:rFonts w:cs="宋体"/>
      <w:b/>
      <w:bCs/>
      <w:sz w:val="28"/>
      <w:szCs w:val="20"/>
    </w:rPr>
  </w:style>
  <w:style w:type="paragraph" w:customStyle="1" w:styleId="330">
    <w:name w:val="样式 标题 1 + 黑体 三号 居中 行距: 固定值 20 磅"/>
    <w:basedOn w:val="4"/>
    <w:semiHidden/>
    <w:qFormat/>
    <w:uiPriority w:val="0"/>
    <w:pPr>
      <w:keepNext/>
      <w:keepLines/>
      <w:widowControl/>
      <w:topLinePunct/>
      <w:spacing w:before="340" w:beforeLines="0" w:after="330" w:afterLines="0" w:line="400" w:lineRule="exact"/>
      <w:ind w:firstLine="538" w:firstLineChars="224"/>
      <w:jc w:val="left"/>
      <w:textAlignment w:val="auto"/>
    </w:pPr>
    <w:rPr>
      <w:rFonts w:ascii="黑体" w:hAnsi="黑体" w:cs="宋体"/>
      <w:b w:val="0"/>
      <w:kern w:val="44"/>
      <w:szCs w:val="20"/>
    </w:rPr>
  </w:style>
  <w:style w:type="paragraph" w:customStyle="1" w:styleId="331">
    <w:name w:val="xl32"/>
    <w:basedOn w:val="1"/>
    <w:qFormat/>
    <w:uiPriority w:val="0"/>
    <w:pPr>
      <w:widowControl/>
      <w:pBdr>
        <w:left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3"/>
      <w:szCs w:val="23"/>
    </w:rPr>
  </w:style>
  <w:style w:type="paragraph" w:customStyle="1" w:styleId="332">
    <w:name w:val="xl22"/>
    <w:basedOn w:val="1"/>
    <w:qFormat/>
    <w:uiPriority w:val="0"/>
    <w:pPr>
      <w:widowControl/>
      <w:pBdr>
        <w:top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color w:val="000000"/>
      <w:kern w:val="0"/>
      <w:sz w:val="22"/>
      <w:szCs w:val="22"/>
    </w:rPr>
  </w:style>
  <w:style w:type="paragraph" w:customStyle="1" w:styleId="333">
    <w:name w:val="Table Paragraph"/>
    <w:basedOn w:val="1"/>
    <w:qFormat/>
    <w:uiPriority w:val="1"/>
    <w:pPr>
      <w:autoSpaceDE w:val="0"/>
      <w:autoSpaceDN w:val="0"/>
      <w:adjustRightInd w:val="0"/>
      <w:jc w:val="left"/>
    </w:pPr>
    <w:rPr>
      <w:rFonts w:eastAsia="宋体"/>
      <w:kern w:val="0"/>
      <w:sz w:val="24"/>
    </w:rPr>
  </w:style>
  <w:style w:type="paragraph" w:customStyle="1" w:styleId="334">
    <w:name w:val="样式 标题2　自动设置"/>
    <w:basedOn w:val="5"/>
    <w:qFormat/>
    <w:uiPriority w:val="0"/>
    <w:pPr>
      <w:autoSpaceDE/>
      <w:autoSpaceDN/>
      <w:spacing w:after="60" w:line="360" w:lineRule="auto"/>
      <w:jc w:val="both"/>
      <w:textAlignment w:val="auto"/>
    </w:pPr>
    <w:rPr>
      <w:rFonts w:ascii="宋体" w:hAnsi="宋体" w:eastAsia="宋体" w:cs="宋体"/>
      <w:sz w:val="28"/>
    </w:rPr>
  </w:style>
  <w:style w:type="paragraph" w:customStyle="1" w:styleId="335">
    <w:name w:val="样式 标题 4常用标题 4 + 段前: 6 磅 段后: 6 磅 行距: 固定值 26 磅"/>
    <w:basedOn w:val="8"/>
    <w:qFormat/>
    <w:uiPriority w:val="0"/>
    <w:pPr>
      <w:numPr>
        <w:ilvl w:val="0"/>
        <w:numId w:val="0"/>
      </w:numPr>
      <w:tabs>
        <w:tab w:val="left" w:pos="800"/>
      </w:tabs>
      <w:adjustRightInd/>
      <w:spacing w:before="120" w:after="120" w:line="520" w:lineRule="exact"/>
      <w:jc w:val="both"/>
      <w:textAlignment w:val="auto"/>
    </w:pPr>
    <w:rPr>
      <w:rFonts w:eastAsia="黑体" w:cs="宋体"/>
      <w:bCs/>
      <w:snapToGrid/>
      <w:kern w:val="2"/>
      <w:sz w:val="28"/>
    </w:rPr>
  </w:style>
  <w:style w:type="paragraph" w:customStyle="1" w:styleId="336">
    <w:name w:val=" Char Char Char Char Char Char"/>
    <w:basedOn w:val="1"/>
    <w:semiHidden/>
    <w:qFormat/>
    <w:uiPriority w:val="0"/>
  </w:style>
  <w:style w:type="paragraph" w:customStyle="1" w:styleId="337">
    <w:name w:val="font7"/>
    <w:basedOn w:val="1"/>
    <w:qFormat/>
    <w:uiPriority w:val="0"/>
    <w:pPr>
      <w:widowControl/>
      <w:spacing w:before="100" w:beforeAutospacing="1" w:after="100" w:afterAutospacing="1"/>
      <w:jc w:val="left"/>
    </w:pPr>
    <w:rPr>
      <w:rFonts w:hint="eastAsia" w:ascii="宋体" w:hAnsi="宋体" w:cs="Arial Unicode MS"/>
      <w:kern w:val="0"/>
      <w:sz w:val="23"/>
      <w:szCs w:val="23"/>
    </w:rPr>
  </w:style>
  <w:style w:type="paragraph" w:customStyle="1" w:styleId="338">
    <w:name w:val="font0"/>
    <w:basedOn w:val="1"/>
    <w:qFormat/>
    <w:uiPriority w:val="0"/>
    <w:pPr>
      <w:widowControl/>
      <w:spacing w:before="100" w:beforeAutospacing="1" w:after="100" w:afterAutospacing="1"/>
      <w:jc w:val="left"/>
    </w:pPr>
    <w:rPr>
      <w:rFonts w:eastAsia="Arial Unicode MS"/>
      <w:kern w:val="0"/>
      <w:sz w:val="24"/>
    </w:rPr>
  </w:style>
  <w:style w:type="paragraph" w:customStyle="1" w:styleId="339">
    <w:name w:val="公式"/>
    <w:basedOn w:val="1"/>
    <w:qFormat/>
    <w:uiPriority w:val="0"/>
    <w:pPr>
      <w:adjustRightInd w:val="0"/>
      <w:spacing w:before="60" w:line="394" w:lineRule="atLeast"/>
      <w:jc w:val="center"/>
      <w:textAlignment w:val="baseline"/>
    </w:pPr>
    <w:rPr>
      <w:rFonts w:ascii="宋体" w:cs="宋体"/>
      <w:kern w:val="0"/>
      <w:sz w:val="24"/>
    </w:rPr>
  </w:style>
  <w:style w:type="paragraph" w:customStyle="1" w:styleId="340">
    <w:name w:val="p18"/>
    <w:basedOn w:val="1"/>
    <w:qFormat/>
    <w:uiPriority w:val="0"/>
    <w:pPr>
      <w:widowControl/>
    </w:pPr>
    <w:rPr>
      <w:rFonts w:ascii="Arial" w:hAnsi="Arial" w:cs="Arial"/>
      <w:kern w:val="0"/>
      <w:szCs w:val="21"/>
    </w:rPr>
  </w:style>
  <w:style w:type="paragraph" w:customStyle="1" w:styleId="341">
    <w:name w:val="样式 Arial 13 磅 行距: 固定值 25 磅1"/>
    <w:basedOn w:val="1"/>
    <w:qFormat/>
    <w:uiPriority w:val="0"/>
    <w:pPr>
      <w:spacing w:line="500" w:lineRule="exact"/>
      <w:ind w:firstLine="200" w:firstLineChars="200"/>
    </w:pPr>
    <w:rPr>
      <w:rFonts w:ascii="Arial" w:hAnsi="Arial" w:cs="宋体"/>
      <w:sz w:val="26"/>
      <w:szCs w:val="20"/>
    </w:rPr>
  </w:style>
  <w:style w:type="paragraph" w:customStyle="1" w:styleId="342">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FF0000"/>
      <w:kern w:val="0"/>
      <w:sz w:val="23"/>
      <w:szCs w:val="23"/>
    </w:rPr>
  </w:style>
  <w:style w:type="paragraph" w:customStyle="1" w:styleId="343">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3"/>
      <w:szCs w:val="23"/>
    </w:rPr>
  </w:style>
  <w:style w:type="paragraph" w:customStyle="1" w:styleId="344">
    <w:name w:val=" Char Char Char1 Char Char Char"/>
    <w:basedOn w:val="1"/>
    <w:semiHidden/>
    <w:qFormat/>
    <w:uiPriority w:val="0"/>
  </w:style>
  <w:style w:type="paragraph" w:customStyle="1" w:styleId="345">
    <w:name w:val="font19"/>
    <w:basedOn w:val="1"/>
    <w:qFormat/>
    <w:uiPriority w:val="0"/>
    <w:pPr>
      <w:widowControl/>
      <w:spacing w:before="100" w:beforeAutospacing="1" w:after="100" w:afterAutospacing="1"/>
      <w:jc w:val="left"/>
    </w:pPr>
    <w:rPr>
      <w:rFonts w:ascii="Arial" w:hAnsi="Arial" w:eastAsia="Arial Unicode MS" w:cs="Arial"/>
      <w:color w:val="008080"/>
      <w:kern w:val="0"/>
      <w:sz w:val="23"/>
      <w:szCs w:val="23"/>
    </w:rPr>
  </w:style>
  <w:style w:type="paragraph" w:customStyle="1" w:styleId="346">
    <w:name w:val="CM9"/>
    <w:basedOn w:val="152"/>
    <w:next w:val="152"/>
    <w:qFormat/>
    <w:uiPriority w:val="0"/>
    <w:pPr>
      <w:spacing w:line="471" w:lineRule="atLeast"/>
    </w:pPr>
    <w:rPr>
      <w:rFonts w:cs="Times New Roman"/>
      <w:color w:val="auto"/>
    </w:rPr>
  </w:style>
  <w:style w:type="paragraph" w:customStyle="1" w:styleId="347">
    <w:name w:val="SL表内容"/>
    <w:basedOn w:val="1"/>
    <w:qFormat/>
    <w:uiPriority w:val="0"/>
    <w:pPr>
      <w:widowControl/>
    </w:pPr>
    <w:rPr>
      <w:rFonts w:ascii="仿宋_GB2312" w:hAnsi="宋体" w:eastAsia="仿宋_GB2312"/>
      <w:kern w:val="0"/>
      <w:szCs w:val="20"/>
    </w:rPr>
  </w:style>
  <w:style w:type="paragraph" w:customStyle="1" w:styleId="348">
    <w:name w:val="xl3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3"/>
      <w:szCs w:val="23"/>
    </w:rPr>
  </w:style>
  <w:style w:type="paragraph" w:customStyle="1" w:styleId="349">
    <w:name w:val="样式 标题 1 + 自动设置"/>
    <w:basedOn w:val="4"/>
    <w:qFormat/>
    <w:uiPriority w:val="0"/>
    <w:pPr>
      <w:keepNext/>
      <w:keepLines/>
      <w:tabs>
        <w:tab w:val="left" w:pos="700"/>
      </w:tabs>
      <w:snapToGrid/>
      <w:spacing w:before="120" w:beforeLines="0" w:after="60" w:afterLines="0" w:line="240" w:lineRule="auto"/>
      <w:jc w:val="left"/>
      <w:textAlignment w:val="auto"/>
    </w:pPr>
    <w:rPr>
      <w:rFonts w:ascii="Times New Roman" w:hAnsi="Times New Roman" w:eastAsia="宋体" w:cs="Times New Roman"/>
      <w:bCs w:val="0"/>
      <w:snapToGrid/>
      <w:kern w:val="44"/>
      <w:sz w:val="28"/>
      <w:szCs w:val="20"/>
    </w:rPr>
  </w:style>
  <w:style w:type="paragraph" w:customStyle="1" w:styleId="350">
    <w:name w:val="xl57"/>
    <w:basedOn w:val="1"/>
    <w:qFormat/>
    <w:uiPriority w:val="0"/>
    <w:pPr>
      <w:widowControl/>
      <w:pBdr>
        <w:top w:val="single" w:color="auto" w:sz="8" w:space="0"/>
        <w:left w:val="single" w:color="auto" w:sz="8" w:space="0"/>
        <w:bottom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351">
    <w:name w:val="二级标题 Char Char Char"/>
    <w:basedOn w:val="1"/>
    <w:next w:val="1"/>
    <w:qFormat/>
    <w:uiPriority w:val="0"/>
    <w:pPr>
      <w:spacing w:line="529" w:lineRule="exact"/>
      <w:ind w:firstLine="200" w:firstLineChars="200"/>
    </w:pPr>
    <w:rPr>
      <w:rFonts w:ascii="宋体" w:hAnsi="宋体" w:cs="宋体"/>
      <w:sz w:val="24"/>
    </w:rPr>
  </w:style>
  <w:style w:type="paragraph" w:customStyle="1" w:styleId="352">
    <w:name w:val="文章总标题"/>
    <w:basedOn w:val="1"/>
    <w:next w:val="1"/>
    <w:semiHidden/>
    <w:qFormat/>
    <w:uiPriority w:val="0"/>
    <w:pPr>
      <w:widowControl/>
      <w:spacing w:before="566" w:after="544" w:line="566" w:lineRule="atLeast"/>
      <w:jc w:val="center"/>
      <w:textAlignment w:val="baseline"/>
    </w:pPr>
    <w:rPr>
      <w:rFonts w:ascii="Arial" w:eastAsia="黑体" w:cs="Arial"/>
      <w:bCs/>
      <w:color w:val="000000"/>
      <w:kern w:val="0"/>
      <w:sz w:val="54"/>
      <w:szCs w:val="54"/>
      <w:u w:val="none" w:color="000000"/>
    </w:rPr>
  </w:style>
  <w:style w:type="paragraph" w:customStyle="1" w:styleId="353">
    <w:name w:val="reader-word-layer reader-word-s2-23"/>
    <w:basedOn w:val="1"/>
    <w:qFormat/>
    <w:uiPriority w:val="0"/>
    <w:pPr>
      <w:widowControl/>
      <w:spacing w:before="100" w:beforeAutospacing="1" w:after="100" w:afterAutospacing="1"/>
      <w:jc w:val="left"/>
    </w:pPr>
    <w:rPr>
      <w:rFonts w:ascii="宋体" w:hAnsi="宋体" w:cs="宋体"/>
      <w:kern w:val="0"/>
      <w:sz w:val="24"/>
    </w:rPr>
  </w:style>
  <w:style w:type="paragraph" w:customStyle="1" w:styleId="354">
    <w:name w:val="标题三沈兰华"/>
    <w:basedOn w:val="6"/>
    <w:qFormat/>
    <w:uiPriority w:val="0"/>
    <w:pPr>
      <w:spacing w:line="240" w:lineRule="auto"/>
    </w:pPr>
    <w:rPr>
      <w:rFonts w:ascii="Times New Roman" w:hAnsi="Times New Roman" w:eastAsia="宋体" w:cs="Times New Roman"/>
      <w:bCs w:val="0"/>
      <w:snapToGrid/>
      <w:color w:val="auto"/>
      <w:kern w:val="2"/>
      <w:sz w:val="28"/>
      <w:szCs w:val="28"/>
    </w:rPr>
  </w:style>
  <w:style w:type="paragraph" w:customStyle="1" w:styleId="355">
    <w:name w:val="xl3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3"/>
      <w:szCs w:val="23"/>
    </w:rPr>
  </w:style>
  <w:style w:type="paragraph" w:customStyle="1" w:styleId="356">
    <w:name w:val="font10"/>
    <w:basedOn w:val="1"/>
    <w:qFormat/>
    <w:uiPriority w:val="0"/>
    <w:pPr>
      <w:widowControl/>
      <w:spacing w:before="100" w:beforeAutospacing="1" w:after="100" w:afterAutospacing="1"/>
      <w:jc w:val="left"/>
    </w:pPr>
    <w:rPr>
      <w:rFonts w:ascii="Arial" w:hAnsi="Arial" w:eastAsia="Arial Unicode MS" w:cs="Arial"/>
      <w:kern w:val="0"/>
      <w:sz w:val="23"/>
      <w:szCs w:val="23"/>
    </w:rPr>
  </w:style>
  <w:style w:type="paragraph" w:customStyle="1" w:styleId="357">
    <w:name w:val="样式 标题 2 + Times New Roman 小三 居中 行距: 固定值 20 磅"/>
    <w:basedOn w:val="5"/>
    <w:semiHidden/>
    <w:qFormat/>
    <w:uiPriority w:val="0"/>
    <w:pPr>
      <w:widowControl/>
      <w:autoSpaceDE/>
      <w:autoSpaceDN/>
      <w:spacing w:before="260" w:after="260" w:line="400" w:lineRule="exact"/>
      <w:ind w:firstLine="538" w:firstLineChars="192"/>
      <w:textAlignment w:val="auto"/>
    </w:pPr>
    <w:rPr>
      <w:rFonts w:ascii="Times New Roman" w:hAnsi="Times New Roman" w:cs="宋体"/>
      <w:bCs w:val="0"/>
    </w:rPr>
  </w:style>
  <w:style w:type="paragraph" w:customStyle="1" w:styleId="358">
    <w:name w:val="表正文 Char1 Char"/>
    <w:basedOn w:val="1"/>
    <w:qFormat/>
    <w:uiPriority w:val="0"/>
    <w:pPr>
      <w:widowControl/>
      <w:spacing w:line="500" w:lineRule="exact"/>
      <w:ind w:firstLine="420"/>
      <w:jc w:val="left"/>
    </w:pPr>
    <w:rPr>
      <w:kern w:val="0"/>
      <w:sz w:val="28"/>
      <w:szCs w:val="20"/>
    </w:rPr>
  </w:style>
  <w:style w:type="paragraph" w:customStyle="1" w:styleId="359">
    <w:name w:val=" Char Char Char Char Char"/>
    <w:basedOn w:val="1"/>
    <w:semiHidden/>
    <w:qFormat/>
    <w:uiPriority w:val="0"/>
    <w:rPr>
      <w:rFonts w:ascii="宋体" w:hAnsi="Courier New" w:cs="Courier New"/>
      <w:szCs w:val="21"/>
    </w:rPr>
  </w:style>
  <w:style w:type="paragraph" w:customStyle="1" w:styleId="360">
    <w:name w:val="reader-word-layer reader-word-s11-5"/>
    <w:basedOn w:val="1"/>
    <w:qFormat/>
    <w:uiPriority w:val="0"/>
    <w:pPr>
      <w:widowControl/>
      <w:spacing w:before="100" w:beforeAutospacing="1" w:after="100" w:afterAutospacing="1"/>
      <w:jc w:val="left"/>
    </w:pPr>
    <w:rPr>
      <w:rFonts w:ascii="宋体" w:hAnsi="宋体" w:cs="宋体"/>
      <w:kern w:val="0"/>
      <w:sz w:val="24"/>
    </w:rPr>
  </w:style>
  <w:style w:type="paragraph" w:customStyle="1" w:styleId="361">
    <w:name w:val=" Char Char Char1 Char"/>
    <w:basedOn w:val="1"/>
    <w:semiHidden/>
    <w:qFormat/>
    <w:uiPriority w:val="0"/>
  </w:style>
  <w:style w:type="paragraph" w:customStyle="1" w:styleId="362">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3"/>
      <w:szCs w:val="23"/>
    </w:rPr>
  </w:style>
  <w:style w:type="paragraph" w:customStyle="1" w:styleId="363">
    <w:name w:val="title4"/>
    <w:basedOn w:val="1"/>
    <w:qFormat/>
    <w:uiPriority w:val="0"/>
    <w:pPr>
      <w:spacing w:beforeLines="50" w:line="480" w:lineRule="atLeast"/>
    </w:pPr>
    <w:rPr>
      <w:b/>
      <w:sz w:val="28"/>
    </w:rPr>
  </w:style>
  <w:style w:type="paragraph" w:customStyle="1" w:styleId="364">
    <w:name w:val="Char Char Char1 Char"/>
    <w:basedOn w:val="1"/>
    <w:semiHidden/>
    <w:qFormat/>
    <w:uiPriority w:val="0"/>
  </w:style>
  <w:style w:type="paragraph" w:customStyle="1" w:styleId="365">
    <w:name w:val="xl60"/>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eastAsia="Arial Unicode MS"/>
      <w:kern w:val="0"/>
      <w:sz w:val="20"/>
      <w:szCs w:val="20"/>
    </w:rPr>
  </w:style>
  <w:style w:type="paragraph" w:customStyle="1" w:styleId="366">
    <w:name w:val="CM2"/>
    <w:basedOn w:val="152"/>
    <w:next w:val="152"/>
    <w:qFormat/>
    <w:uiPriority w:val="0"/>
    <w:pPr>
      <w:spacing w:line="471" w:lineRule="atLeast"/>
    </w:pPr>
    <w:rPr>
      <w:rFonts w:cs="Times New Roman"/>
      <w:color w:val="auto"/>
    </w:rPr>
  </w:style>
  <w:style w:type="paragraph" w:customStyle="1" w:styleId="367">
    <w:name w:val="@节"/>
    <w:basedOn w:val="5"/>
    <w:qFormat/>
    <w:uiPriority w:val="0"/>
    <w:pPr>
      <w:tabs>
        <w:tab w:val="clear" w:pos="0"/>
      </w:tabs>
      <w:autoSpaceDE/>
      <w:autoSpaceDN/>
      <w:spacing w:before="260" w:beforeLines="70" w:after="260" w:afterLines="70" w:line="240" w:lineRule="auto"/>
      <w:ind w:left="0" w:firstLine="0"/>
      <w:jc w:val="both"/>
      <w:textAlignment w:val="auto"/>
    </w:pPr>
    <w:rPr>
      <w:rFonts w:ascii="宋体" w:hAnsi="宋体" w:eastAsia="宋体" w:cs="Times New Roman"/>
      <w:bCs w:val="0"/>
      <w:kern w:val="2"/>
      <w:sz w:val="32"/>
    </w:rPr>
  </w:style>
  <w:style w:type="paragraph" w:customStyle="1" w:styleId="368">
    <w:name w:val="font1"/>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369">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Arial" w:hAnsi="Arial" w:eastAsia="Arial Unicode MS" w:cs="Arial"/>
      <w:color w:val="000000"/>
      <w:kern w:val="0"/>
      <w:sz w:val="23"/>
      <w:szCs w:val="23"/>
    </w:rPr>
  </w:style>
  <w:style w:type="paragraph" w:customStyle="1" w:styleId="370">
    <w:name w:val="正文ldh"/>
    <w:basedOn w:val="1"/>
    <w:next w:val="1"/>
    <w:qFormat/>
    <w:uiPriority w:val="0"/>
    <w:pPr>
      <w:suppressAutoHyphens/>
      <w:topLinePunct/>
      <w:spacing w:line="360" w:lineRule="auto"/>
      <w:contextualSpacing/>
    </w:pPr>
    <w:rPr>
      <w:rFonts w:ascii="Calibri" w:hAnsi="Calibri" w:cs="宋体"/>
      <w:kern w:val="28"/>
      <w:sz w:val="28"/>
      <w:szCs w:val="28"/>
      <w:lang w:val="en-GB"/>
    </w:rPr>
  </w:style>
  <w:style w:type="paragraph" w:customStyle="1" w:styleId="371">
    <w:name w:val="表格数字"/>
    <w:qFormat/>
    <w:uiPriority w:val="0"/>
    <w:pPr>
      <w:jc w:val="center"/>
    </w:pPr>
    <w:rPr>
      <w:rFonts w:ascii="宋体" w:hAnsi="宋体" w:eastAsia="宋体" w:cs="Times New Roman"/>
      <w:sz w:val="21"/>
      <w:szCs w:val="21"/>
      <w:lang w:val="en-US" w:eastAsia="zh-CN" w:bidi="ar-SA"/>
    </w:rPr>
  </w:style>
  <w:style w:type="paragraph" w:customStyle="1" w:styleId="372">
    <w:name w:val="样式 标题 2 + Times New Roman 小三 居中"/>
    <w:basedOn w:val="5"/>
    <w:semiHidden/>
    <w:qFormat/>
    <w:uiPriority w:val="0"/>
    <w:pPr>
      <w:widowControl/>
      <w:autoSpaceDE/>
      <w:autoSpaceDN/>
      <w:spacing w:before="260" w:after="260" w:line="415" w:lineRule="auto"/>
      <w:ind w:firstLine="538" w:firstLineChars="192"/>
      <w:textAlignment w:val="auto"/>
    </w:pPr>
    <w:rPr>
      <w:rFonts w:ascii="Times New Roman" w:hAnsi="Times New Roman" w:cs="宋体"/>
      <w:bCs w:val="0"/>
    </w:rPr>
  </w:style>
  <w:style w:type="paragraph" w:customStyle="1" w:styleId="373">
    <w:name w:val="样式4"/>
    <w:basedOn w:val="1"/>
    <w:qFormat/>
    <w:uiPriority w:val="0"/>
    <w:pPr>
      <w:widowControl/>
      <w:tabs>
        <w:tab w:val="left" w:pos="425"/>
      </w:tabs>
      <w:ind w:left="425" w:hanging="425"/>
      <w:jc w:val="left"/>
    </w:pPr>
    <w:rPr>
      <w:kern w:val="0"/>
      <w:sz w:val="20"/>
      <w:szCs w:val="20"/>
    </w:rPr>
  </w:style>
  <w:style w:type="paragraph" w:customStyle="1" w:styleId="374">
    <w:name w:val="font17"/>
    <w:basedOn w:val="1"/>
    <w:qFormat/>
    <w:uiPriority w:val="0"/>
    <w:pPr>
      <w:widowControl/>
      <w:spacing w:before="100" w:beforeAutospacing="1" w:after="100" w:afterAutospacing="1"/>
      <w:jc w:val="left"/>
    </w:pPr>
    <w:rPr>
      <w:rFonts w:ascii="Arial" w:hAnsi="Arial" w:eastAsia="Arial Unicode MS" w:cs="Arial"/>
      <w:color w:val="FF00FF"/>
      <w:kern w:val="0"/>
      <w:sz w:val="23"/>
      <w:szCs w:val="23"/>
    </w:rPr>
  </w:style>
  <w:style w:type="paragraph" w:customStyle="1" w:styleId="375">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Arial Unicode MS" w:cs="Arial"/>
      <w:color w:val="000000"/>
      <w:kern w:val="0"/>
      <w:sz w:val="24"/>
    </w:rPr>
  </w:style>
  <w:style w:type="paragraph" w:customStyle="1" w:styleId="376">
    <w:name w:val="xl61"/>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center"/>
    </w:pPr>
    <w:rPr>
      <w:rFonts w:eastAsia="Arial Unicode MS"/>
      <w:kern w:val="0"/>
      <w:sz w:val="20"/>
      <w:szCs w:val="20"/>
    </w:rPr>
  </w:style>
  <w:style w:type="paragraph" w:customStyle="1" w:styleId="377">
    <w:name w:val="标题 333"/>
    <w:basedOn w:val="1"/>
    <w:next w:val="1"/>
    <w:qFormat/>
    <w:uiPriority w:val="0"/>
    <w:pPr>
      <w:spacing w:before="120" w:beforeLines="50"/>
      <w:outlineLvl w:val="2"/>
    </w:pPr>
    <w:rPr>
      <w:b/>
      <w:kern w:val="12"/>
      <w:sz w:val="28"/>
      <w:szCs w:val="28"/>
    </w:rPr>
  </w:style>
  <w:style w:type="paragraph" w:customStyle="1" w:styleId="378">
    <w:name w:val="表格名称"/>
    <w:basedOn w:val="47"/>
    <w:qFormat/>
    <w:uiPriority w:val="0"/>
    <w:pPr>
      <w:tabs>
        <w:tab w:val="left" w:pos="3800"/>
        <w:tab w:val="left" w:pos="5200"/>
      </w:tabs>
      <w:autoSpaceDE w:val="0"/>
      <w:autoSpaceDN w:val="0"/>
      <w:adjustRightInd w:val="0"/>
      <w:spacing w:line="500" w:lineRule="exact"/>
      <w:jc w:val="center"/>
      <w:textAlignment w:val="baseline"/>
    </w:pPr>
    <w:rPr>
      <w:rFonts w:ascii="黑体" w:hAnsi="宋体" w:eastAsia="黑体" w:cs="Times New Roman"/>
      <w:bCs/>
      <w:snapToGrid w:val="0"/>
      <w:color w:val="000000"/>
      <w:kern w:val="28"/>
      <w:sz w:val="24"/>
      <w:szCs w:val="28"/>
    </w:rPr>
  </w:style>
  <w:style w:type="paragraph" w:customStyle="1" w:styleId="379">
    <w:name w:val="Char Char Char Char Char Char"/>
    <w:basedOn w:val="1"/>
    <w:semiHidden/>
    <w:qFormat/>
    <w:uiPriority w:val="0"/>
  </w:style>
  <w:style w:type="paragraph" w:customStyle="1" w:styleId="380">
    <w:name w:val="xl72"/>
    <w:basedOn w:val="1"/>
    <w:qFormat/>
    <w:uiPriority w:val="0"/>
    <w:pPr>
      <w:widowControl/>
      <w:pBdr>
        <w:top w:val="single" w:color="auto" w:sz="4" w:space="0"/>
        <w:left w:val="single" w:color="auto" w:sz="4" w:space="0"/>
        <w:right w:val="single" w:color="auto" w:sz="8" w:space="0"/>
      </w:pBdr>
      <w:spacing w:before="100" w:beforeAutospacing="1" w:after="100" w:afterAutospacing="1"/>
      <w:jc w:val="center"/>
    </w:pPr>
    <w:rPr>
      <w:rFonts w:eastAsia="Arial Unicode MS"/>
      <w:kern w:val="0"/>
      <w:sz w:val="20"/>
      <w:szCs w:val="20"/>
    </w:rPr>
  </w:style>
  <w:style w:type="paragraph" w:customStyle="1" w:styleId="381">
    <w:name w:val="样式 宋体 五号 加粗 居中 行距: 多倍行距 1.25 字行"/>
    <w:basedOn w:val="1"/>
    <w:qFormat/>
    <w:uiPriority w:val="0"/>
    <w:pPr>
      <w:spacing w:line="300" w:lineRule="auto"/>
      <w:jc w:val="center"/>
    </w:pPr>
    <w:rPr>
      <w:rFonts w:ascii="宋体" w:hAnsi="宋体"/>
      <w:b/>
      <w:bCs/>
      <w:szCs w:val="20"/>
    </w:rPr>
  </w:style>
  <w:style w:type="paragraph" w:customStyle="1" w:styleId="382">
    <w:name w:val="reader-word-layer reader-word-s2-14 reader-word-s2-2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3">
    <w:name w:val="xl75"/>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eastAsia="Arial Unicode MS"/>
      <w:kern w:val="0"/>
      <w:sz w:val="20"/>
      <w:szCs w:val="20"/>
    </w:rPr>
  </w:style>
  <w:style w:type="paragraph" w:customStyle="1" w:styleId="384">
    <w:name w:val=" Char Char Char1 Char1 Char Char Char Char Char Char Char Char Char Char Char Char Char Char"/>
    <w:basedOn w:val="1"/>
    <w:semiHidden/>
    <w:qFormat/>
    <w:uiPriority w:val="0"/>
  </w:style>
  <w:style w:type="paragraph" w:customStyle="1" w:styleId="385">
    <w:name w:val="正文居中"/>
    <w:basedOn w:val="1"/>
    <w:qFormat/>
    <w:uiPriority w:val="0"/>
    <w:pPr>
      <w:jc w:val="center"/>
    </w:pPr>
  </w:style>
  <w:style w:type="paragraph" w:customStyle="1" w:styleId="386">
    <w:name w:val="font18"/>
    <w:basedOn w:val="1"/>
    <w:qFormat/>
    <w:uiPriority w:val="0"/>
    <w:pPr>
      <w:widowControl/>
      <w:spacing w:before="100" w:beforeAutospacing="1" w:after="100" w:afterAutospacing="1"/>
      <w:jc w:val="left"/>
    </w:pPr>
    <w:rPr>
      <w:rFonts w:hint="eastAsia" w:ascii="宋体" w:hAnsi="宋体" w:cs="Arial Unicode MS"/>
      <w:color w:val="008080"/>
      <w:kern w:val="0"/>
      <w:sz w:val="23"/>
      <w:szCs w:val="23"/>
    </w:rPr>
  </w:style>
  <w:style w:type="paragraph" w:customStyle="1" w:styleId="387">
    <w:name w:val="p17"/>
    <w:basedOn w:val="1"/>
    <w:qFormat/>
    <w:uiPriority w:val="0"/>
    <w:pPr>
      <w:widowControl/>
      <w:spacing w:after="120"/>
    </w:pPr>
    <w:rPr>
      <w:rFonts w:ascii="Arial" w:hAnsi="Arial" w:cs="Arial"/>
      <w:kern w:val="0"/>
      <w:sz w:val="28"/>
      <w:szCs w:val="28"/>
    </w:rPr>
  </w:style>
  <w:style w:type="paragraph" w:customStyle="1" w:styleId="388">
    <w:name w:val="正文文字一"/>
    <w:basedOn w:val="1"/>
    <w:qFormat/>
    <w:uiPriority w:val="0"/>
    <w:pPr>
      <w:spacing w:line="520" w:lineRule="exact"/>
      <w:ind w:firstLine="567"/>
    </w:pPr>
    <w:rPr>
      <w:sz w:val="28"/>
    </w:rPr>
  </w:style>
  <w:style w:type="paragraph" w:customStyle="1" w:styleId="389">
    <w:name w:val="默认段落字体 Para Char"/>
    <w:basedOn w:val="1"/>
    <w:next w:val="1"/>
    <w:qFormat/>
    <w:uiPriority w:val="0"/>
    <w:pPr>
      <w:spacing w:line="360" w:lineRule="auto"/>
      <w:ind w:firstLine="200" w:firstLineChars="200"/>
    </w:pPr>
    <w:rPr>
      <w:rFonts w:ascii="宋体" w:hAnsi="宋体" w:cs="宋体"/>
      <w:sz w:val="24"/>
    </w:rPr>
  </w:style>
  <w:style w:type="paragraph" w:customStyle="1" w:styleId="390">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2"/>
      <w:szCs w:val="22"/>
    </w:rPr>
  </w:style>
  <w:style w:type="paragraph" w:customStyle="1" w:styleId="391">
    <w:name w:val="Char Char Char Char Char Char Char Char Char Char Char Char Char Char Char Char Char Char Char Char Char Char Char Char Char Char Char Char Char Char Char Char Char Char Char Char Char Char Char Char Char Char Char Char Char Char"/>
    <w:basedOn w:val="1"/>
    <w:next w:val="1"/>
    <w:qFormat/>
    <w:uiPriority w:val="0"/>
    <w:pPr>
      <w:pBdr>
        <w:right w:val="single" w:color="auto" w:sz="12" w:space="4"/>
      </w:pBdr>
      <w:spacing w:line="360" w:lineRule="auto"/>
      <w:ind w:firstLine="200" w:firstLineChars="200"/>
    </w:pPr>
    <w:rPr>
      <w:rFonts w:ascii="宋体" w:hAnsi="宋体" w:cs="宋体"/>
      <w:sz w:val="24"/>
    </w:rPr>
  </w:style>
  <w:style w:type="paragraph" w:customStyle="1" w:styleId="392">
    <w:name w:val="xl38"/>
    <w:basedOn w:val="1"/>
    <w:qFormat/>
    <w:uiPriority w:val="0"/>
    <w:pPr>
      <w:widowControl/>
      <w:spacing w:before="100" w:beforeAutospacing="1" w:after="100" w:afterAutospacing="1"/>
      <w:jc w:val="left"/>
    </w:pPr>
    <w:rPr>
      <w:rFonts w:ascii="Arial Unicode MS" w:hAnsi="Arial Unicode MS" w:eastAsia="Arial Unicode MS" w:cs="Arial Unicode MS"/>
      <w:kern w:val="0"/>
      <w:sz w:val="23"/>
      <w:szCs w:val="23"/>
    </w:rPr>
  </w:style>
  <w:style w:type="paragraph" w:customStyle="1" w:styleId="393">
    <w:name w:val="_Style 391"/>
    <w:semiHidden/>
    <w:qFormat/>
    <w:uiPriority w:val="99"/>
    <w:rPr>
      <w:rFonts w:ascii="Times New Roman" w:hAnsi="Times New Roman" w:eastAsia="宋体" w:cs="Times New Roman"/>
      <w:kern w:val="2"/>
      <w:sz w:val="21"/>
      <w:szCs w:val="24"/>
      <w:lang w:val="en-US" w:eastAsia="zh-CN" w:bidi="ar-SA"/>
    </w:rPr>
  </w:style>
  <w:style w:type="paragraph" w:customStyle="1" w:styleId="394">
    <w:name w:val="font15"/>
    <w:basedOn w:val="1"/>
    <w:qFormat/>
    <w:uiPriority w:val="0"/>
    <w:pPr>
      <w:widowControl/>
      <w:spacing w:before="100" w:beforeAutospacing="1" w:after="100" w:afterAutospacing="1"/>
      <w:jc w:val="left"/>
    </w:pPr>
    <w:rPr>
      <w:rFonts w:hint="eastAsia" w:ascii="宋体" w:hAnsi="宋体" w:cs="Arial Unicode MS"/>
      <w:color w:val="FF00FF"/>
      <w:kern w:val="0"/>
      <w:sz w:val="23"/>
      <w:szCs w:val="23"/>
    </w:rPr>
  </w:style>
  <w:style w:type="paragraph" w:customStyle="1" w:styleId="395">
    <w:name w:val="样式 Arial 13 磅 行距: 固定值 25 磅"/>
    <w:basedOn w:val="1"/>
    <w:qFormat/>
    <w:uiPriority w:val="0"/>
    <w:pPr>
      <w:spacing w:line="500" w:lineRule="exact"/>
      <w:ind w:firstLine="200" w:firstLineChars="200"/>
    </w:pPr>
    <w:rPr>
      <w:rFonts w:ascii="Arial" w:hAnsi="Arial" w:cs="宋体"/>
      <w:sz w:val="26"/>
      <w:szCs w:val="20"/>
    </w:rPr>
  </w:style>
  <w:style w:type="paragraph" w:customStyle="1" w:styleId="396">
    <w:name w:val="样式 标题 3样式　标题 3　自动设置标题 3 Char章 + Times New 表题3"/>
    <w:basedOn w:val="6"/>
    <w:qFormat/>
    <w:uiPriority w:val="0"/>
    <w:pPr>
      <w:tabs>
        <w:tab w:val="left" w:pos="3800"/>
        <w:tab w:val="left" w:pos="5200"/>
      </w:tabs>
      <w:autoSpaceDE w:val="0"/>
      <w:autoSpaceDN w:val="0"/>
      <w:adjustRightInd w:val="0"/>
      <w:spacing w:before="120" w:after="120" w:line="240" w:lineRule="auto"/>
    </w:pPr>
    <w:rPr>
      <w:rFonts w:ascii="Times New Roman" w:hAnsi="Times New Roman" w:cs="宋体"/>
      <w:bCs w:val="0"/>
      <w:snapToGrid/>
      <w:kern w:val="2"/>
    </w:rPr>
  </w:style>
  <w:style w:type="paragraph" w:customStyle="1" w:styleId="397">
    <w:name w:val="样式2"/>
    <w:basedOn w:val="1"/>
    <w:qFormat/>
    <w:uiPriority w:val="0"/>
    <w:pPr>
      <w:keepNext/>
      <w:keepLines/>
      <w:autoSpaceDE w:val="0"/>
      <w:autoSpaceDN w:val="0"/>
      <w:spacing w:before="120" w:after="120" w:line="500" w:lineRule="exact"/>
      <w:jc w:val="left"/>
      <w:textAlignment w:val="bottom"/>
      <w:outlineLvl w:val="1"/>
    </w:pPr>
    <w:rPr>
      <w:rFonts w:ascii="Arial" w:hAnsi="Arial" w:cs="Arial"/>
      <w:b/>
      <w:bCs/>
      <w:kern w:val="0"/>
      <w:sz w:val="28"/>
      <w:szCs w:val="20"/>
    </w:rPr>
  </w:style>
  <w:style w:type="paragraph" w:customStyle="1" w:styleId="398">
    <w:name w:val="样式 标题 3 + 小三 非加粗 黑色"/>
    <w:basedOn w:val="6"/>
    <w:qFormat/>
    <w:uiPriority w:val="0"/>
    <w:pPr>
      <w:widowControl/>
      <w:spacing w:after="120" w:line="240" w:lineRule="auto"/>
      <w:ind w:left="105" w:firstLine="0"/>
      <w:jc w:val="left"/>
    </w:pPr>
    <w:rPr>
      <w:rFonts w:ascii="Times New Roman" w:hAnsi="Times New Roman" w:cs="Times New Roman"/>
      <w:snapToGrid/>
      <w:sz w:val="30"/>
      <w:szCs w:val="30"/>
    </w:rPr>
  </w:style>
  <w:style w:type="paragraph" w:customStyle="1" w:styleId="399">
    <w:name w:val=" Char Char Char1 Char Char Char Char Char Char Char Char Char Char Char Char Char"/>
    <w:basedOn w:val="1"/>
    <w:semiHidden/>
    <w:qFormat/>
    <w:uiPriority w:val="0"/>
  </w:style>
  <w:style w:type="paragraph" w:customStyle="1" w:styleId="400">
    <w:name w:val="reader-word-layer reader-word-s2-19"/>
    <w:basedOn w:val="1"/>
    <w:qFormat/>
    <w:uiPriority w:val="0"/>
    <w:pPr>
      <w:widowControl/>
      <w:spacing w:before="100" w:beforeAutospacing="1" w:after="100" w:afterAutospacing="1"/>
      <w:jc w:val="left"/>
    </w:pPr>
    <w:rPr>
      <w:rFonts w:ascii="宋体" w:hAnsi="宋体" w:cs="宋体"/>
      <w:kern w:val="0"/>
      <w:sz w:val="24"/>
    </w:rPr>
  </w:style>
  <w:style w:type="paragraph" w:customStyle="1" w:styleId="401">
    <w:name w:val="reader-word-layer reader-word-s2-21"/>
    <w:basedOn w:val="1"/>
    <w:qFormat/>
    <w:uiPriority w:val="0"/>
    <w:pPr>
      <w:widowControl/>
      <w:spacing w:before="100" w:beforeAutospacing="1" w:after="100" w:afterAutospacing="1"/>
      <w:jc w:val="left"/>
    </w:pPr>
    <w:rPr>
      <w:rFonts w:ascii="宋体" w:hAnsi="宋体" w:cs="宋体"/>
      <w:kern w:val="0"/>
      <w:sz w:val="24"/>
    </w:rPr>
  </w:style>
  <w:style w:type="paragraph" w:customStyle="1" w:styleId="402">
    <w:name w:val="font11"/>
    <w:basedOn w:val="1"/>
    <w:qFormat/>
    <w:uiPriority w:val="0"/>
    <w:pPr>
      <w:widowControl/>
      <w:spacing w:before="100" w:beforeAutospacing="1" w:after="100" w:afterAutospacing="1"/>
      <w:jc w:val="left"/>
    </w:pPr>
    <w:rPr>
      <w:rFonts w:hint="eastAsia" w:ascii="宋体" w:hAnsi="宋体" w:cs="Arial Unicode MS"/>
      <w:color w:val="FF0000"/>
      <w:kern w:val="0"/>
      <w:sz w:val="23"/>
      <w:szCs w:val="23"/>
    </w:rPr>
  </w:style>
  <w:style w:type="paragraph" w:customStyle="1" w:styleId="403">
    <w:name w:val="正文文字"/>
    <w:basedOn w:val="1"/>
    <w:semiHidden/>
    <w:qFormat/>
    <w:uiPriority w:val="0"/>
    <w:pPr>
      <w:widowControl/>
      <w:tabs>
        <w:tab w:val="left" w:pos="1332"/>
      </w:tabs>
      <w:spacing w:line="351" w:lineRule="atLeast"/>
      <w:ind w:firstLine="680"/>
      <w:textAlignment w:val="baseline"/>
    </w:pPr>
    <w:rPr>
      <w:bCs/>
      <w:color w:val="000000"/>
      <w:spacing w:val="5"/>
      <w:kern w:val="0"/>
      <w:szCs w:val="21"/>
      <w:u w:val="none" w:color="000000"/>
    </w:rPr>
  </w:style>
  <w:style w:type="paragraph" w:customStyle="1" w:styleId="404">
    <w:name w:val="xl69"/>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405">
    <w:name w:val="Char"/>
    <w:basedOn w:val="1"/>
    <w:qFormat/>
    <w:uiPriority w:val="0"/>
  </w:style>
  <w:style w:type="paragraph" w:customStyle="1" w:styleId="406">
    <w:name w:val=" Char Char Char1 Char1 Char Char Char Char Char Char Char Char Char Char Char Char"/>
    <w:basedOn w:val="1"/>
    <w:semiHidden/>
    <w:qFormat/>
    <w:uiPriority w:val="0"/>
  </w:style>
  <w:style w:type="paragraph" w:customStyle="1" w:styleId="407">
    <w:name w:val="公正文"/>
    <w:basedOn w:val="7"/>
    <w:qFormat/>
    <w:uiPriority w:val="0"/>
    <w:pPr>
      <w:adjustRightInd w:val="0"/>
      <w:snapToGrid w:val="0"/>
      <w:spacing w:line="355" w:lineRule="auto"/>
      <w:ind w:firstLine="200"/>
    </w:pPr>
    <w:rPr>
      <w:rFonts w:ascii="宋体" w:hAnsi="宋体" w:eastAsia="仿宋_GB2312"/>
      <w:sz w:val="28"/>
      <w:szCs w:val="28"/>
    </w:rPr>
  </w:style>
  <w:style w:type="paragraph" w:customStyle="1" w:styleId="408">
    <w:name w:val="正文文字 2"/>
    <w:basedOn w:val="1"/>
    <w:qFormat/>
    <w:uiPriority w:val="0"/>
    <w:rPr>
      <w:rFonts w:ascii="宋体" w:cs="宋体"/>
      <w:color w:val="000000"/>
      <w:sz w:val="28"/>
      <w:szCs w:val="28"/>
    </w:rPr>
  </w:style>
  <w:style w:type="paragraph" w:customStyle="1" w:styleId="409">
    <w:name w:val="reader-word-layer reader-word-s2-22"/>
    <w:basedOn w:val="1"/>
    <w:qFormat/>
    <w:uiPriority w:val="0"/>
    <w:pPr>
      <w:widowControl/>
      <w:spacing w:before="100" w:beforeAutospacing="1" w:after="100" w:afterAutospacing="1"/>
      <w:jc w:val="left"/>
    </w:pPr>
    <w:rPr>
      <w:rFonts w:ascii="宋体" w:hAnsi="宋体" w:cs="宋体"/>
      <w:kern w:val="0"/>
      <w:sz w:val="24"/>
    </w:rPr>
  </w:style>
  <w:style w:type="paragraph" w:customStyle="1" w:styleId="410">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FF0000"/>
      <w:kern w:val="0"/>
      <w:sz w:val="18"/>
      <w:szCs w:val="18"/>
    </w:rPr>
  </w:style>
  <w:style w:type="paragraph" w:customStyle="1" w:styleId="411">
    <w:name w:val="p15"/>
    <w:basedOn w:val="1"/>
    <w:qFormat/>
    <w:uiPriority w:val="0"/>
    <w:pPr>
      <w:widowControl/>
      <w:jc w:val="center"/>
    </w:pPr>
    <w:rPr>
      <w:rFonts w:ascii="Arial" w:hAnsi="Arial" w:cs="Arial"/>
      <w:kern w:val="0"/>
      <w:szCs w:val="21"/>
    </w:rPr>
  </w:style>
  <w:style w:type="paragraph" w:customStyle="1" w:styleId="412">
    <w:name w:val=" Char Char Char Char Char Char1 Char Char Char Char"/>
    <w:basedOn w:val="1"/>
    <w:qFormat/>
    <w:uiPriority w:val="0"/>
    <w:rPr>
      <w:sz w:val="24"/>
    </w:rPr>
  </w:style>
  <w:style w:type="paragraph" w:customStyle="1" w:styleId="413">
    <w:name w:val="Char1"/>
    <w:basedOn w:val="1"/>
    <w:semiHidden/>
    <w:qFormat/>
    <w:uiPriority w:val="0"/>
  </w:style>
  <w:style w:type="paragraph" w:customStyle="1" w:styleId="414">
    <w:name w:val="4"/>
    <w:basedOn w:val="10"/>
    <w:qFormat/>
    <w:uiPriority w:val="0"/>
    <w:pPr>
      <w:tabs>
        <w:tab w:val="left" w:pos="1440"/>
      </w:tabs>
      <w:adjustRightInd/>
      <w:spacing w:line="320" w:lineRule="auto"/>
      <w:jc w:val="both"/>
      <w:textAlignment w:val="auto"/>
    </w:pPr>
    <w:rPr>
      <w:rFonts w:ascii="Calibri" w:hAnsi="Calibri" w:eastAsia="宋体"/>
      <w:bCs/>
      <w:szCs w:val="24"/>
      <w:lang w:eastAsia="en-US" w:bidi="en-US"/>
    </w:rPr>
  </w:style>
  <w:style w:type="paragraph" w:customStyle="1" w:styleId="415">
    <w:name w:val="reader-word-layer reader-word-s11-6"/>
    <w:basedOn w:val="1"/>
    <w:qFormat/>
    <w:uiPriority w:val="0"/>
    <w:pPr>
      <w:widowControl/>
      <w:spacing w:before="100" w:beforeAutospacing="1" w:after="100" w:afterAutospacing="1"/>
      <w:jc w:val="left"/>
    </w:pPr>
    <w:rPr>
      <w:rFonts w:ascii="宋体" w:hAnsi="宋体" w:cs="宋体"/>
      <w:kern w:val="0"/>
      <w:sz w:val="24"/>
    </w:rPr>
  </w:style>
  <w:style w:type="paragraph" w:customStyle="1" w:styleId="416">
    <w:name w:val="样式 标题 1 + (中文) 黑体 三号 居中 行距: 单倍行距"/>
    <w:basedOn w:val="4"/>
    <w:semiHidden/>
    <w:qFormat/>
    <w:uiPriority w:val="0"/>
    <w:pPr>
      <w:keepNext/>
      <w:keepLines/>
      <w:widowControl/>
      <w:topLinePunct/>
      <w:spacing w:before="340" w:beforeLines="0" w:after="330" w:afterLines="0" w:line="240" w:lineRule="auto"/>
      <w:ind w:firstLine="538" w:firstLineChars="224"/>
      <w:jc w:val="left"/>
      <w:textAlignment w:val="auto"/>
    </w:pPr>
    <w:rPr>
      <w:rFonts w:ascii="宋体" w:hAnsi="Times New Roman" w:cs="宋体"/>
      <w:b w:val="0"/>
      <w:kern w:val="44"/>
      <w:szCs w:val="20"/>
    </w:rPr>
  </w:style>
  <w:style w:type="paragraph" w:customStyle="1" w:styleId="417">
    <w:name w:val="正文文字缩进 31"/>
    <w:basedOn w:val="1"/>
    <w:next w:val="53"/>
    <w:semiHidden/>
    <w:qFormat/>
    <w:uiPriority w:val="0"/>
    <w:pPr>
      <w:spacing w:line="360" w:lineRule="auto"/>
      <w:ind w:firstLine="280" w:firstLineChars="100"/>
    </w:pPr>
    <w:rPr>
      <w:rFonts w:ascii="宋体" w:hAnsi="宋体" w:cs="宋体"/>
      <w:bCs/>
      <w:sz w:val="28"/>
      <w:szCs w:val="30"/>
    </w:rPr>
  </w:style>
  <w:style w:type="paragraph" w:customStyle="1" w:styleId="418">
    <w:name w:val="album-div"/>
    <w:basedOn w:val="1"/>
    <w:qFormat/>
    <w:uiPriority w:val="0"/>
    <w:pPr>
      <w:widowControl/>
      <w:spacing w:before="100" w:beforeAutospacing="1" w:after="100" w:afterAutospacing="1"/>
      <w:jc w:val="left"/>
    </w:pPr>
    <w:rPr>
      <w:rFonts w:ascii="宋体" w:hAnsi="宋体" w:cs="宋体"/>
      <w:kern w:val="0"/>
      <w:sz w:val="24"/>
    </w:rPr>
  </w:style>
  <w:style w:type="paragraph" w:customStyle="1" w:styleId="419">
    <w:name w:val="样式 宋体 四号 黑色 两端对齐 首行缩进:  2 字符1"/>
    <w:basedOn w:val="1"/>
    <w:qFormat/>
    <w:uiPriority w:val="0"/>
    <w:pPr>
      <w:widowControl/>
      <w:ind w:firstLine="560" w:firstLineChars="200"/>
    </w:pPr>
    <w:rPr>
      <w:rFonts w:cs="宋体"/>
      <w:color w:val="000000"/>
      <w:kern w:val="0"/>
      <w:sz w:val="28"/>
      <w:szCs w:val="28"/>
    </w:rPr>
  </w:style>
  <w:style w:type="paragraph" w:customStyle="1" w:styleId="420">
    <w:name w:val="_Style 16"/>
    <w:basedOn w:val="1"/>
    <w:qFormat/>
    <w:uiPriority w:val="0"/>
  </w:style>
  <w:style w:type="paragraph" w:customStyle="1" w:styleId="421">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2"/>
      <w:szCs w:val="22"/>
    </w:rPr>
  </w:style>
  <w:style w:type="paragraph" w:customStyle="1" w:styleId="422">
    <w:name w:val="reader-word-layer reader-word-s11-12"/>
    <w:basedOn w:val="1"/>
    <w:qFormat/>
    <w:uiPriority w:val="0"/>
    <w:pPr>
      <w:widowControl/>
      <w:spacing w:before="100" w:beforeAutospacing="1" w:after="100" w:afterAutospacing="1"/>
      <w:jc w:val="left"/>
    </w:pPr>
    <w:rPr>
      <w:rFonts w:ascii="宋体" w:hAnsi="宋体" w:cs="宋体"/>
      <w:kern w:val="0"/>
      <w:sz w:val="24"/>
    </w:rPr>
  </w:style>
  <w:style w:type="paragraph" w:customStyle="1" w:styleId="423">
    <w:name w:val="reader-word-layer reader-word-s12-5"/>
    <w:basedOn w:val="1"/>
    <w:qFormat/>
    <w:uiPriority w:val="0"/>
    <w:pPr>
      <w:widowControl/>
      <w:spacing w:before="100" w:beforeAutospacing="1" w:after="100" w:afterAutospacing="1"/>
      <w:jc w:val="left"/>
    </w:pPr>
    <w:rPr>
      <w:rFonts w:ascii="宋体" w:hAnsi="宋体" w:cs="宋体"/>
      <w:kern w:val="0"/>
      <w:sz w:val="24"/>
    </w:rPr>
  </w:style>
  <w:style w:type="paragraph" w:customStyle="1" w:styleId="424">
    <w:name w:val="xl2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Arial Unicode MS"/>
      <w:color w:val="000000"/>
      <w:kern w:val="0"/>
      <w:sz w:val="22"/>
      <w:szCs w:val="22"/>
    </w:rPr>
  </w:style>
  <w:style w:type="paragraph" w:customStyle="1" w:styleId="425">
    <w:name w:val="xl4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Arial" w:hAnsi="Arial" w:eastAsia="Arial Unicode MS" w:cs="Arial"/>
      <w:color w:val="000000"/>
      <w:kern w:val="0"/>
      <w:sz w:val="23"/>
      <w:szCs w:val="23"/>
    </w:rPr>
  </w:style>
  <w:style w:type="paragraph" w:customStyle="1" w:styleId="426">
    <w:name w:val="xl67"/>
    <w:basedOn w:val="1"/>
    <w:qFormat/>
    <w:uiPriority w:val="0"/>
    <w:pPr>
      <w:widowControl/>
      <w:pBdr>
        <w:top w:val="single" w:color="auto" w:sz="8" w:space="0"/>
        <w:left w:val="single" w:color="auto" w:sz="4" w:space="0"/>
        <w:right w:val="single" w:color="auto" w:sz="8"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427">
    <w:name w:val="样式 标题 1 + Times New Roman 加粗"/>
    <w:basedOn w:val="4"/>
    <w:qFormat/>
    <w:uiPriority w:val="0"/>
    <w:pPr>
      <w:spacing w:before="100" w:beforeAutospacing="1" w:after="320" w:line="240" w:lineRule="auto"/>
      <w:ind w:left="729" w:hanging="567"/>
      <w:jc w:val="left"/>
    </w:pPr>
    <w:rPr>
      <w:rFonts w:ascii="Times New Roman" w:hAnsi="Times New Roman" w:cs="Times New Roman"/>
      <w:snapToGrid/>
      <w:kern w:val="44"/>
      <w:sz w:val="44"/>
      <w:szCs w:val="44"/>
    </w:rPr>
  </w:style>
  <w:style w:type="paragraph" w:customStyle="1" w:styleId="428">
    <w:name w:val="font8"/>
    <w:basedOn w:val="1"/>
    <w:qFormat/>
    <w:uiPriority w:val="0"/>
    <w:pPr>
      <w:widowControl/>
      <w:spacing w:before="100" w:beforeAutospacing="1" w:after="100" w:afterAutospacing="1"/>
      <w:jc w:val="left"/>
    </w:pPr>
    <w:rPr>
      <w:rFonts w:ascii="Arial" w:hAnsi="Arial" w:eastAsia="Arial Unicode MS" w:cs="Arial"/>
      <w:kern w:val="0"/>
      <w:sz w:val="23"/>
      <w:szCs w:val="23"/>
    </w:rPr>
  </w:style>
  <w:style w:type="paragraph" w:customStyle="1" w:styleId="429">
    <w:name w:val="xl4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w:hAnsi="Arial" w:eastAsia="Arial Unicode MS" w:cs="Arial"/>
      <w:kern w:val="0"/>
      <w:szCs w:val="21"/>
    </w:rPr>
  </w:style>
  <w:style w:type="paragraph" w:customStyle="1" w:styleId="430">
    <w:name w:val="表内文字"/>
    <w:basedOn w:val="1"/>
    <w:qFormat/>
    <w:uiPriority w:val="0"/>
    <w:pPr>
      <w:spacing w:line="360" w:lineRule="exact"/>
      <w:jc w:val="center"/>
    </w:pPr>
    <w:rPr>
      <w:rFonts w:eastAsia="楷体_GB2312"/>
    </w:rPr>
  </w:style>
  <w:style w:type="paragraph" w:customStyle="1" w:styleId="431">
    <w:name w:val="reader-word-layer reader-word-s2-8 reader-word-s2-20"/>
    <w:basedOn w:val="1"/>
    <w:qFormat/>
    <w:uiPriority w:val="0"/>
    <w:pPr>
      <w:widowControl/>
      <w:spacing w:before="100" w:beforeAutospacing="1" w:after="100" w:afterAutospacing="1"/>
      <w:jc w:val="left"/>
    </w:pPr>
    <w:rPr>
      <w:rFonts w:ascii="宋体" w:hAnsi="宋体" w:cs="宋体"/>
      <w:kern w:val="0"/>
      <w:sz w:val="24"/>
    </w:rPr>
  </w:style>
  <w:style w:type="paragraph" w:customStyle="1" w:styleId="432">
    <w:name w:val="样式 标题 3 + 宋体 四号"/>
    <w:basedOn w:val="6"/>
    <w:qFormat/>
    <w:uiPriority w:val="99"/>
    <w:pPr>
      <w:tabs>
        <w:tab w:val="clear" w:pos="0"/>
      </w:tabs>
      <w:ind w:left="0" w:firstLine="630" w:firstLineChars="224"/>
    </w:pPr>
    <w:rPr>
      <w:rFonts w:ascii="宋体" w:hAnsi="宋体"/>
      <w:kern w:val="0"/>
    </w:rPr>
  </w:style>
  <w:style w:type="paragraph" w:customStyle="1" w:styleId="433">
    <w:name w:val="样式 样式 (中文) 黑体 加粗 + 首行缩进:  1.98 字符"/>
    <w:basedOn w:val="1"/>
    <w:qFormat/>
    <w:uiPriority w:val="0"/>
    <w:pPr>
      <w:adjustRightInd w:val="0"/>
      <w:spacing w:line="500" w:lineRule="exact"/>
      <w:ind w:firstLine="557" w:firstLineChars="198"/>
      <w:textAlignment w:val="baseline"/>
    </w:pPr>
    <w:rPr>
      <w:rFonts w:eastAsia="新宋体" w:cs="宋体"/>
      <w:b/>
      <w:bCs/>
      <w:sz w:val="28"/>
      <w:szCs w:val="28"/>
    </w:rPr>
  </w:style>
  <w:style w:type="paragraph" w:customStyle="1" w:styleId="434">
    <w:name w:val="1"/>
    <w:basedOn w:val="1"/>
    <w:qFormat/>
    <w:uiPriority w:val="0"/>
    <w:pPr>
      <w:spacing w:line="400" w:lineRule="exact"/>
      <w:ind w:firstLine="567"/>
    </w:pPr>
    <w:rPr>
      <w:rFonts w:ascii="宋体" w:hAnsi="宋体"/>
      <w:sz w:val="24"/>
      <w:szCs w:val="20"/>
    </w:rPr>
  </w:style>
  <w:style w:type="paragraph" w:customStyle="1" w:styleId="435">
    <w:name w:val="reader-word-layer reader-word-s12-2"/>
    <w:basedOn w:val="1"/>
    <w:qFormat/>
    <w:uiPriority w:val="0"/>
    <w:pPr>
      <w:widowControl/>
      <w:spacing w:before="100" w:beforeAutospacing="1" w:after="100" w:afterAutospacing="1"/>
      <w:jc w:val="left"/>
    </w:pPr>
    <w:rPr>
      <w:rFonts w:ascii="宋体" w:hAnsi="宋体" w:cs="宋体"/>
      <w:kern w:val="0"/>
      <w:sz w:val="24"/>
    </w:rPr>
  </w:style>
  <w:style w:type="paragraph" w:customStyle="1" w:styleId="436">
    <w:name w:val="Char Char Char Char"/>
    <w:basedOn w:val="1"/>
    <w:qFormat/>
    <w:uiPriority w:val="0"/>
  </w:style>
  <w:style w:type="paragraph" w:customStyle="1" w:styleId="437">
    <w:name w:val="样式 左侧:  0.85 厘米2"/>
    <w:basedOn w:val="1"/>
    <w:qFormat/>
    <w:uiPriority w:val="0"/>
    <w:pPr>
      <w:wordWrap w:val="0"/>
      <w:spacing w:line="360" w:lineRule="auto"/>
      <w:ind w:firstLine="200" w:firstLineChars="200"/>
      <w:jc w:val="left"/>
    </w:pPr>
    <w:rPr>
      <w:rFonts w:eastAsia="仿宋_GB2312" w:cs="宋体"/>
      <w:sz w:val="24"/>
      <w:szCs w:val="20"/>
    </w:rPr>
  </w:style>
  <w:style w:type="paragraph" w:customStyle="1" w:styleId="438">
    <w:name w:val=" Char Char Char Char Char Char Char Char Char Char Char Char Char Char Char Char Char Char Char Char Char Char Char Char Char Char Char Char Char Char Char Char Char Char Char Char Char Char Char Char Char Char Char Char Char Char Char Char1"/>
    <w:basedOn w:val="1"/>
    <w:next w:val="1"/>
    <w:qFormat/>
    <w:uiPriority w:val="0"/>
    <w:pPr>
      <w:pBdr>
        <w:right w:val="single" w:color="auto" w:sz="12" w:space="4"/>
      </w:pBdr>
      <w:spacing w:line="360" w:lineRule="auto"/>
      <w:ind w:firstLine="200" w:firstLineChars="200"/>
    </w:pPr>
    <w:rPr>
      <w:rFonts w:ascii="宋体" w:hAnsi="宋体" w:cs="宋体"/>
      <w:sz w:val="24"/>
    </w:rPr>
  </w:style>
  <w:style w:type="paragraph" w:customStyle="1" w:styleId="439">
    <w:name w:val="reader-word-layer reader-word-s2-9"/>
    <w:basedOn w:val="1"/>
    <w:qFormat/>
    <w:uiPriority w:val="0"/>
    <w:pPr>
      <w:widowControl/>
      <w:spacing w:before="100" w:beforeAutospacing="1" w:after="100" w:afterAutospacing="1"/>
      <w:jc w:val="left"/>
    </w:pPr>
    <w:rPr>
      <w:rFonts w:ascii="宋体" w:hAnsi="宋体" w:cs="宋体"/>
      <w:kern w:val="0"/>
      <w:sz w:val="24"/>
    </w:rPr>
  </w:style>
  <w:style w:type="paragraph" w:customStyle="1" w:styleId="44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Cs w:val="21"/>
    </w:rPr>
  </w:style>
  <w:style w:type="paragraph" w:customStyle="1" w:styleId="441">
    <w:name w:val="纯文本1"/>
    <w:basedOn w:val="1"/>
    <w:qFormat/>
    <w:uiPriority w:val="0"/>
    <w:pPr>
      <w:adjustRightInd w:val="0"/>
      <w:jc w:val="left"/>
      <w:textAlignment w:val="baseline"/>
    </w:pPr>
    <w:rPr>
      <w:rFonts w:ascii="宋体"/>
      <w:kern w:val="0"/>
      <w:sz w:val="24"/>
      <w:szCs w:val="20"/>
    </w:rPr>
  </w:style>
  <w:style w:type="paragraph" w:customStyle="1" w:styleId="442">
    <w:name w:val="Char Char Char Char Char Char1 Char Char Char Char"/>
    <w:basedOn w:val="1"/>
    <w:qFormat/>
    <w:uiPriority w:val="0"/>
    <w:rPr>
      <w:sz w:val="24"/>
    </w:rPr>
  </w:style>
  <w:style w:type="paragraph" w:customStyle="1" w:styleId="443">
    <w:name w:val="Char Char Char Char Char Char Char"/>
    <w:basedOn w:val="1"/>
    <w:next w:val="1"/>
    <w:qFormat/>
    <w:uiPriority w:val="0"/>
    <w:pPr>
      <w:spacing w:line="360" w:lineRule="auto"/>
      <w:ind w:firstLine="200" w:firstLineChars="200"/>
    </w:pPr>
    <w:rPr>
      <w:rFonts w:ascii="宋体" w:hAnsi="宋体" w:cs="宋体"/>
      <w:sz w:val="24"/>
    </w:rPr>
  </w:style>
  <w:style w:type="paragraph" w:customStyle="1" w:styleId="444">
    <w:name w:val=" Char Char Char1 Char1 Char Char Char"/>
    <w:basedOn w:val="1"/>
    <w:semiHidden/>
    <w:qFormat/>
    <w:uiPriority w:val="0"/>
  </w:style>
  <w:style w:type="paragraph" w:customStyle="1" w:styleId="445">
    <w:name w:val="样式7"/>
    <w:basedOn w:val="1"/>
    <w:qFormat/>
    <w:uiPriority w:val="0"/>
    <w:pPr>
      <w:adjustRightInd w:val="0"/>
      <w:spacing w:line="360" w:lineRule="auto"/>
      <w:textAlignment w:val="baseline"/>
    </w:pPr>
    <w:rPr>
      <w:sz w:val="24"/>
    </w:rPr>
  </w:style>
  <w:style w:type="paragraph" w:customStyle="1" w:styleId="446">
    <w:name w:val="xl66"/>
    <w:basedOn w:val="1"/>
    <w:qFormat/>
    <w:uiPriority w:val="0"/>
    <w:pPr>
      <w:widowControl/>
      <w:pBdr>
        <w:top w:val="single" w:color="auto" w:sz="8" w:space="0"/>
        <w:left w:val="single" w:color="auto" w:sz="8"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447">
    <w:name w:val="font9"/>
    <w:basedOn w:val="1"/>
    <w:qFormat/>
    <w:uiPriority w:val="0"/>
    <w:pPr>
      <w:widowControl/>
      <w:spacing w:before="100" w:beforeAutospacing="1" w:after="100" w:afterAutospacing="1"/>
      <w:jc w:val="left"/>
    </w:pPr>
    <w:rPr>
      <w:rFonts w:eastAsia="Arial Unicode MS"/>
      <w:kern w:val="0"/>
      <w:sz w:val="22"/>
      <w:szCs w:val="22"/>
    </w:rPr>
  </w:style>
  <w:style w:type="paragraph" w:customStyle="1" w:styleId="448">
    <w:name w:val="area"/>
    <w:basedOn w:val="1"/>
    <w:qFormat/>
    <w:uiPriority w:val="0"/>
    <w:pPr>
      <w:widowControl/>
      <w:spacing w:before="100" w:beforeAutospacing="1" w:after="100" w:afterAutospacing="1"/>
      <w:jc w:val="left"/>
    </w:pPr>
    <w:rPr>
      <w:rFonts w:ascii="宋体" w:hAnsi="宋体" w:cs="宋体"/>
      <w:kern w:val="0"/>
      <w:sz w:val="24"/>
    </w:rPr>
  </w:style>
  <w:style w:type="paragraph" w:customStyle="1" w:styleId="449">
    <w:name w:val="reader-word-layer reader-word-s2-24"/>
    <w:basedOn w:val="1"/>
    <w:qFormat/>
    <w:uiPriority w:val="0"/>
    <w:pPr>
      <w:widowControl/>
      <w:spacing w:before="100" w:beforeAutospacing="1" w:after="100" w:afterAutospacing="1"/>
      <w:jc w:val="left"/>
    </w:pPr>
    <w:rPr>
      <w:rFonts w:ascii="宋体" w:hAnsi="宋体" w:cs="宋体"/>
      <w:kern w:val="0"/>
      <w:sz w:val="24"/>
    </w:rPr>
  </w:style>
  <w:style w:type="paragraph" w:customStyle="1" w:styleId="450">
    <w:name w:val="样式 黑色 行距: 1.5 倍行距"/>
    <w:basedOn w:val="1"/>
    <w:qFormat/>
    <w:uiPriority w:val="0"/>
    <w:pPr>
      <w:spacing w:line="520" w:lineRule="exact"/>
      <w:ind w:firstLine="200" w:firstLineChars="200"/>
    </w:pPr>
    <w:rPr>
      <w:rFonts w:cs="宋体"/>
      <w:color w:val="000000"/>
      <w:sz w:val="28"/>
      <w:szCs w:val="20"/>
    </w:rPr>
  </w:style>
  <w:style w:type="paragraph" w:customStyle="1" w:styleId="451">
    <w:name w:val=" Char Char Char1 Char Char Char Char Char Char Char1 Char Char Char"/>
    <w:basedOn w:val="1"/>
    <w:semiHidden/>
    <w:qFormat/>
    <w:uiPriority w:val="0"/>
  </w:style>
  <w:style w:type="paragraph" w:customStyle="1" w:styleId="452">
    <w:name w:val="列出段落1"/>
    <w:basedOn w:val="1"/>
    <w:qFormat/>
    <w:uiPriority w:val="34"/>
    <w:pPr>
      <w:ind w:firstLine="420" w:firstLineChars="200"/>
    </w:pPr>
    <w:rPr>
      <w:rFonts w:ascii="Calibri" w:hAnsi="Calibri" w:eastAsia="宋体" w:cs="Times New Roman"/>
      <w:szCs w:val="22"/>
    </w:rPr>
  </w:style>
  <w:style w:type="paragraph" w:customStyle="1" w:styleId="453">
    <w:name w:val="font20"/>
    <w:basedOn w:val="1"/>
    <w:qFormat/>
    <w:uiPriority w:val="0"/>
    <w:pPr>
      <w:widowControl/>
      <w:spacing w:before="100" w:beforeAutospacing="1" w:after="100" w:afterAutospacing="1"/>
      <w:jc w:val="left"/>
    </w:pPr>
    <w:rPr>
      <w:rFonts w:ascii="Arial" w:hAnsi="Arial" w:eastAsia="Arial Unicode MS" w:cs="Arial"/>
      <w:color w:val="008080"/>
      <w:kern w:val="0"/>
      <w:sz w:val="23"/>
      <w:szCs w:val="23"/>
    </w:rPr>
  </w:style>
  <w:style w:type="paragraph" w:customStyle="1" w:styleId="454">
    <w:name w:val="xl7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455">
    <w:name w:val="_Style 453"/>
    <w:basedOn w:val="4"/>
    <w:next w:val="1"/>
    <w:qFormat/>
    <w:uiPriority w:val="39"/>
    <w:pPr>
      <w:keepNext/>
      <w:keepLines/>
      <w:widowControl/>
      <w:autoSpaceDE/>
      <w:autoSpaceDN/>
      <w:adjustRightInd/>
      <w:snapToGrid/>
      <w:spacing w:before="480" w:line="276" w:lineRule="auto"/>
      <w:jc w:val="left"/>
      <w:textAlignment w:val="auto"/>
      <w:outlineLvl w:val="9"/>
    </w:pPr>
    <w:rPr>
      <w:rFonts w:ascii="Cambria" w:hAnsi="Cambria" w:eastAsia="宋体" w:cs="Times New Roman"/>
      <w:b w:val="0"/>
      <w:bCs w:val="0"/>
      <w:snapToGrid/>
      <w:color w:val="365F91"/>
      <w:sz w:val="28"/>
      <w:szCs w:val="28"/>
    </w:rPr>
  </w:style>
  <w:style w:type="paragraph" w:customStyle="1" w:styleId="456">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top"/>
    </w:pPr>
    <w:rPr>
      <w:rFonts w:ascii="Arial" w:hAnsi="Arial" w:eastAsia="Arial Unicode MS" w:cs="Arial"/>
      <w:color w:val="000000"/>
      <w:kern w:val="0"/>
      <w:sz w:val="23"/>
      <w:szCs w:val="23"/>
    </w:rPr>
  </w:style>
  <w:style w:type="paragraph" w:customStyle="1" w:styleId="457">
    <w:name w:val="样式 Arial 居中"/>
    <w:basedOn w:val="1"/>
    <w:qFormat/>
    <w:uiPriority w:val="0"/>
    <w:pPr>
      <w:jc w:val="center"/>
    </w:pPr>
    <w:rPr>
      <w:rFonts w:ascii="Arial" w:hAnsi="Arial" w:cs="宋体"/>
      <w:kern w:val="0"/>
      <w:szCs w:val="20"/>
    </w:rPr>
  </w:style>
  <w:style w:type="paragraph" w:customStyle="1" w:styleId="458">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Arial Unicode MS" w:cs="Arial"/>
      <w:kern w:val="0"/>
      <w:szCs w:val="21"/>
    </w:rPr>
  </w:style>
  <w:style w:type="paragraph" w:customStyle="1" w:styleId="459">
    <w:name w:val="xl54"/>
    <w:basedOn w:val="1"/>
    <w:qFormat/>
    <w:uiPriority w:val="0"/>
    <w:pPr>
      <w:widowControl/>
      <w:pBdr>
        <w:top w:val="single" w:color="auto" w:sz="4" w:space="0"/>
        <w:bottom w:val="single" w:color="auto" w:sz="4" w:space="0"/>
        <w:right w:val="single" w:color="000000" w:sz="4" w:space="0"/>
      </w:pBdr>
      <w:spacing w:before="100" w:beforeAutospacing="1" w:after="100" w:afterAutospacing="1"/>
      <w:jc w:val="left"/>
    </w:pPr>
    <w:rPr>
      <w:rFonts w:hint="eastAsia" w:ascii="黑体" w:hAnsi="Arial Unicode MS" w:eastAsia="黑体"/>
      <w:b/>
      <w:bCs/>
      <w:kern w:val="0"/>
      <w:sz w:val="23"/>
      <w:szCs w:val="23"/>
    </w:rPr>
  </w:style>
  <w:style w:type="paragraph" w:customStyle="1" w:styleId="460">
    <w:name w:val="xl5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3"/>
      <w:szCs w:val="23"/>
    </w:rPr>
  </w:style>
  <w:style w:type="paragraph" w:customStyle="1" w:styleId="461">
    <w:name w:val="reader-word-layer reader-word-s2-20"/>
    <w:basedOn w:val="1"/>
    <w:qFormat/>
    <w:uiPriority w:val="0"/>
    <w:pPr>
      <w:widowControl/>
      <w:spacing w:before="100" w:beforeAutospacing="1" w:after="100" w:afterAutospacing="1"/>
      <w:jc w:val="left"/>
    </w:pPr>
    <w:rPr>
      <w:rFonts w:ascii="宋体" w:hAnsi="宋体" w:cs="宋体"/>
      <w:kern w:val="0"/>
      <w:sz w:val="24"/>
    </w:rPr>
  </w:style>
  <w:style w:type="paragraph" w:customStyle="1" w:styleId="462">
    <w:name w:val="xl56"/>
    <w:basedOn w:val="1"/>
    <w:qFormat/>
    <w:uiPriority w:val="0"/>
    <w:pPr>
      <w:widowControl/>
      <w:pBdr>
        <w:top w:val="single" w:color="auto" w:sz="4" w:space="0"/>
        <w:bottom w:val="single" w:color="auto" w:sz="8"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463">
    <w:name w:val="xl74"/>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eastAsia="Arial Unicode MS"/>
      <w:kern w:val="0"/>
      <w:sz w:val="20"/>
      <w:szCs w:val="20"/>
    </w:rPr>
  </w:style>
  <w:style w:type="paragraph" w:customStyle="1" w:styleId="464">
    <w:name w:val="xl65"/>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465">
    <w:name w:val="font16"/>
    <w:basedOn w:val="1"/>
    <w:qFormat/>
    <w:uiPriority w:val="0"/>
    <w:pPr>
      <w:widowControl/>
      <w:spacing w:before="100" w:beforeAutospacing="1" w:after="100" w:afterAutospacing="1"/>
      <w:jc w:val="left"/>
    </w:pPr>
    <w:rPr>
      <w:rFonts w:ascii="Arial" w:hAnsi="Arial" w:eastAsia="Arial Unicode MS" w:cs="Arial"/>
      <w:color w:val="FF00FF"/>
      <w:kern w:val="0"/>
      <w:sz w:val="23"/>
      <w:szCs w:val="23"/>
    </w:rPr>
  </w:style>
  <w:style w:type="paragraph" w:customStyle="1" w:styleId="466">
    <w:name w:val="hb3"/>
    <w:basedOn w:val="6"/>
    <w:qFormat/>
    <w:uiPriority w:val="0"/>
    <w:pPr>
      <w:adjustRightInd w:val="0"/>
      <w:spacing w:before="260" w:after="260" w:line="500" w:lineRule="exact"/>
      <w:jc w:val="left"/>
      <w:textAlignment w:val="baseline"/>
    </w:pPr>
    <w:rPr>
      <w:rFonts w:ascii="Times New Roman" w:hAnsi="Times New Roman" w:cs="Times New Roman"/>
      <w:snapToGrid/>
      <w:kern w:val="2"/>
    </w:rPr>
  </w:style>
  <w:style w:type="paragraph" w:customStyle="1" w:styleId="467">
    <w:name w:val="xl6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468">
    <w:name w:val="标题 2节标题 1.1"/>
    <w:basedOn w:val="5"/>
    <w:qFormat/>
    <w:uiPriority w:val="0"/>
    <w:pPr>
      <w:spacing w:line="480" w:lineRule="exact"/>
    </w:pPr>
    <w:rPr>
      <w:rFonts w:cs="宋体"/>
    </w:rPr>
  </w:style>
  <w:style w:type="paragraph" w:customStyle="1" w:styleId="469">
    <w:name w:val=" Char Char Char Char Char Char Char"/>
    <w:basedOn w:val="1"/>
    <w:qFormat/>
    <w:uiPriority w:val="0"/>
  </w:style>
  <w:style w:type="paragraph" w:customStyle="1" w:styleId="470">
    <w:name w:val="xl5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eastAsia="Arial Unicode MS"/>
      <w:kern w:val="0"/>
      <w:sz w:val="20"/>
      <w:szCs w:val="20"/>
    </w:rPr>
  </w:style>
  <w:style w:type="paragraph" w:customStyle="1" w:styleId="471">
    <w:name w:val=" Char Char Char Char Char Char Char Char Char"/>
    <w:basedOn w:val="1"/>
    <w:qFormat/>
    <w:uiPriority w:val="0"/>
    <w:pPr>
      <w:spacing w:line="360" w:lineRule="auto"/>
      <w:ind w:firstLine="200" w:firstLineChars="200"/>
    </w:pPr>
    <w:rPr>
      <w:rFonts w:ascii="宋体" w:hAnsi="宋体" w:cs="宋体"/>
      <w:sz w:val="24"/>
    </w:rPr>
  </w:style>
  <w:style w:type="paragraph" w:customStyle="1" w:styleId="472">
    <w:name w:val="默认段落字体 Para Char Char Char Char Char Char Char Char"/>
    <w:basedOn w:val="1"/>
    <w:qFormat/>
    <w:uiPriority w:val="0"/>
    <w:pPr>
      <w:spacing w:line="360" w:lineRule="auto"/>
      <w:ind w:firstLine="200" w:firstLineChars="200"/>
    </w:pPr>
    <w:rPr>
      <w:szCs w:val="20"/>
    </w:rPr>
  </w:style>
  <w:style w:type="paragraph" w:customStyle="1" w:styleId="473">
    <w:name w:val="reader-word-layer reader-word-s2-10"/>
    <w:basedOn w:val="1"/>
    <w:qFormat/>
    <w:uiPriority w:val="0"/>
    <w:pPr>
      <w:widowControl/>
      <w:spacing w:before="100" w:beforeAutospacing="1" w:after="100" w:afterAutospacing="1"/>
      <w:jc w:val="left"/>
    </w:pPr>
    <w:rPr>
      <w:rFonts w:ascii="宋体" w:hAnsi="宋体" w:cs="宋体"/>
      <w:kern w:val="0"/>
      <w:sz w:val="24"/>
    </w:rPr>
  </w:style>
  <w:style w:type="paragraph" w:customStyle="1" w:styleId="474">
    <w:name w:val="xl63"/>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475">
    <w:name w:val="样式 标题 1 + 黑体 三号"/>
    <w:basedOn w:val="4"/>
    <w:semiHidden/>
    <w:qFormat/>
    <w:uiPriority w:val="0"/>
    <w:pPr>
      <w:keepNext/>
      <w:keepLines/>
      <w:widowControl/>
      <w:topLinePunct/>
      <w:spacing w:before="340" w:beforeLines="0" w:after="330" w:afterLines="0" w:line="240" w:lineRule="auto"/>
      <w:ind w:firstLine="538" w:firstLineChars="224"/>
      <w:textAlignment w:val="auto"/>
    </w:pPr>
    <w:rPr>
      <w:rFonts w:ascii="黑体" w:hAnsi="黑体" w:cs="Times New Roman"/>
      <w:b w:val="0"/>
      <w:kern w:val="44"/>
      <w:szCs w:val="44"/>
    </w:rPr>
  </w:style>
  <w:style w:type="paragraph" w:customStyle="1" w:styleId="476">
    <w:name w:val="reader-word-layer reader-word-s11-5 reader-word-s11-15"/>
    <w:basedOn w:val="1"/>
    <w:qFormat/>
    <w:uiPriority w:val="0"/>
    <w:pPr>
      <w:widowControl/>
      <w:spacing w:before="100" w:beforeAutospacing="1" w:after="100" w:afterAutospacing="1"/>
      <w:jc w:val="left"/>
    </w:pPr>
    <w:rPr>
      <w:rFonts w:ascii="宋体" w:hAnsi="宋体" w:cs="宋体"/>
      <w:kern w:val="0"/>
      <w:sz w:val="24"/>
    </w:rPr>
  </w:style>
  <w:style w:type="paragraph" w:customStyle="1" w:styleId="477">
    <w:name w:val="font13"/>
    <w:basedOn w:val="1"/>
    <w:qFormat/>
    <w:uiPriority w:val="0"/>
    <w:pPr>
      <w:widowControl/>
      <w:spacing w:before="100" w:beforeAutospacing="1" w:after="100" w:afterAutospacing="1"/>
      <w:jc w:val="left"/>
    </w:pPr>
    <w:rPr>
      <w:rFonts w:ascii="Arial" w:hAnsi="Arial" w:eastAsia="Arial Unicode MS" w:cs="Arial"/>
      <w:color w:val="FF0000"/>
      <w:kern w:val="0"/>
      <w:sz w:val="23"/>
      <w:szCs w:val="23"/>
    </w:rPr>
  </w:style>
  <w:style w:type="paragraph" w:customStyle="1" w:styleId="478">
    <w:name w:val="样式 标题 2 + Times New Roman"/>
    <w:basedOn w:val="5"/>
    <w:semiHidden/>
    <w:qFormat/>
    <w:uiPriority w:val="0"/>
    <w:pPr>
      <w:widowControl/>
      <w:autoSpaceDE/>
      <w:autoSpaceDN/>
      <w:spacing w:before="260" w:after="260" w:line="415" w:lineRule="auto"/>
      <w:ind w:firstLine="538" w:firstLineChars="192"/>
      <w:textAlignment w:val="auto"/>
    </w:pPr>
    <w:rPr>
      <w:rFonts w:ascii="Times New Roman" w:hAnsi="Times New Roman" w:cs="Times New Roman"/>
      <w:bCs w:val="0"/>
      <w:sz w:val="32"/>
      <w:szCs w:val="32"/>
    </w:rPr>
  </w:style>
  <w:style w:type="paragraph" w:customStyle="1" w:styleId="479">
    <w:name w:val="reader-word-layer reader-word-s2-12 reader-word-s2-20"/>
    <w:basedOn w:val="1"/>
    <w:qFormat/>
    <w:uiPriority w:val="0"/>
    <w:pPr>
      <w:widowControl/>
      <w:spacing w:before="100" w:beforeAutospacing="1" w:after="100" w:afterAutospacing="1"/>
      <w:jc w:val="left"/>
    </w:pPr>
    <w:rPr>
      <w:rFonts w:ascii="宋体" w:hAnsi="宋体" w:cs="宋体"/>
      <w:kern w:val="0"/>
      <w:sz w:val="24"/>
    </w:rPr>
  </w:style>
  <w:style w:type="paragraph" w:customStyle="1" w:styleId="480">
    <w:name w:val="reader-word-layer reader-word-s2-15 reader-word-s2-20"/>
    <w:basedOn w:val="1"/>
    <w:qFormat/>
    <w:uiPriority w:val="0"/>
    <w:pPr>
      <w:widowControl/>
      <w:spacing w:before="100" w:beforeAutospacing="1" w:after="100" w:afterAutospacing="1"/>
      <w:jc w:val="left"/>
    </w:pPr>
    <w:rPr>
      <w:rFonts w:ascii="宋体" w:hAnsi="宋体" w:cs="宋体"/>
      <w:kern w:val="0"/>
      <w:sz w:val="24"/>
    </w:rPr>
  </w:style>
  <w:style w:type="paragraph" w:customStyle="1" w:styleId="481">
    <w:name w:val="reader-word-layer reader-word-s11-17"/>
    <w:basedOn w:val="1"/>
    <w:qFormat/>
    <w:uiPriority w:val="0"/>
    <w:pPr>
      <w:widowControl/>
      <w:spacing w:before="100" w:beforeAutospacing="1" w:after="100" w:afterAutospacing="1"/>
      <w:jc w:val="left"/>
    </w:pPr>
    <w:rPr>
      <w:rFonts w:ascii="宋体" w:hAnsi="宋体" w:cs="宋体"/>
      <w:kern w:val="0"/>
      <w:sz w:val="24"/>
    </w:rPr>
  </w:style>
  <w:style w:type="paragraph" w:customStyle="1" w:styleId="482">
    <w:name w:val="zyy样式 Char Char Char"/>
    <w:basedOn w:val="1"/>
    <w:semiHidden/>
    <w:qFormat/>
    <w:uiPriority w:val="0"/>
    <w:pPr>
      <w:spacing w:before="120" w:beforeLines="50" w:after="120" w:afterLines="50" w:line="360" w:lineRule="auto"/>
      <w:ind w:firstLine="536" w:firstLineChars="200"/>
    </w:pPr>
    <w:rPr>
      <w:rFonts w:ascii="宋体" w:hAnsi="宋体" w:cs="宋体"/>
      <w:kern w:val="0"/>
      <w:sz w:val="24"/>
      <w:szCs w:val="28"/>
    </w:rPr>
  </w:style>
  <w:style w:type="paragraph" w:customStyle="1" w:styleId="483">
    <w:name w:val="默认段落字体 Para Char Char Char Char"/>
    <w:basedOn w:val="1"/>
    <w:qFormat/>
    <w:uiPriority w:val="0"/>
  </w:style>
  <w:style w:type="paragraph" w:customStyle="1" w:styleId="484">
    <w:name w:val="reader-word-layer reader-word-s11-10"/>
    <w:basedOn w:val="1"/>
    <w:qFormat/>
    <w:uiPriority w:val="0"/>
    <w:pPr>
      <w:widowControl/>
      <w:spacing w:before="100" w:beforeAutospacing="1" w:after="100" w:afterAutospacing="1"/>
      <w:jc w:val="left"/>
    </w:pPr>
    <w:rPr>
      <w:rFonts w:ascii="宋体" w:hAnsi="宋体" w:cs="宋体"/>
      <w:kern w:val="0"/>
      <w:sz w:val="24"/>
    </w:rPr>
  </w:style>
  <w:style w:type="paragraph" w:customStyle="1" w:styleId="485">
    <w:name w:val="xl46"/>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3"/>
      <w:szCs w:val="23"/>
    </w:rPr>
  </w:style>
  <w:style w:type="paragraph" w:customStyle="1" w:styleId="486">
    <w:name w:val="xl36"/>
    <w:basedOn w:val="1"/>
    <w:qFormat/>
    <w:uiPriority w:val="0"/>
    <w:pPr>
      <w:widowControl/>
      <w:pBdr>
        <w:left w:val="single" w:color="auto" w:sz="4" w:space="0"/>
      </w:pBdr>
      <w:spacing w:before="100" w:beforeAutospacing="1" w:after="100" w:afterAutospacing="1"/>
      <w:jc w:val="center"/>
    </w:pPr>
    <w:rPr>
      <w:rFonts w:ascii="Arial Unicode MS" w:hAnsi="Arial Unicode MS" w:eastAsia="Arial Unicode MS" w:cs="Arial Unicode MS"/>
      <w:kern w:val="0"/>
      <w:sz w:val="23"/>
      <w:szCs w:val="23"/>
    </w:rPr>
  </w:style>
  <w:style w:type="paragraph" w:customStyle="1" w:styleId="487">
    <w:name w:val=" Char Char7"/>
    <w:basedOn w:val="1"/>
    <w:semiHidden/>
    <w:qFormat/>
    <w:uiPriority w:val="0"/>
    <w:pPr>
      <w:adjustRightInd w:val="0"/>
      <w:snapToGrid w:val="0"/>
      <w:spacing w:line="360" w:lineRule="auto"/>
      <w:ind w:firstLine="200" w:firstLineChars="200"/>
    </w:pPr>
    <w:rPr>
      <w:rFonts w:ascii="宋体" w:hAnsi="宋体" w:cs="宋体"/>
      <w:sz w:val="24"/>
      <w:szCs w:val="26"/>
    </w:rPr>
  </w:style>
  <w:style w:type="paragraph" w:customStyle="1" w:styleId="488">
    <w:name w:val="xl47"/>
    <w:basedOn w:val="1"/>
    <w:qFormat/>
    <w:uiPriority w:val="0"/>
    <w:pPr>
      <w:widowControl/>
      <w:pBdr>
        <w:top w:val="single" w:color="auto" w:sz="4" w:space="0"/>
        <w:bottom w:val="single" w:color="auto" w:sz="4" w:space="0"/>
      </w:pBdr>
      <w:spacing w:before="100" w:beforeAutospacing="1" w:after="100" w:afterAutospacing="1"/>
      <w:jc w:val="left"/>
    </w:pPr>
    <w:rPr>
      <w:rFonts w:ascii="Arial" w:hAnsi="Arial" w:eastAsia="Arial Unicode MS" w:cs="Arial"/>
      <w:color w:val="000000"/>
      <w:kern w:val="0"/>
      <w:sz w:val="23"/>
      <w:szCs w:val="23"/>
    </w:rPr>
  </w:style>
  <w:style w:type="paragraph" w:customStyle="1" w:styleId="489">
    <w:name w:val="王勇"/>
    <w:basedOn w:val="1"/>
    <w:qFormat/>
    <w:uiPriority w:val="0"/>
    <w:pPr>
      <w:spacing w:line="360" w:lineRule="auto"/>
      <w:ind w:firstLine="200" w:firstLineChars="200"/>
    </w:pPr>
    <w:rPr>
      <w:kern w:val="24"/>
      <w:sz w:val="24"/>
    </w:rPr>
  </w:style>
  <w:style w:type="paragraph" w:customStyle="1" w:styleId="490">
    <w:name w:val="S表格"/>
    <w:basedOn w:val="1"/>
    <w:qFormat/>
    <w:uiPriority w:val="0"/>
    <w:pPr>
      <w:spacing w:before="240" w:line="360" w:lineRule="auto"/>
      <w:outlineLvl w:val="2"/>
    </w:pPr>
    <w:rPr>
      <w:bCs/>
      <w:sz w:val="24"/>
    </w:rPr>
  </w:style>
  <w:style w:type="paragraph" w:customStyle="1" w:styleId="491">
    <w:name w:val="font12"/>
    <w:basedOn w:val="1"/>
    <w:qFormat/>
    <w:uiPriority w:val="0"/>
    <w:pPr>
      <w:widowControl/>
      <w:spacing w:before="100" w:beforeAutospacing="1" w:after="100" w:afterAutospacing="1"/>
      <w:jc w:val="left"/>
    </w:pPr>
    <w:rPr>
      <w:rFonts w:ascii="Arial" w:hAnsi="Arial" w:eastAsia="Arial Unicode MS" w:cs="Arial"/>
      <w:color w:val="FF0000"/>
      <w:kern w:val="0"/>
      <w:sz w:val="23"/>
      <w:szCs w:val="23"/>
    </w:rPr>
  </w:style>
  <w:style w:type="paragraph" w:customStyle="1" w:styleId="492">
    <w:name w:val="标题二"/>
    <w:basedOn w:val="1"/>
    <w:next w:val="1"/>
    <w:qFormat/>
    <w:uiPriority w:val="0"/>
    <w:pPr>
      <w:spacing w:line="360" w:lineRule="auto"/>
      <w:jc w:val="left"/>
      <w:outlineLvl w:val="1"/>
    </w:pPr>
    <w:rPr>
      <w:b/>
      <w:sz w:val="30"/>
      <w:szCs w:val="30"/>
    </w:rPr>
  </w:style>
  <w:style w:type="paragraph" w:customStyle="1" w:styleId="493">
    <w:name w:val="xl68"/>
    <w:basedOn w:val="1"/>
    <w:qFormat/>
    <w:uiPriority w:val="0"/>
    <w:pPr>
      <w:widowControl/>
      <w:pBdr>
        <w:top w:val="single" w:color="auto" w:sz="8" w:space="0"/>
        <w:left w:val="single" w:color="auto" w:sz="8"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494">
    <w:name w:val=" Char Char Char1 Char1 Char Char Char Char Char Char"/>
    <w:basedOn w:val="1"/>
    <w:semiHidden/>
    <w:qFormat/>
    <w:uiPriority w:val="0"/>
  </w:style>
  <w:style w:type="paragraph" w:customStyle="1" w:styleId="495">
    <w:name w:val="样式 标题 2 + Times New Roman 黑色"/>
    <w:basedOn w:val="5"/>
    <w:qFormat/>
    <w:uiPriority w:val="0"/>
    <w:pPr>
      <w:widowControl/>
      <w:autoSpaceDE/>
      <w:autoSpaceDN/>
      <w:spacing w:before="240" w:after="240" w:line="240" w:lineRule="auto"/>
      <w:ind w:left="324" w:firstLine="0"/>
      <w:textAlignment w:val="auto"/>
    </w:pPr>
    <w:rPr>
      <w:rFonts w:ascii="Times New Roman" w:hAnsi="Times New Roman" w:cs="Times New Roman"/>
      <w:b w:val="0"/>
      <w:color w:val="000000"/>
      <w:sz w:val="32"/>
      <w:szCs w:val="32"/>
    </w:rPr>
  </w:style>
  <w:style w:type="paragraph" w:customStyle="1" w:styleId="496">
    <w:name w:val="xl5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kern w:val="0"/>
      <w:sz w:val="23"/>
      <w:szCs w:val="23"/>
    </w:rPr>
  </w:style>
  <w:style w:type="paragraph" w:customStyle="1" w:styleId="497">
    <w:name w:val=" Char2 Char Char Char Char Char Char Char Char Char Char Char Char Char Char Char Char Char Char1 Char"/>
    <w:basedOn w:val="6"/>
    <w:qFormat/>
    <w:uiPriority w:val="0"/>
    <w:pPr>
      <w:snapToGrid w:val="0"/>
      <w:spacing w:before="156" w:beforeLines="50" w:after="156" w:afterLines="50"/>
      <w:ind w:firstLine="200"/>
      <w:jc w:val="left"/>
    </w:pPr>
    <w:rPr>
      <w:rFonts w:ascii="Times New Roman" w:hAnsi="Times New Roman" w:cs="宋体"/>
      <w:bCs w:val="0"/>
      <w:kern w:val="2"/>
    </w:rPr>
  </w:style>
  <w:style w:type="paragraph" w:customStyle="1" w:styleId="498">
    <w:name w:val=" Char Char Char Char Char Char1 Char"/>
    <w:basedOn w:val="1"/>
    <w:qFormat/>
    <w:uiPriority w:val="0"/>
    <w:pPr>
      <w:spacing w:line="360" w:lineRule="auto"/>
      <w:ind w:firstLine="200" w:firstLineChars="200"/>
    </w:pPr>
    <w:rPr>
      <w:rFonts w:ascii="宋体" w:hAnsi="宋体" w:cs="宋体"/>
      <w:sz w:val="24"/>
    </w:rPr>
  </w:style>
  <w:style w:type="paragraph" w:customStyle="1" w:styleId="499">
    <w:name w:val="标题三"/>
    <w:basedOn w:val="1"/>
    <w:next w:val="1"/>
    <w:qFormat/>
    <w:uiPriority w:val="0"/>
    <w:pPr>
      <w:numPr>
        <w:ilvl w:val="0"/>
        <w:numId w:val="2"/>
      </w:numPr>
      <w:spacing w:line="360" w:lineRule="auto"/>
      <w:jc w:val="left"/>
      <w:outlineLvl w:val="2"/>
    </w:pPr>
    <w:rPr>
      <w:b/>
      <w:sz w:val="28"/>
      <w:szCs w:val="30"/>
    </w:rPr>
  </w:style>
  <w:style w:type="paragraph" w:customStyle="1" w:styleId="500">
    <w:name w:val="样式 标题 4 + Times New Roman 黑色"/>
    <w:basedOn w:val="8"/>
    <w:qFormat/>
    <w:uiPriority w:val="0"/>
    <w:pPr>
      <w:widowControl/>
      <w:numPr>
        <w:ilvl w:val="0"/>
        <w:numId w:val="0"/>
      </w:numPr>
      <w:adjustRightInd/>
      <w:spacing w:line="240" w:lineRule="auto"/>
      <w:textAlignment w:val="auto"/>
    </w:pPr>
    <w:rPr>
      <w:rFonts w:ascii="Times New Roman" w:hAnsi="Times New Roman"/>
      <w:bCs/>
      <w:snapToGrid/>
      <w:color w:val="000000"/>
      <w:sz w:val="28"/>
      <w:szCs w:val="28"/>
    </w:rPr>
  </w:style>
  <w:style w:type="paragraph" w:customStyle="1" w:styleId="501">
    <w:name w:val="xl76"/>
    <w:basedOn w:val="1"/>
    <w:qFormat/>
    <w:uiPriority w:val="0"/>
    <w:pPr>
      <w:widowControl/>
      <w:pBdr>
        <w:left w:val="single" w:color="auto" w:sz="8" w:space="0"/>
        <w:bottom w:val="single" w:color="auto" w:sz="8"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502">
    <w:name w:val="xl7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503">
    <w:name w:val="xl73"/>
    <w:basedOn w:val="1"/>
    <w:qFormat/>
    <w:uiPriority w:val="0"/>
    <w:pPr>
      <w:widowControl/>
      <w:pBdr>
        <w:left w:val="single" w:color="auto" w:sz="8"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504">
    <w:name w:val="xl58"/>
    <w:basedOn w:val="1"/>
    <w:qFormat/>
    <w:uiPriority w:val="0"/>
    <w:pPr>
      <w:widowControl/>
      <w:pBdr>
        <w:top w:val="single" w:color="auto" w:sz="8"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505">
    <w:name w:val=" Char1"/>
    <w:basedOn w:val="1"/>
    <w:semiHidden/>
    <w:qFormat/>
    <w:uiPriority w:val="0"/>
  </w:style>
  <w:style w:type="paragraph" w:customStyle="1" w:styleId="506">
    <w:name w:val="xl39"/>
    <w:basedOn w:val="1"/>
    <w:qFormat/>
    <w:uiPriority w:val="0"/>
    <w:pPr>
      <w:widowControl/>
      <w:spacing w:before="100" w:beforeAutospacing="1" w:after="100" w:afterAutospacing="1"/>
      <w:jc w:val="left"/>
    </w:pPr>
    <w:rPr>
      <w:rFonts w:ascii="Arial" w:hAnsi="Arial" w:eastAsia="Arial Unicode MS" w:cs="Arial"/>
      <w:kern w:val="0"/>
      <w:sz w:val="23"/>
      <w:szCs w:val="23"/>
    </w:rPr>
  </w:style>
  <w:style w:type="paragraph" w:customStyle="1" w:styleId="507">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pPr>
    <w:rPr>
      <w:rFonts w:ascii="Arial Unicode MS" w:hAnsi="Arial Unicode MS" w:eastAsia="Arial Unicode MS" w:cs="Arial Unicode MS"/>
      <w:color w:val="000000"/>
      <w:kern w:val="0"/>
      <w:sz w:val="23"/>
      <w:szCs w:val="23"/>
    </w:rPr>
  </w:style>
  <w:style w:type="paragraph" w:customStyle="1" w:styleId="508">
    <w:name w:val=" Char Char Char1 Char1 Char Char Char Char Char Char Char Char"/>
    <w:basedOn w:val="1"/>
    <w:semiHidden/>
    <w:qFormat/>
    <w:uiPriority w:val="0"/>
  </w:style>
  <w:style w:type="paragraph" w:customStyle="1" w:styleId="509">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10">
    <w:name w:val="样式 标题 2 + Times New Roman 小三 居中 行距: 单倍行距"/>
    <w:basedOn w:val="5"/>
    <w:semiHidden/>
    <w:qFormat/>
    <w:uiPriority w:val="0"/>
    <w:pPr>
      <w:widowControl/>
      <w:autoSpaceDE/>
      <w:autoSpaceDN/>
      <w:spacing w:before="260" w:after="260" w:line="240" w:lineRule="auto"/>
      <w:ind w:firstLine="538" w:firstLineChars="192"/>
      <w:textAlignment w:val="auto"/>
    </w:pPr>
    <w:rPr>
      <w:rFonts w:ascii="Times New Roman" w:hAnsi="Times New Roman" w:cs="宋体"/>
      <w:bCs w:val="0"/>
    </w:rPr>
  </w:style>
  <w:style w:type="paragraph" w:customStyle="1" w:styleId="511">
    <w:name w:val=" Char Char Char Char Char2 Char"/>
    <w:basedOn w:val="1"/>
    <w:semiHidden/>
    <w:qFormat/>
    <w:uiPriority w:val="0"/>
    <w:pPr>
      <w:adjustRightInd w:val="0"/>
      <w:snapToGrid w:val="0"/>
      <w:spacing w:line="360" w:lineRule="auto"/>
      <w:ind w:firstLine="200" w:firstLineChars="200"/>
    </w:pPr>
    <w:rPr>
      <w:rFonts w:ascii="宋体" w:hAnsi="宋体" w:cs="宋体"/>
      <w:sz w:val="24"/>
      <w:szCs w:val="26"/>
    </w:rPr>
  </w:style>
  <w:style w:type="paragraph" w:customStyle="1" w:styleId="512">
    <w:name w:val="zgr表格"/>
    <w:basedOn w:val="1"/>
    <w:qFormat/>
    <w:uiPriority w:val="0"/>
    <w:pPr>
      <w:jc w:val="center"/>
    </w:pPr>
    <w:rPr>
      <w:szCs w:val="21"/>
    </w:rPr>
  </w:style>
  <w:style w:type="paragraph" w:customStyle="1" w:styleId="513">
    <w:name w:val="表样式"/>
    <w:basedOn w:val="324"/>
    <w:semiHidden/>
    <w:qFormat/>
    <w:uiPriority w:val="0"/>
    <w:pPr>
      <w:keepNext w:val="0"/>
      <w:widowControl w:val="0"/>
      <w:spacing w:before="0" w:beforeLines="0" w:after="0" w:afterLines="0" w:line="240" w:lineRule="auto"/>
    </w:pPr>
    <w:rPr>
      <w:rFonts w:ascii="仿宋_GB2312" w:eastAsia="黑体"/>
      <w:sz w:val="21"/>
    </w:rPr>
  </w:style>
  <w:style w:type="paragraph" w:customStyle="1" w:styleId="514">
    <w:name w:val=" Char Char Char1 Char Char Char Char Char Char Char"/>
    <w:basedOn w:val="1"/>
    <w:semiHidden/>
    <w:qFormat/>
    <w:uiPriority w:val="0"/>
  </w:style>
  <w:style w:type="paragraph" w:customStyle="1" w:styleId="515">
    <w:name w:val="CM116"/>
    <w:basedOn w:val="152"/>
    <w:next w:val="152"/>
    <w:qFormat/>
    <w:uiPriority w:val="0"/>
    <w:pPr>
      <w:spacing w:after="90"/>
    </w:pPr>
    <w:rPr>
      <w:rFonts w:cs="Times New Roman"/>
      <w:color w:val="auto"/>
    </w:rPr>
  </w:style>
  <w:style w:type="paragraph" w:customStyle="1" w:styleId="516">
    <w:name w:val="Char Char14"/>
    <w:basedOn w:val="10"/>
    <w:qFormat/>
    <w:uiPriority w:val="0"/>
    <w:pPr>
      <w:tabs>
        <w:tab w:val="left" w:pos="1440"/>
      </w:tabs>
      <w:adjustRightInd/>
      <w:spacing w:line="319" w:lineRule="auto"/>
      <w:jc w:val="both"/>
      <w:textAlignment w:val="auto"/>
    </w:pPr>
    <w:rPr>
      <w:rFonts w:ascii="Calibri" w:hAnsi="Calibri" w:eastAsia="宋体"/>
      <w:bCs/>
      <w:szCs w:val="24"/>
      <w:lang w:eastAsia="en-US" w:bidi="en-US"/>
    </w:rPr>
  </w:style>
  <w:style w:type="paragraph" w:customStyle="1" w:styleId="517">
    <w:name w:val="reader-word-layer reader-word-s2-11 reader-word-s2-20"/>
    <w:basedOn w:val="1"/>
    <w:qFormat/>
    <w:uiPriority w:val="0"/>
    <w:pPr>
      <w:widowControl/>
      <w:spacing w:before="100" w:beforeAutospacing="1" w:after="100" w:afterAutospacing="1"/>
      <w:jc w:val="left"/>
    </w:pPr>
    <w:rPr>
      <w:rFonts w:ascii="宋体" w:hAnsi="宋体" w:cs="宋体"/>
      <w:kern w:val="0"/>
      <w:sz w:val="24"/>
    </w:rPr>
  </w:style>
  <w:style w:type="paragraph" w:customStyle="1" w:styleId="518">
    <w:name w:val="font6"/>
    <w:basedOn w:val="1"/>
    <w:qFormat/>
    <w:uiPriority w:val="0"/>
    <w:pPr>
      <w:widowControl/>
      <w:spacing w:before="100" w:beforeAutospacing="1" w:after="100" w:afterAutospacing="1"/>
      <w:jc w:val="left"/>
    </w:pPr>
    <w:rPr>
      <w:rFonts w:hint="eastAsia" w:ascii="宋体" w:hAnsi="宋体" w:cs="Arial Unicode MS"/>
      <w:kern w:val="0"/>
      <w:sz w:val="22"/>
      <w:szCs w:val="22"/>
    </w:rPr>
  </w:style>
  <w:style w:type="paragraph" w:customStyle="1" w:styleId="519">
    <w:name w:val="font14"/>
    <w:basedOn w:val="1"/>
    <w:qFormat/>
    <w:uiPriority w:val="0"/>
    <w:pPr>
      <w:widowControl/>
      <w:spacing w:before="100" w:beforeAutospacing="1" w:after="100" w:afterAutospacing="1"/>
      <w:jc w:val="left"/>
    </w:pPr>
    <w:rPr>
      <w:rFonts w:ascii="Arial" w:hAnsi="Arial" w:eastAsia="Arial Unicode MS" w:cs="Arial"/>
      <w:kern w:val="0"/>
      <w:szCs w:val="21"/>
    </w:rPr>
  </w:style>
  <w:style w:type="paragraph" w:customStyle="1" w:styleId="520">
    <w:name w:val="xl62"/>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eastAsia="Arial Unicode MS"/>
      <w:kern w:val="0"/>
      <w:sz w:val="20"/>
      <w:szCs w:val="20"/>
    </w:rPr>
  </w:style>
  <w:style w:type="paragraph" w:styleId="521">
    <w:name w:val="List Paragraph"/>
    <w:basedOn w:val="1"/>
    <w:qFormat/>
    <w:uiPriority w:val="0"/>
    <w:pPr>
      <w:ind w:firstLine="420" w:firstLineChars="200"/>
    </w:pPr>
    <w:rPr>
      <w:rFonts w:ascii="Calibri" w:hAnsi="Calibri"/>
      <w:szCs w:val="22"/>
    </w:rPr>
  </w:style>
  <w:style w:type="paragraph" w:customStyle="1" w:styleId="522">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8080"/>
      <w:kern w:val="0"/>
      <w:sz w:val="23"/>
      <w:szCs w:val="23"/>
    </w:rPr>
  </w:style>
  <w:style w:type="paragraph" w:customStyle="1" w:styleId="523">
    <w:name w:val="表中样式"/>
    <w:basedOn w:val="1"/>
    <w:semiHidden/>
    <w:qFormat/>
    <w:uiPriority w:val="0"/>
    <w:pPr>
      <w:widowControl/>
      <w:spacing w:line="240" w:lineRule="exact"/>
      <w:ind w:left="-25" w:leftChars="-25" w:right="-31" w:rightChars="-31"/>
      <w:jc w:val="center"/>
    </w:pPr>
    <w:rPr>
      <w:rFonts w:ascii="宋体" w:hAnsi="宋体" w:cs="宋体"/>
      <w:bCs/>
      <w:kern w:val="0"/>
      <w:szCs w:val="32"/>
    </w:rPr>
  </w:style>
  <w:style w:type="paragraph" w:customStyle="1" w:styleId="524">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FF00FF"/>
      <w:kern w:val="0"/>
      <w:sz w:val="23"/>
      <w:szCs w:val="23"/>
    </w:rPr>
  </w:style>
  <w:style w:type="paragraph" w:customStyle="1" w:styleId="525">
    <w:name w:val="xl5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w:hAnsi="Arial" w:eastAsia="Arial Unicode MS" w:cs="Arial"/>
      <w:color w:val="000000"/>
      <w:kern w:val="0"/>
      <w:sz w:val="23"/>
      <w:szCs w:val="23"/>
    </w:rPr>
  </w:style>
  <w:style w:type="paragraph" w:customStyle="1" w:styleId="526">
    <w:name w:val="样式 宋体 四号 两端对齐 首行缩进:  2 字符"/>
    <w:basedOn w:val="1"/>
    <w:qFormat/>
    <w:uiPriority w:val="0"/>
    <w:pPr>
      <w:widowControl/>
      <w:ind w:firstLine="560" w:firstLineChars="200"/>
    </w:pPr>
    <w:rPr>
      <w:rFonts w:cs="宋体"/>
      <w:kern w:val="0"/>
      <w:sz w:val="28"/>
      <w:szCs w:val="28"/>
    </w:rPr>
  </w:style>
  <w:style w:type="paragraph" w:customStyle="1" w:styleId="52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528">
    <w:name w:val="样式 仿宋 小四 行距: 1.5 倍行距"/>
    <w:basedOn w:val="1"/>
    <w:qFormat/>
    <w:uiPriority w:val="0"/>
    <w:pPr>
      <w:spacing w:line="360" w:lineRule="auto"/>
      <w:ind w:firstLine="480" w:firstLineChars="200"/>
    </w:pPr>
    <w:rPr>
      <w:rFonts w:eastAsia="仿宋" w:cs="宋体"/>
      <w:sz w:val="24"/>
      <w:szCs w:val="20"/>
    </w:rPr>
  </w:style>
  <w:style w:type="paragraph" w:customStyle="1" w:styleId="529">
    <w:name w:val="正文(a)"/>
    <w:basedOn w:val="403"/>
    <w:semiHidden/>
    <w:qFormat/>
    <w:uiPriority w:val="0"/>
    <w:pPr>
      <w:tabs>
        <w:tab w:val="left" w:pos="1139"/>
      </w:tabs>
      <w:ind w:left="-141" w:firstLine="566"/>
    </w:pPr>
    <w:rPr>
      <w:rFonts w:ascii="宋体" w:cs="宋体"/>
    </w:rPr>
  </w:style>
  <w:style w:type="paragraph" w:customStyle="1" w:styleId="530">
    <w:name w:val="xl37"/>
    <w:basedOn w:val="1"/>
    <w:qFormat/>
    <w:uiPriority w:val="0"/>
    <w:pPr>
      <w:widowControl/>
      <w:pBdr>
        <w:top w:val="single" w:color="auto" w:sz="4" w:space="0"/>
        <w:bottom w:val="single" w:color="auto" w:sz="4" w:space="0"/>
      </w:pBdr>
      <w:spacing w:before="100" w:beforeAutospacing="1" w:after="100" w:afterAutospacing="1"/>
      <w:jc w:val="left"/>
    </w:pPr>
    <w:rPr>
      <w:rFonts w:ascii="Arial" w:hAnsi="Arial" w:eastAsia="Arial Unicode MS" w:cs="Arial"/>
      <w:kern w:val="0"/>
      <w:sz w:val="23"/>
      <w:szCs w:val="23"/>
    </w:rPr>
  </w:style>
  <w:style w:type="paragraph" w:customStyle="1" w:styleId="531">
    <w:name w:val=" Char Char21 Char Char"/>
    <w:basedOn w:val="1"/>
    <w:next w:val="3"/>
    <w:qFormat/>
    <w:uiPriority w:val="0"/>
    <w:rPr>
      <w:szCs w:val="20"/>
    </w:rPr>
  </w:style>
  <w:style w:type="paragraph" w:customStyle="1" w:styleId="532">
    <w:name w:val="reader-word-layer reader-word-s11-16"/>
    <w:basedOn w:val="1"/>
    <w:qFormat/>
    <w:uiPriority w:val="0"/>
    <w:pPr>
      <w:widowControl/>
      <w:spacing w:before="100" w:beforeAutospacing="1" w:after="100" w:afterAutospacing="1"/>
      <w:jc w:val="left"/>
    </w:pPr>
    <w:rPr>
      <w:rFonts w:ascii="宋体" w:hAnsi="宋体" w:cs="宋体"/>
      <w:kern w:val="0"/>
      <w:sz w:val="24"/>
    </w:rPr>
  </w:style>
  <w:style w:type="paragraph" w:customStyle="1" w:styleId="533">
    <w:name w:val="5"/>
    <w:basedOn w:val="1"/>
    <w:semiHidden/>
    <w:qFormat/>
    <w:uiPriority w:val="0"/>
    <w:pPr>
      <w:spacing w:line="500" w:lineRule="exact"/>
      <w:ind w:firstLine="200" w:firstLineChars="200"/>
    </w:pPr>
    <w:rPr>
      <w:rFonts w:ascii="Tahoma" w:hAnsi="Tahoma"/>
      <w:b/>
      <w:sz w:val="28"/>
      <w:szCs w:val="28"/>
    </w:rPr>
  </w:style>
  <w:style w:type="paragraph" w:customStyle="1" w:styleId="534">
    <w:name w:val=" Char Char Char Char"/>
    <w:basedOn w:val="1"/>
    <w:semiHidden/>
    <w:qFormat/>
    <w:uiPriority w:val="0"/>
    <w:pPr>
      <w:snapToGrid w:val="0"/>
      <w:spacing w:line="440" w:lineRule="atLeast"/>
    </w:pPr>
    <w:rPr>
      <w:rFonts w:ascii="宋体"/>
      <w:sz w:val="24"/>
    </w:rPr>
  </w:style>
  <w:style w:type="paragraph" w:customStyle="1" w:styleId="535">
    <w:name w:val="表名"/>
    <w:basedOn w:val="1"/>
    <w:qFormat/>
    <w:uiPriority w:val="0"/>
    <w:pPr>
      <w:spacing w:before="60" w:after="60"/>
      <w:ind w:firstLine="100" w:firstLineChars="100"/>
    </w:pPr>
    <w:rPr>
      <w:rFonts w:ascii="黑体" w:eastAsia="黑体"/>
      <w:sz w:val="24"/>
    </w:rPr>
  </w:style>
  <w:style w:type="paragraph" w:customStyle="1" w:styleId="536">
    <w:name w:val="xl48"/>
    <w:basedOn w:val="1"/>
    <w:qFormat/>
    <w:uiPriority w:val="0"/>
    <w:pPr>
      <w:widowControl/>
      <w:pBdr>
        <w:top w:val="single" w:color="auto" w:sz="4" w:space="0"/>
        <w:bottom w:val="single" w:color="auto" w:sz="4" w:space="0"/>
      </w:pBdr>
      <w:spacing w:before="100" w:beforeAutospacing="1" w:after="100" w:afterAutospacing="1"/>
      <w:jc w:val="center"/>
    </w:pPr>
    <w:rPr>
      <w:rFonts w:ascii="Arial" w:hAnsi="Arial" w:eastAsia="Arial Unicode MS" w:cs="Arial"/>
      <w:color w:val="000000"/>
      <w:kern w:val="0"/>
      <w:sz w:val="23"/>
      <w:szCs w:val="23"/>
    </w:rPr>
  </w:style>
  <w:style w:type="paragraph" w:customStyle="1" w:styleId="537">
    <w:name w:val="p16"/>
    <w:basedOn w:val="1"/>
    <w:qFormat/>
    <w:uiPriority w:val="0"/>
    <w:pPr>
      <w:widowControl/>
      <w:jc w:val="center"/>
    </w:pPr>
    <w:rPr>
      <w:rFonts w:ascii="Arial" w:hAnsi="Arial" w:cs="Arial"/>
      <w:kern w:val="0"/>
      <w:szCs w:val="21"/>
    </w:rPr>
  </w:style>
  <w:style w:type="paragraph" w:customStyle="1" w:styleId="538">
    <w:name w:val="xl4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3"/>
      <w:szCs w:val="23"/>
    </w:rPr>
  </w:style>
  <w:style w:type="paragraph" w:customStyle="1" w:styleId="539">
    <w:name w:val="CM27"/>
    <w:basedOn w:val="152"/>
    <w:next w:val="152"/>
    <w:qFormat/>
    <w:uiPriority w:val="0"/>
    <w:rPr>
      <w:rFonts w:ascii="隶书" w:eastAsia="隶书" w:cs="隶书"/>
      <w:color w:val="auto"/>
    </w:rPr>
  </w:style>
  <w:style w:type="paragraph" w:customStyle="1" w:styleId="540">
    <w:name w:val="_Style 283"/>
    <w:basedOn w:val="10"/>
    <w:qFormat/>
    <w:uiPriority w:val="0"/>
    <w:pPr>
      <w:tabs>
        <w:tab w:val="left" w:pos="1440"/>
      </w:tabs>
      <w:adjustRightInd/>
      <w:spacing w:line="320" w:lineRule="auto"/>
      <w:ind w:left="0" w:firstLine="0"/>
      <w:jc w:val="both"/>
      <w:textAlignment w:val="auto"/>
    </w:pPr>
    <w:rPr>
      <w:rFonts w:ascii="Calibri" w:hAnsi="Calibri" w:eastAsia="宋体"/>
      <w:bCs/>
      <w:szCs w:val="24"/>
      <w:lang w:eastAsia="en-US" w:bidi="en-US"/>
    </w:rPr>
  </w:style>
  <w:style w:type="paragraph" w:customStyle="1" w:styleId="541">
    <w:name w:val="样式 正文文字 2 + Times New Roman 自动设置 左 行距: 最小值 25 磅"/>
    <w:basedOn w:val="1"/>
    <w:qFormat/>
    <w:uiPriority w:val="0"/>
    <w:pPr>
      <w:spacing w:line="500" w:lineRule="exact"/>
      <w:ind w:firstLine="200" w:firstLineChars="200"/>
      <w:jc w:val="left"/>
    </w:pPr>
    <w:rPr>
      <w:rFonts w:cs="宋体"/>
      <w:sz w:val="28"/>
      <w:szCs w:val="20"/>
    </w:rPr>
  </w:style>
  <w:style w:type="paragraph" w:customStyle="1" w:styleId="542">
    <w:name w:val="设计正文"/>
    <w:basedOn w:val="1"/>
    <w:qFormat/>
    <w:uiPriority w:val="0"/>
    <w:pPr>
      <w:adjustRightInd w:val="0"/>
      <w:spacing w:line="360" w:lineRule="auto"/>
      <w:ind w:firstLine="200" w:firstLineChars="200"/>
      <w:textAlignment w:val="baseline"/>
    </w:pPr>
    <w:rPr>
      <w:kern w:val="0"/>
      <w:sz w:val="28"/>
      <w:szCs w:val="20"/>
    </w:rPr>
  </w:style>
  <w:style w:type="paragraph" w:customStyle="1" w:styleId="543">
    <w:name w:val="表格内文字"/>
    <w:basedOn w:val="1"/>
    <w:next w:val="1"/>
    <w:qFormat/>
    <w:uiPriority w:val="0"/>
    <w:pPr>
      <w:jc w:val="center"/>
    </w:pPr>
  </w:style>
  <w:style w:type="table" w:customStyle="1" w:styleId="544">
    <w:name w:val="网格型6"/>
    <w:basedOn w:val="122"/>
    <w:qFormat/>
    <w:uiPriority w:val="0"/>
    <w:pPr>
      <w:jc w:val="center"/>
    </w:pPr>
    <w:tblPr>
      <w:tblBorders>
        <w:top w:val="single" w:color="auto" w:sz="12" w:space="0"/>
        <w:bottom w:val="single" w:color="auto" w:sz="12" w:space="0"/>
        <w:insideH w:val="single" w:color="auto" w:sz="2" w:space="0"/>
        <w:insideV w:val="single" w:color="auto" w:sz="2" w:space="0"/>
      </w:tblBorders>
    </w:tblPr>
    <w:tcPr>
      <w:vAlign w:val="center"/>
    </w:tcPr>
    <w:tblStylePr w:type="firstRow">
      <w:rPr>
        <w:b/>
        <w:bCs/>
      </w:rPr>
      <w:tcPr>
        <w:tcBorders>
          <w:top w:val="nil"/>
          <w:left w:val="nil"/>
          <w:bottom w:val="nil"/>
          <w:right w:val="nil"/>
          <w:insideH w:val="nil"/>
          <w:insideV w:val="nil"/>
          <w:tl2br w:val="nil"/>
          <w:tr2bl w:val="nil"/>
        </w:tcBorders>
      </w:tcPr>
    </w:tblStylePr>
    <w:tblStylePr w:type="lastRow">
      <w:rPr>
        <w:b/>
        <w:bCs/>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style>
  <w:style w:type="table" w:customStyle="1" w:styleId="545">
    <w:name w:val="网格型7"/>
    <w:basedOn w:val="122"/>
    <w:qFormat/>
    <w:uiPriority w:val="0"/>
    <w:pPr>
      <w:jc w:val="center"/>
    </w:pPr>
    <w:tblPr>
      <w:tblBorders>
        <w:top w:val="single" w:color="auto" w:sz="12" w:space="0"/>
        <w:bottom w:val="single" w:color="auto" w:sz="12" w:space="0"/>
        <w:insideH w:val="single" w:color="auto" w:sz="2" w:space="0"/>
        <w:insideV w:val="single" w:color="auto" w:sz="2" w:space="0"/>
      </w:tblBorders>
      <w:tblCellMar>
        <w:top w:w="0" w:type="dxa"/>
        <w:left w:w="108" w:type="dxa"/>
        <w:bottom w:w="0" w:type="dxa"/>
        <w:right w:w="108" w:type="dxa"/>
      </w:tblCellMar>
    </w:tblPr>
    <w:tcPr>
      <w:shd w:val="clear" w:color="auto" w:fill="auto"/>
      <w:vAlign w:val="center"/>
    </w:tcPr>
    <w:tblStylePr w:type="firstRow">
      <w:rPr>
        <w:b/>
        <w:bCs/>
      </w:rPr>
      <w:tcPr>
        <w:tcBorders>
          <w:top w:val="nil"/>
          <w:left w:val="nil"/>
          <w:bottom w:val="nil"/>
          <w:right w:val="nil"/>
          <w:insideH w:val="nil"/>
          <w:insideV w:val="nil"/>
          <w:tl2br w:val="nil"/>
          <w:tr2bl w:val="nil"/>
        </w:tcBorders>
      </w:tcPr>
    </w:tblStylePr>
    <w:tblStylePr w:type="lastRow">
      <w:rPr>
        <w:b/>
        <w:bCs/>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style>
  <w:style w:type="table" w:customStyle="1" w:styleId="546">
    <w:name w:val="网格型8"/>
    <w:basedOn w:val="122"/>
    <w:qFormat/>
    <w:uiPriority w:val="0"/>
    <w:pPr>
      <w:jc w:val="center"/>
    </w:pPr>
    <w:tblPr>
      <w:tblBorders>
        <w:top w:val="single" w:color="auto" w:sz="12" w:space="0"/>
        <w:bottom w:val="single" w:color="auto" w:sz="12" w:space="0"/>
        <w:insideH w:val="single" w:color="auto" w:sz="2" w:space="0"/>
        <w:insideV w:val="single" w:color="auto" w:sz="2" w:space="0"/>
      </w:tblBorders>
      <w:tblCellMar>
        <w:top w:w="0" w:type="dxa"/>
        <w:left w:w="108" w:type="dxa"/>
        <w:bottom w:w="0" w:type="dxa"/>
        <w:right w:w="108" w:type="dxa"/>
      </w:tblCellMar>
    </w:tblPr>
    <w:tcPr>
      <w:shd w:val="clear" w:color="auto" w:fill="auto"/>
      <w:vAlign w:val="center"/>
    </w:tcPr>
    <w:tblStylePr w:type="firstRow">
      <w:rPr>
        <w:b/>
        <w:bCs/>
      </w:rPr>
      <w:tcPr>
        <w:tcBorders>
          <w:top w:val="nil"/>
          <w:left w:val="nil"/>
          <w:bottom w:val="nil"/>
          <w:right w:val="nil"/>
          <w:insideH w:val="nil"/>
          <w:insideV w:val="nil"/>
          <w:tl2br w:val="nil"/>
          <w:tr2bl w:val="nil"/>
        </w:tcBorders>
      </w:tcPr>
    </w:tblStylePr>
    <w:tblStylePr w:type="lastRow">
      <w:rPr>
        <w:b/>
        <w:bCs/>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style>
  <w:style w:type="paragraph" w:customStyle="1" w:styleId="547">
    <w:name w:val="样式 首行缩进:  2 字符"/>
    <w:basedOn w:val="1"/>
    <w:qFormat/>
    <w:uiPriority w:val="0"/>
    <w:pPr>
      <w:spacing w:before="120" w:after="120" w:line="360" w:lineRule="auto"/>
      <w:ind w:firstLine="582" w:firstLineChars="200"/>
    </w:pPr>
    <w:rPr>
      <w:rFonts w:eastAsia="仿宋_GB2312" w:cs="宋体"/>
      <w:kern w:val="10"/>
      <w:sz w:val="28"/>
      <w:szCs w:val="28"/>
    </w:rPr>
  </w:style>
  <w:style w:type="character" w:customStyle="1" w:styleId="548">
    <w:name w:val="font31"/>
    <w:qFormat/>
    <w:uiPriority w:val="0"/>
    <w:rPr>
      <w:rFonts w:hint="default" w:ascii="仿宋_GB2312" w:eastAsia="仿宋_GB2312" w:cs="仿宋_GB2312"/>
      <w:color w:val="000000"/>
      <w:sz w:val="21"/>
      <w:szCs w:val="21"/>
      <w:u w:val="none"/>
      <w:vertAlign w:val="superscript"/>
    </w:rPr>
  </w:style>
  <w:style w:type="character" w:customStyle="1" w:styleId="549">
    <w:name w:val="font51"/>
    <w:qFormat/>
    <w:uiPriority w:val="0"/>
    <w:rPr>
      <w:rFonts w:ascii="仿宋_GB2312" w:eastAsia="仿宋_GB2312" w:cs="仿宋_GB2312"/>
      <w:b/>
      <w:bCs/>
      <w:color w:val="000000"/>
      <w:sz w:val="21"/>
      <w:szCs w:val="21"/>
      <w:u w:val="none"/>
    </w:rPr>
  </w:style>
  <w:style w:type="character" w:customStyle="1" w:styleId="550">
    <w:name w:val="font21"/>
    <w:qFormat/>
    <w:uiPriority w:val="0"/>
    <w:rPr>
      <w:rFonts w:hint="default" w:ascii="仿宋_GB2312" w:eastAsia="仿宋_GB2312" w:cs="仿宋_GB2312"/>
      <w:color w:val="000000"/>
      <w:sz w:val="21"/>
      <w:szCs w:val="21"/>
      <w:u w:val="none"/>
    </w:rPr>
  </w:style>
  <w:style w:type="character" w:customStyle="1" w:styleId="551">
    <w:name w:val="font41"/>
    <w:qFormat/>
    <w:uiPriority w:val="0"/>
    <w:rPr>
      <w:rFonts w:hint="default" w:ascii="Times New Roman" w:hAnsi="Times New Roman" w:cs="Times New Roman"/>
      <w:color w:val="000000"/>
      <w:sz w:val="21"/>
      <w:szCs w:val="21"/>
      <w:u w:val="none"/>
    </w:rPr>
  </w:style>
  <w:style w:type="character" w:customStyle="1" w:styleId="552">
    <w:name w:val="font61"/>
    <w:qFormat/>
    <w:uiPriority w:val="0"/>
    <w:rPr>
      <w:rFonts w:hint="default" w:ascii="Times New Roman" w:hAnsi="Times New Roman" w:cs="Times New Roman"/>
      <w:color w:val="000000"/>
      <w:sz w:val="21"/>
      <w:szCs w:val="21"/>
      <w:u w:val="none"/>
      <w:vertAlign w:val="superscript"/>
    </w:rPr>
  </w:style>
  <w:style w:type="character" w:customStyle="1" w:styleId="553">
    <w:name w:val="font71"/>
    <w:qFormat/>
    <w:uiPriority w:val="0"/>
    <w:rPr>
      <w:rFonts w:ascii="仿宋_GB2312" w:eastAsia="仿宋_GB2312" w:cs="仿宋_GB2312"/>
      <w:b/>
      <w:bCs/>
      <w:color w:val="000000"/>
      <w:sz w:val="21"/>
      <w:szCs w:val="21"/>
      <w:u w:val="none"/>
    </w:rPr>
  </w:style>
  <w:style w:type="character" w:customStyle="1" w:styleId="554">
    <w:name w:val="font101"/>
    <w:qFormat/>
    <w:uiPriority w:val="0"/>
    <w:rPr>
      <w:rFonts w:hint="default" w:ascii="仿宋_GB2312" w:eastAsia="仿宋_GB2312" w:cs="仿宋_GB2312"/>
      <w:color w:val="000000"/>
      <w:sz w:val="21"/>
      <w:szCs w:val="21"/>
      <w:u w:val="none"/>
    </w:rPr>
  </w:style>
  <w:style w:type="character" w:customStyle="1" w:styleId="555">
    <w:name w:val="font81"/>
    <w:basedOn w:val="133"/>
    <w:qFormat/>
    <w:uiPriority w:val="0"/>
    <w:rPr>
      <w:rFonts w:hint="default" w:ascii="仿宋_GB2312" w:eastAsia="仿宋_GB2312" w:cs="仿宋_GB2312"/>
      <w:color w:val="000000"/>
      <w:sz w:val="21"/>
      <w:szCs w:val="21"/>
      <w:u w:val="none"/>
    </w:rPr>
  </w:style>
  <w:style w:type="table" w:customStyle="1" w:styleId="556">
    <w:name w:val="Table Normal"/>
    <w:unhideWhenUsed/>
    <w:qFormat/>
    <w:uiPriority w:val="2"/>
    <w:pPr>
      <w:widowControl w:val="0"/>
      <w:autoSpaceDE w:val="0"/>
      <w:autoSpaceDN w:val="0"/>
    </w:pPr>
    <w:rPr>
      <w:rFonts w:ascii="Calibri" w:hAnsi="Calibri"/>
      <w:sz w:val="22"/>
      <w:szCs w:val="22"/>
      <w:lang w:val="en-US" w:eastAsia="en-US" w:bidi="ar-SA"/>
    </w:rPr>
    <w:tblPr>
      <w:tblCellMar>
        <w:top w:w="0" w:type="dxa"/>
        <w:left w:w="0" w:type="dxa"/>
        <w:bottom w:w="0" w:type="dxa"/>
        <w:right w:w="0" w:type="dxa"/>
      </w:tblCellMar>
    </w:tblPr>
  </w:style>
  <w:style w:type="table" w:customStyle="1" w:styleId="557">
    <w:name w:val="Table Normal9"/>
    <w:unhideWhenUsed/>
    <w:qFormat/>
    <w:uiPriority w:val="2"/>
    <w:pPr>
      <w:widowControl w:val="0"/>
      <w:autoSpaceDE w:val="0"/>
      <w:autoSpaceDN w:val="0"/>
    </w:pPr>
    <w:rPr>
      <w:rFonts w:ascii="Calibri" w:hAnsi="Calibri"/>
      <w:sz w:val="22"/>
      <w:szCs w:val="22"/>
      <w:lang w:val="en-US" w:eastAsia="en-US" w:bidi="ar-SA"/>
    </w:rPr>
    <w:tblPr>
      <w:tblCellMar>
        <w:top w:w="0" w:type="dxa"/>
        <w:left w:w="0" w:type="dxa"/>
        <w:bottom w:w="0" w:type="dxa"/>
        <w:right w:w="0" w:type="dxa"/>
      </w:tblCellMar>
    </w:tblPr>
  </w:style>
  <w:style w:type="table" w:customStyle="1" w:styleId="558">
    <w:name w:val="Table Normal11"/>
    <w:unhideWhenUsed/>
    <w:qFormat/>
    <w:uiPriority w:val="2"/>
    <w:pPr>
      <w:widowControl w:val="0"/>
      <w:autoSpaceDE w:val="0"/>
      <w:autoSpaceDN w:val="0"/>
    </w:pPr>
    <w:rPr>
      <w:rFonts w:ascii="Calibri" w:hAnsi="Calibri"/>
      <w:sz w:val="22"/>
      <w:szCs w:val="22"/>
      <w:lang w:val="en-US" w:eastAsia="en-US" w:bidi="ar-SA"/>
    </w:rPr>
    <w:tblPr>
      <w:tblCellMar>
        <w:top w:w="0" w:type="dxa"/>
        <w:left w:w="0" w:type="dxa"/>
        <w:bottom w:w="0" w:type="dxa"/>
        <w:right w:w="0" w:type="dxa"/>
      </w:tblCellMar>
    </w:tblPr>
  </w:style>
  <w:style w:type="character" w:customStyle="1" w:styleId="559">
    <w:name w:val="font111"/>
    <w:qFormat/>
    <w:uiPriority w:val="0"/>
    <w:rPr>
      <w:rFonts w:hint="eastAsia" w:ascii="宋体" w:hAnsi="宋体" w:eastAsia="宋体" w:cs="宋体"/>
      <w:b/>
      <w:bCs/>
      <w:color w:val="000000"/>
      <w:sz w:val="15"/>
      <w:szCs w:val="15"/>
      <w:u w:val="none"/>
    </w:rPr>
  </w:style>
  <w:style w:type="character" w:customStyle="1" w:styleId="560">
    <w:name w:val="font122"/>
    <w:qFormat/>
    <w:uiPriority w:val="0"/>
    <w:rPr>
      <w:rFonts w:hint="default" w:ascii="仿宋_GB2312" w:eastAsia="仿宋_GB2312" w:cs="仿宋_GB2312"/>
      <w:b/>
      <w:bCs/>
      <w:color w:val="000000"/>
      <w:sz w:val="15"/>
      <w:szCs w:val="15"/>
      <w:u w:val="none"/>
    </w:rPr>
  </w:style>
  <w:style w:type="character" w:customStyle="1" w:styleId="561">
    <w:name w:val="font131"/>
    <w:qFormat/>
    <w:uiPriority w:val="0"/>
    <w:rPr>
      <w:rFonts w:hint="default" w:ascii="仿宋_GB2312" w:eastAsia="仿宋_GB2312" w:cs="仿宋_GB2312"/>
      <w:color w:val="000000"/>
      <w:sz w:val="21"/>
      <w:szCs w:val="21"/>
      <w:u w:val="none"/>
    </w:rPr>
  </w:style>
  <w:style w:type="paragraph" w:customStyle="1" w:styleId="562">
    <w:name w:val="000表格"/>
    <w:basedOn w:val="1"/>
    <w:qFormat/>
    <w:uiPriority w:val="0"/>
    <w:pPr>
      <w:widowControl/>
      <w:spacing w:line="240" w:lineRule="exact"/>
      <w:jc w:val="center"/>
    </w:pPr>
    <w:rPr>
      <w:rFonts w:eastAsia="仿宋_GB2312"/>
      <w:kern w:val="0"/>
      <w:sz w:val="20"/>
      <w:szCs w:val="20"/>
    </w:rPr>
  </w:style>
  <w:style w:type="paragraph" w:customStyle="1" w:styleId="563">
    <w:name w:val="00表格字体"/>
    <w:qFormat/>
    <w:uiPriority w:val="0"/>
    <w:pPr>
      <w:widowControl w:val="0"/>
      <w:adjustRightInd w:val="0"/>
      <w:snapToGrid w:val="0"/>
      <w:spacing w:line="240" w:lineRule="exact"/>
      <w:jc w:val="center"/>
    </w:pPr>
    <w:rPr>
      <w:rFonts w:ascii="Times New Roman" w:hAnsi="Times New Roman" w:eastAsia="仿宋_GB2312" w:cs="Arial"/>
      <w:szCs w:val="18"/>
      <w:lang w:val="en-US" w:eastAsia="zh-CN" w:bidi="ar-SA"/>
    </w:rPr>
  </w:style>
  <w:style w:type="paragraph" w:customStyle="1" w:styleId="564">
    <w:name w:val="文本"/>
    <w:basedOn w:val="1"/>
    <w:qFormat/>
    <w:uiPriority w:val="0"/>
    <w:pPr>
      <w:spacing w:line="360" w:lineRule="auto"/>
      <w:ind w:firstLine="200" w:firstLineChars="200"/>
      <w:jc w:val="left"/>
    </w:pPr>
  </w:style>
  <w:style w:type="paragraph" w:customStyle="1" w:styleId="565">
    <w:name w:val="Heading #2|1"/>
    <w:basedOn w:val="1"/>
    <w:qFormat/>
    <w:uiPriority w:val="0"/>
    <w:pPr>
      <w:spacing w:after="560" w:line="595" w:lineRule="exact"/>
      <w:jc w:val="center"/>
      <w:outlineLvl w:val="1"/>
    </w:pPr>
    <w:rPr>
      <w:rFonts w:ascii="宋体" w:hAnsi="宋体" w:eastAsia="宋体" w:cs="宋体"/>
      <w:sz w:val="42"/>
      <w:szCs w:val="42"/>
      <w:lang w:val="zh-TW" w:eastAsia="zh-TW" w:bidi="zh-TW"/>
    </w:rPr>
  </w:style>
  <w:style w:type="paragraph" w:customStyle="1" w:styleId="566">
    <w:name w:val="Table Text"/>
    <w:basedOn w:val="1"/>
    <w:semiHidden/>
    <w:qFormat/>
    <w:uiPriority w:val="0"/>
    <w:rPr>
      <w:rFonts w:ascii="Times New Roman" w:hAnsi="Times New Roman" w:eastAsia="Times New Roman" w:cs="Times New Roman"/>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header" Target="header1.xml"/><Relationship Id="rId67" Type="http://schemas.microsoft.com/office/2011/relationships/people" Target="people.xml"/><Relationship Id="rId66" Type="http://schemas.openxmlformats.org/officeDocument/2006/relationships/fontTable" Target="fontTable.xml"/><Relationship Id="rId65" Type="http://schemas.openxmlformats.org/officeDocument/2006/relationships/numbering" Target="numbering.xml"/><Relationship Id="rId64" Type="http://schemas.openxmlformats.org/officeDocument/2006/relationships/customXml" Target="../customXml/item1.xml"/><Relationship Id="rId63" Type="http://schemas.openxmlformats.org/officeDocument/2006/relationships/image" Target="media/image21.jpeg"/><Relationship Id="rId62" Type="http://schemas.openxmlformats.org/officeDocument/2006/relationships/image" Target="media/image20.jpeg"/><Relationship Id="rId61" Type="http://schemas.openxmlformats.org/officeDocument/2006/relationships/image" Target="media/image19.jpeg"/><Relationship Id="rId60" Type="http://schemas.openxmlformats.org/officeDocument/2006/relationships/image" Target="media/image18.jpeg"/><Relationship Id="rId6" Type="http://schemas.openxmlformats.org/officeDocument/2006/relationships/footer" Target="footer2.xml"/><Relationship Id="rId59" Type="http://schemas.openxmlformats.org/officeDocument/2006/relationships/image" Target="media/image17.jpeg"/><Relationship Id="rId58" Type="http://schemas.openxmlformats.org/officeDocument/2006/relationships/image" Target="media/image16.jpeg"/><Relationship Id="rId57" Type="http://schemas.openxmlformats.org/officeDocument/2006/relationships/image" Target="media/image15.jpeg"/><Relationship Id="rId56" Type="http://schemas.openxmlformats.org/officeDocument/2006/relationships/image" Target="media/image14.jpeg"/><Relationship Id="rId55" Type="http://schemas.openxmlformats.org/officeDocument/2006/relationships/image" Target="media/image13.jpeg"/><Relationship Id="rId54" Type="http://schemas.openxmlformats.org/officeDocument/2006/relationships/image" Target="media/image12.png"/><Relationship Id="rId53" Type="http://schemas.openxmlformats.org/officeDocument/2006/relationships/chart" Target="charts/chart2.xml"/><Relationship Id="rId52" Type="http://schemas.openxmlformats.org/officeDocument/2006/relationships/chart" Target="charts/chart1.xml"/><Relationship Id="rId51" Type="http://schemas.openxmlformats.org/officeDocument/2006/relationships/image" Target="media/image11.jpeg"/><Relationship Id="rId50" Type="http://schemas.openxmlformats.org/officeDocument/2006/relationships/image" Target="media/image10.jpeg"/><Relationship Id="rId5" Type="http://schemas.openxmlformats.org/officeDocument/2006/relationships/footer" Target="footer1.xml"/><Relationship Id="rId49" Type="http://schemas.openxmlformats.org/officeDocument/2006/relationships/image" Target="media/image9.png"/><Relationship Id="rId48" Type="http://schemas.openxmlformats.org/officeDocument/2006/relationships/image" Target="media/image8.jpeg"/><Relationship Id="rId47" Type="http://schemas.openxmlformats.org/officeDocument/2006/relationships/image" Target="media/image7.jpeg"/><Relationship Id="rId46" Type="http://schemas.openxmlformats.org/officeDocument/2006/relationships/image" Target="media/image6.emf"/><Relationship Id="rId45" Type="http://schemas.openxmlformats.org/officeDocument/2006/relationships/image" Target="media/image5.emf"/><Relationship Id="rId44" Type="http://schemas.openxmlformats.org/officeDocument/2006/relationships/image" Target="media/image4.jpeg"/><Relationship Id="rId43" Type="http://schemas.openxmlformats.org/officeDocument/2006/relationships/image" Target="media/image3.jpeg"/><Relationship Id="rId42" Type="http://schemas.openxmlformats.org/officeDocument/2006/relationships/image" Target="media/image2.jpeg"/><Relationship Id="rId41" Type="http://schemas.openxmlformats.org/officeDocument/2006/relationships/image" Target="media/image1.jpeg"/><Relationship Id="rId40" Type="http://schemas.openxmlformats.org/officeDocument/2006/relationships/theme" Target="theme/theme1.xml"/><Relationship Id="rId4" Type="http://schemas.microsoft.com/office/2011/relationships/commentsExtended" Target="commentsExtended.xml"/><Relationship Id="rId39" Type="http://schemas.openxmlformats.org/officeDocument/2006/relationships/footer" Target="footer16.xml"/><Relationship Id="rId38" Type="http://schemas.openxmlformats.org/officeDocument/2006/relationships/header" Target="header19.xml"/><Relationship Id="rId37" Type="http://schemas.openxmlformats.org/officeDocument/2006/relationships/header" Target="header18.xml"/><Relationship Id="rId36" Type="http://schemas.openxmlformats.org/officeDocument/2006/relationships/header" Target="header17.xml"/><Relationship Id="rId35" Type="http://schemas.openxmlformats.org/officeDocument/2006/relationships/footer" Target="footer15.xml"/><Relationship Id="rId34" Type="http://schemas.openxmlformats.org/officeDocument/2006/relationships/header" Target="header16.xml"/><Relationship Id="rId33" Type="http://schemas.openxmlformats.org/officeDocument/2006/relationships/footer" Target="footer14.xml"/><Relationship Id="rId32" Type="http://schemas.openxmlformats.org/officeDocument/2006/relationships/header" Target="header15.xml"/><Relationship Id="rId31" Type="http://schemas.openxmlformats.org/officeDocument/2006/relationships/footer" Target="footer13.xml"/><Relationship Id="rId30" Type="http://schemas.openxmlformats.org/officeDocument/2006/relationships/header" Target="header14.xml"/><Relationship Id="rId3" Type="http://schemas.openxmlformats.org/officeDocument/2006/relationships/comments" Target="comments.xml"/><Relationship Id="rId29" Type="http://schemas.openxmlformats.org/officeDocument/2006/relationships/footer" Target="footer12.xml"/><Relationship Id="rId28" Type="http://schemas.openxmlformats.org/officeDocument/2006/relationships/header" Target="header13.xml"/><Relationship Id="rId27" Type="http://schemas.openxmlformats.org/officeDocument/2006/relationships/footer" Target="footer11.xml"/><Relationship Id="rId26" Type="http://schemas.openxmlformats.org/officeDocument/2006/relationships/header" Target="header12.xml"/><Relationship Id="rId25" Type="http://schemas.openxmlformats.org/officeDocument/2006/relationships/header" Target="header11.xml"/><Relationship Id="rId24" Type="http://schemas.openxmlformats.org/officeDocument/2006/relationships/header" Target="header10.xml"/><Relationship Id="rId23" Type="http://schemas.openxmlformats.org/officeDocument/2006/relationships/footer" Target="footer10.xml"/><Relationship Id="rId22" Type="http://schemas.openxmlformats.org/officeDocument/2006/relationships/header" Target="header9.xml"/><Relationship Id="rId21" Type="http://schemas.openxmlformats.org/officeDocument/2006/relationships/footer" Target="foot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7.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1.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系列 1</c:v>
                </c:pt>
              </c:strCache>
            </c:strRef>
          </c:tx>
          <c:spPr>
            <a:solidFill>
              <a:srgbClr val="3DB8BF"/>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61616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建构筑物区</c:v>
                </c:pt>
                <c:pt idx="1">
                  <c:v>道路及硬化区</c:v>
                </c:pt>
                <c:pt idx="2">
                  <c:v>绿化区</c:v>
                </c:pt>
              </c:strCache>
            </c:strRef>
          </c:cat>
          <c:val>
            <c:numRef>
              <c:f>Sheet1!$B$2:$B$4</c:f>
              <c:numCache>
                <c:formatCode>0.00_ </c:formatCode>
                <c:ptCount val="3"/>
                <c:pt idx="0">
                  <c:v>432.225504</c:v>
                </c:pt>
                <c:pt idx="1">
                  <c:v>574.977312</c:v>
                </c:pt>
                <c:pt idx="2">
                  <c:v>35.939952</c:v>
                </c:pt>
              </c:numCache>
            </c:numRef>
          </c:val>
        </c:ser>
        <c:dLbls>
          <c:showLegendKey val="0"/>
          <c:showVal val="1"/>
          <c:showCatName val="0"/>
          <c:showSerName val="0"/>
          <c:showPercent val="0"/>
          <c:showBubbleSize val="0"/>
        </c:dLbls>
        <c:gapWidth val="150"/>
        <c:overlap val="0"/>
        <c:axId val="677883074"/>
        <c:axId val="959833540"/>
        <c:extLst>
          <c:ext xmlns:c15="http://schemas.microsoft.com/office/drawing/2012/chart" uri="{02D57815-91ED-43cb-92C2-25804820EDAC}">
            <c15:filteredBarSeries>
              <c15:ser>
                <c:idx val="1"/>
                <c:order val="1"/>
                <c:tx>
                  <c:strRef>
                    <c:extLst>
                      <c:ext uri="{02D57815-91ED-43cb-92C2-25804820EDAC}">
                        <c15:formulaRef>
                          <c15:sqref>Sheet1!#REF!</c15:sqref>
                        </c15:formulaRef>
                      </c:ext>
                    </c:extLst>
                    <c:strCache>
                      <c:ptCount val="1"/>
                      <c:pt idx="0">
                        <c:v/>
                      </c:pt>
                    </c:strCache>
                  </c:strRef>
                </c:tx>
                <c:spPr>
                  <a:solidFill>
                    <a:srgbClr val="7A7D85"/>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61616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
                        </c15:fullRef>
                        <c15:formulaRef>
                          <c15:sqref>Sheet1!$A$2:$A$4</c15:sqref>
                        </c15:formulaRef>
                      </c:ext>
                    </c:extLst>
                    <c:strCache>
                      <c:ptCount val="3"/>
                      <c:pt idx="0">
                        <c:v>建构筑物区</c:v>
                      </c:pt>
                      <c:pt idx="1">
                        <c:v>道路及硬化区</c:v>
                      </c:pt>
                      <c:pt idx="2">
                        <c:v>绿化区</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15:filteredBarSeries>
              <c15:ser>
                <c:idx val="2"/>
                <c:order val="2"/>
                <c:tx>
                  <c:strRef>
                    <c:extLst>
                      <c:ext uri="{02D57815-91ED-43cb-92C2-25804820EDAC}">
                        <c15:formulaRef>
                          <c15:sqref>Sheet1!#REF!</c15:sqref>
                        </c15:formulaRef>
                      </c:ext>
                    </c:extLst>
                    <c:strCache>
                      <c:ptCount val="1"/>
                      <c:pt idx="0">
                        <c:v/>
                      </c:pt>
                    </c:strCache>
                  </c:strRef>
                </c:tx>
                <c:spPr>
                  <a:solidFill>
                    <a:srgbClr val="4D4F57"/>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61616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
                        </c15:fullRef>
                        <c15:formulaRef>
                          <c15:sqref>Sheet1!$A$2:$A$4</c15:sqref>
                        </c15:formulaRef>
                      </c:ext>
                    </c:extLst>
                    <c:strCache>
                      <c:ptCount val="3"/>
                      <c:pt idx="0">
                        <c:v>建构筑物区</c:v>
                      </c:pt>
                      <c:pt idx="1">
                        <c:v>道路及硬化区</c:v>
                      </c:pt>
                      <c:pt idx="2">
                        <c:v>绿化区</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677883074"/>
        <c:scaling>
          <c:orientation val="minMax"/>
        </c:scaling>
        <c:delete val="0"/>
        <c:axPos val="b"/>
        <c:numFmt formatCode="General" sourceLinked="1"/>
        <c:majorTickMark val="out"/>
        <c:minorTickMark val="none"/>
        <c:tickLblPos val="nextTo"/>
        <c:spPr>
          <a:noFill/>
          <a:ln w="9525" cap="flat" cmpd="sng" algn="ctr">
            <a:solidFill>
              <a:sysClr val="window" lastClr="FFFFFF">
                <a:lumMod val="65000"/>
              </a:sysClr>
            </a:solidFill>
            <a:round/>
          </a:ln>
          <a:effectLst/>
        </c:spPr>
        <c:txPr>
          <a:bodyPr rot="-60000000" spcFirstLastPara="0" vertOverflow="ellipsis" vert="horz" wrap="square" anchor="ctr" anchorCtr="1" forceAA="0"/>
          <a:lstStyle/>
          <a:p>
            <a:pPr>
              <a:defRPr lang="zh-CN" sz="900" b="0" i="0" u="none" strike="noStrike" kern="1200" cap="none" spc="0" normalizeH="0" baseline="0">
                <a:solidFill>
                  <a:schemeClr val="bg1">
                    <a:lumMod val="65000"/>
                  </a:schemeClr>
                </a:solidFill>
                <a:uFill>
                  <a:solidFill>
                    <a:schemeClr val="tx1">
                      <a:lumMod val="65000"/>
                      <a:lumOff val="35000"/>
                    </a:schemeClr>
                  </a:solidFill>
                </a:u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crossAx val="959833540"/>
        <c:crosses val="autoZero"/>
        <c:auto val="1"/>
        <c:lblAlgn val="ctr"/>
        <c:lblOffset val="100"/>
        <c:noMultiLvlLbl val="0"/>
      </c:catAx>
      <c:valAx>
        <c:axId val="959833540"/>
        <c:scaling>
          <c:orientation val="minMax"/>
        </c:scaling>
        <c:delete val="0"/>
        <c:axPos val="l"/>
        <c:majorGridlines>
          <c:spPr>
            <a:ln w="12700" cap="flat" cmpd="sng" algn="ctr">
              <a:solidFill>
                <a:sysClr val="window" lastClr="FFFFFF">
                  <a:lumMod val="50000"/>
                  <a:alpha val="9000"/>
                </a:sysClr>
              </a:solidFill>
              <a:prstDash val="solid"/>
              <a:round/>
            </a:ln>
            <a:effectLst/>
          </c:spPr>
        </c:majorGridlines>
        <c:title>
          <c:tx>
            <c:rich>
              <a:bodyPr rot="-5400000" spcFirstLastPara="0" vertOverflow="ellipsis" vert="horz" wrap="square" anchor="ctr" anchorCtr="1"/>
              <a:lstStyle/>
              <a:p>
                <a:pPr defTabSz="914400">
                  <a:defRPr lang="zh-CN" sz="1000" b="0" i="0" u="none" strike="noStrike" kern="1200" baseline="0">
                    <a:solidFill>
                      <a:srgbClr val="61616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r>
                  <a:t>新增土壤流失量（</a:t>
                </a:r>
                <a:r>
                  <a:rPr lang="en-US" altLang="zh-CN"/>
                  <a:t>t</a:t>
                </a:r>
                <a:r>
                  <a:t>）</a:t>
                </a:r>
              </a:p>
            </c:rich>
          </c:tx>
          <c:layout/>
          <c:overlay val="0"/>
          <c:spPr>
            <a:noFill/>
            <a:ln>
              <a:noFill/>
            </a:ln>
            <a:effectLst/>
          </c:spPr>
        </c:title>
        <c:numFmt formatCode="0.00_ " sourceLinked="1"/>
        <c:majorTickMark val="out"/>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bg1">
                    <a:lumMod val="65000"/>
                  </a:schemeClr>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crossAx val="677883074"/>
        <c:crosses val="autoZero"/>
        <c:crossBetween val="between"/>
      </c:valAx>
      <c:spPr>
        <a:noFill/>
        <a:ln>
          <a:noFill/>
        </a:ln>
        <a:effectLst/>
      </c:spPr>
    </c:plotArea>
    <c:plotVisOnly val="1"/>
    <c:dispBlanksAs val="gap"/>
    <c:showDLblsOverMax val="0"/>
  </c:chart>
  <c:spPr>
    <a:solidFill>
      <a:srgbClr val="FDFFFF"/>
    </a:solidFill>
    <a:ln w="12700" cap="flat" cmpd="sng" algn="ctr">
      <a:noFill/>
      <a:round/>
    </a:ln>
    <a:effectLst/>
  </c:spPr>
  <c:txPr>
    <a:bodyPr/>
    <a:lstStyle/>
    <a:p>
      <a:pPr>
        <a:defRPr lang="zh-CN">
          <a:solidFill>
            <a:srgbClr val="61616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销售额</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Sheet1!$A$2:$A$3</c15:sqref>
                  </c15:fullRef>
                </c:ext>
              </c:extLst>
              <c:f>Sheet1!$A$2:$A$3</c:f>
              <c:strCache>
                <c:ptCount val="2"/>
                <c:pt idx="0">
                  <c:v>施工期</c:v>
                </c:pt>
                <c:pt idx="1">
                  <c:v>自然恢复期</c:v>
                </c:pt>
              </c:strCache>
            </c:strRef>
          </c:cat>
          <c:val>
            <c:numRef>
              <c:extLst>
                <c:ext xmlns:c15="http://schemas.microsoft.com/office/drawing/2012/chart" uri="{02D57815-91ED-43cb-92C2-25804820EDAC}">
                  <c15:fullRef>
                    <c15:sqref>Sheet1!$B$2:$B$3</c15:sqref>
                  </c15:fullRef>
                </c:ext>
              </c:extLst>
              <c:f>Sheet1!$B$2:$B$3</c:f>
              <c:numCache>
                <c:formatCode>General</c:formatCode>
                <c:ptCount val="2"/>
                <c:pt idx="0">
                  <c:v>82.09</c:v>
                </c:pt>
                <c:pt idx="1">
                  <c:v>17.91</c:v>
                </c:pt>
              </c:numCache>
            </c:numRef>
          </c:val>
        </c:ser>
        <c:dLbls>
          <c:showLegendKey val="0"/>
          <c:showVal val="1"/>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96</Pages>
  <Words>46002</Words>
  <Characters>53700</Characters>
  <Lines>438</Lines>
  <Paragraphs>123</Paragraphs>
  <TotalTime>1</TotalTime>
  <ScaleCrop>false</ScaleCrop>
  <LinksUpToDate>false</LinksUpToDate>
  <CharactersWithSpaces>54840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2021-11-05T13:50:00Z</dcterms:created>
  <dc:creator>lyt</dc:creator>
  <cp:lastModifiedBy>Lily</cp:lastModifiedBy>
  <cp:lastPrinted>2023-01-16T17:27:00Z</cp:lastPrinted>
  <dcterms:modified xsi:type="dcterms:W3CDTF">2023-08-02T04:15:15Z</dcterms:modified>
  <dc:title>00000000</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2DDBB7AFD5204547825DAD14E3777839_13</vt:lpwstr>
  </property>
</Properties>
</file>